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60"/>
        <w:jc w:val="start"/>
        <w:rPr>
          <w:rFonts w:ascii="Times New Roman" w:hAnsi="Times New Roman" w:cs="Times New Roman"/>
          <w:b/>
          <w:color w:themeColor="light1" w:val="FFFFFF"/>
          <w:sz w:val="19"/>
          <w:szCs w:val="19"/>
        </w:rPr>
      </w:pPr>
      <w:r>
        <w:rPr>
          <w:b/>
        </w:rPr>
        <w:t>Rubrica d’avaluació.</w:t>
      </w:r>
      <w:r>
        <w:rPr>
          <w:rFonts w:cs="Times New Roman" w:ascii="Times New Roman" w:hAnsi="Times New Roman"/>
          <w:b/>
          <w:color w:themeColor="light1" w:val="FFFFFF"/>
          <w:sz w:val="19"/>
          <w:szCs w:val="19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color w:val="000000"/>
          <w:sz w:val="19"/>
          <w:szCs w:val="19"/>
        </w:rPr>
        <w:t>Kiara Rodríguez Uribe</w:t>
      </w:r>
    </w:p>
    <w:tbl>
      <w:tblPr>
        <w:tblStyle w:val="11"/>
        <w:tblW w:w="15400" w:type="dxa"/>
        <w:jc w:val="start"/>
        <w:tblInd w:w="1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5"/>
        <w:gridCol w:w="1513"/>
        <w:gridCol w:w="3377"/>
        <w:gridCol w:w="3379"/>
        <w:gridCol w:w="3591"/>
        <w:gridCol w:w="3165"/>
      </w:tblGrid>
      <w:tr>
        <w:trPr>
          <w:trHeight w:val="337" w:hRule="atLeast"/>
          <w:cantSplit/>
        </w:trPr>
        <w:tc>
          <w:tcPr>
            <w:tcW w:w="1888" w:type="dxa"/>
            <w:gridSpan w:val="2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color w:themeColor="light1" w:val="FFFFFF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color w:themeColor="light1" w:val="FFFFFF"/>
                <w:kern w:val="0"/>
                <w:sz w:val="19"/>
                <w:szCs w:val="19"/>
              </w:rPr>
            </w:r>
          </w:p>
        </w:tc>
        <w:tc>
          <w:tcPr>
            <w:tcW w:w="3377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light1" w:val="FFFFFF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</w:rPr>
              <w:t>Ben assolit (4)</w:t>
            </w:r>
          </w:p>
        </w:tc>
        <w:tc>
          <w:tcPr>
            <w:tcW w:w="3379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light1" w:val="FFFFFF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</w:rPr>
              <w:t>Suficienment Assolit  (3)</w:t>
            </w:r>
          </w:p>
        </w:tc>
        <w:tc>
          <w:tcPr>
            <w:tcW w:w="3591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light1" w:val="FFFFFF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</w:rPr>
              <w:t>Insuficient assolit (2)</w:t>
            </w:r>
          </w:p>
        </w:tc>
        <w:tc>
          <w:tcPr>
            <w:tcW w:w="3165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light1" w:val="FFFFFF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</w:rPr>
              <w:t>No assolit (1)</w:t>
            </w:r>
            <w:bookmarkStart w:id="0" w:name="_GoBack"/>
            <w:bookmarkEnd w:id="0"/>
          </w:p>
        </w:tc>
      </w:tr>
      <w:tr>
        <w:trPr>
          <w:trHeight w:val="1152" w:hRule="atLeast"/>
        </w:trPr>
        <w:tc>
          <w:tcPr>
            <w:tcW w:w="375" w:type="dxa"/>
            <w:vMerge w:val="restart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Contingut</w:t>
            </w:r>
          </w:p>
        </w:tc>
        <w:tc>
          <w:tcPr>
            <w:tcW w:w="151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Pressupost.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</w:rPr>
              <w:t>Identificació dels costos</w:t>
            </w:r>
          </w:p>
        </w:tc>
        <w:tc>
          <w:tcPr>
            <w:tcW w:w="337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S'han identificat i classificat de manera exhaustiva tots els costos directes (RRHH desglossats en 6 rols, amortitzacio del portatil ASUS TUF F15 i llicencies a 0 EUR), els costos indirectes (1,50 EUR/h) i les reserves tant de contingencia (5%) com d'imprevistos/riscos (Seccions 1.1 a 1.4).</w:t>
            </w:r>
          </w:p>
        </w:tc>
        <w:tc>
          <w:tcPr>
            <w:tcW w:w="3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5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19"/>
                <w:szCs w:val="19"/>
                <w:u w:val="none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u w:val="none"/>
              </w:rPr>
            </w:r>
          </w:p>
        </w:tc>
        <w:tc>
          <w:tcPr>
            <w:tcW w:w="316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</w:rPr>
            </w:r>
          </w:p>
        </w:tc>
      </w:tr>
      <w:tr>
        <w:trPr>
          <w:trHeight w:val="1152" w:hRule="atLeast"/>
        </w:trPr>
        <w:tc>
          <w:tcPr>
            <w:tcW w:w="375" w:type="dxa"/>
            <w:vMerge w:val="continue"/>
            <w:tcBorders/>
            <w:shd w:color="auto" w:fill="D8D8D8" w:themeFill="background1" w:themeFillShade="d9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</w:r>
          </w:p>
        </w:tc>
        <w:tc>
          <w:tcPr>
            <w:tcW w:w="151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Pressupost.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</w:rPr>
              <w:t>Estimació dels costos</w:t>
            </w:r>
          </w:p>
        </w:tc>
        <w:tc>
          <w:tcPr>
            <w:tcW w:w="337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Les tarifes horaries estan rigorosament justificades amb dades de mercat (Glassdoor Barcelona 2026) afegint un 30% de costos empresarials, i l'amortitzacio del hardware s'ha calculat amb la formula oficial de la FIB sobre 7.040 hores. Tanmateix, a la matriu de riscos (Taula 1.2) els costos dels Plans B es presenten com a xifres globals sense detallar el desglossament d'hores per rol.</w:t>
            </w:r>
          </w:p>
        </w:tc>
        <w:tc>
          <w:tcPr>
            <w:tcW w:w="35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16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152" w:hRule="atLeast"/>
          <w:cantSplit/>
        </w:trPr>
        <w:tc>
          <w:tcPr>
            <w:tcW w:w="375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</w:r>
          </w:p>
        </w:tc>
        <w:tc>
          <w:tcPr>
            <w:tcW w:w="151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Pressupost.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</w:rPr>
              <w:t>Control de gestió</w:t>
            </w:r>
          </w:p>
        </w:tc>
        <w:tc>
          <w:tcPr>
            <w:tcW w:w="337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highlight w:val="yellow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highlight w:val="yellow"/>
                <w:shd w:fill="FFFFFF" w:val="clear"/>
              </w:rPr>
            </w:r>
          </w:p>
        </w:tc>
        <w:tc>
          <w:tcPr>
            <w:tcW w:w="3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kern w:val="0"/>
                <w:sz w:val="19"/>
                <w:szCs w:val="19"/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auto" w:val="clear"/>
              </w:rPr>
              <w:t>Es defineixen formalment els mecanismes de control mitjançant el Valor Guanyat (EVM en Seccio 1.5), incloent les formules de desviacio en tarifa (CV) i eficiencia (SV) i establint un llindar d'actuacio del 10%. Tot i ser correcte, es podria haver complementat amb un cas practic o simulacio de seguiment setmanal.</w:t>
            </w:r>
          </w:p>
        </w:tc>
        <w:tc>
          <w:tcPr>
            <w:tcW w:w="35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16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152" w:hRule="atLeast"/>
          <w:cantSplit/>
        </w:trPr>
        <w:tc>
          <w:tcPr>
            <w:tcW w:w="375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</w:r>
          </w:p>
        </w:tc>
        <w:tc>
          <w:tcPr>
            <w:tcW w:w="151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Informe de Sostenibilitat</w:t>
            </w:r>
          </w:p>
        </w:tc>
        <w:tc>
          <w:tcPr>
            <w:tcW w:w="337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Es completa la Matriu de Sostenibilitat de la FIB en les seves tres dimensions i fases del cicle de vida (Taula 2.1). A mes, es realitza una quantificacio energetica i d'impacte ambiental molt rigorosa (38,25 kWh i 9,56 kg de CO2 en Seccio 2.2) basada en dades reals de consum del hardware i factors d'emissio oficials de Red Electrica de Espana.</w:t>
            </w:r>
          </w:p>
        </w:tc>
        <w:tc>
          <w:tcPr>
            <w:tcW w:w="3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5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16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152" w:hRule="atLeast"/>
          <w:cantSplit/>
        </w:trPr>
        <w:tc>
          <w:tcPr>
            <w:tcW w:w="375" w:type="dxa"/>
            <w:vMerge w:val="restart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Forma</w:t>
            </w:r>
          </w:p>
        </w:tc>
        <w:tc>
          <w:tcPr>
            <w:tcW w:w="151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Organització</w:t>
            </w:r>
          </w:p>
        </w:tc>
        <w:tc>
          <w:tcPr>
            <w:tcW w:w="337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Estructura impecable maquetada en LaTeX seguint la normativa i plantilla de la FIB, amb portada oficial, capitols, seccions, Taula de Continguts i llista de taules perfectament integrades.</w:t>
            </w:r>
          </w:p>
        </w:tc>
        <w:tc>
          <w:tcPr>
            <w:tcW w:w="3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5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16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152" w:hRule="atLeast"/>
          <w:cantSplit/>
        </w:trPr>
        <w:tc>
          <w:tcPr>
            <w:tcW w:w="375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</w:rPr>
            </w:r>
          </w:p>
        </w:tc>
        <w:tc>
          <w:tcPr>
            <w:tcW w:w="151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Claredat</w:t>
            </w:r>
          </w:p>
        </w:tc>
        <w:tc>
          <w:tcPr>
            <w:tcW w:w="337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Estructura impecable maquetada en LaTeX seguint la normativa i plantilla de la FIB, amb portada oficial, capitols, seccions, Taula de Continguts i llista de taules perfectament integrades.</w:t>
            </w:r>
          </w:p>
        </w:tc>
        <w:tc>
          <w:tcPr>
            <w:tcW w:w="35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16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152" w:hRule="atLeast"/>
          <w:cantSplit/>
        </w:trPr>
        <w:tc>
          <w:tcPr>
            <w:tcW w:w="375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</w:rPr>
            </w:r>
          </w:p>
        </w:tc>
        <w:tc>
          <w:tcPr>
            <w:tcW w:w="151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Redacció</w:t>
            </w:r>
          </w:p>
        </w:tc>
        <w:tc>
          <w:tcPr>
            <w:tcW w:w="3377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Redaccio impecable en tot el document, amb un registre academic i tecnic formal adequat per a un TFG i totalment lliure d'errors ortografics o gramaticals.</w:t>
            </w:r>
          </w:p>
        </w:tc>
        <w:tc>
          <w:tcPr>
            <w:tcW w:w="3379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591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165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</w:tbl>
    <w:p>
      <w:pPr>
        <w:pStyle w:val="Normal"/>
        <w:bidi w:val="0"/>
        <w:spacing w:before="0" w:after="200"/>
        <w:jc w:val="start"/>
        <w:rPr>
          <w:rFonts w:ascii="Arial" w:hAnsi="Arial" w:eastAsia="Arial" w:cs="Arial"/>
          <w:color w:val="373A3C"/>
          <w:sz w:val="20"/>
          <w:szCs w:val="20"/>
          <w:shd w:fill="FFFFFF" w:val="clear"/>
        </w:rPr>
      </w:pPr>
      <w:r>
        <w:rPr>
          <w:rFonts w:eastAsia="Arial" w:cs="Arial" w:ascii="Arial" w:hAnsi="Arial"/>
          <w:color w:val="373A3C"/>
          <w:sz w:val="20"/>
          <w:szCs w:val="20"/>
          <w:shd w:fill="FFFFFF" w:val="clear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720" w:right="720" w:gutter="0" w:header="709" w:top="766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Garamond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lineRule="auto" w:line="240" w:before="0" w:after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40" w:before="0" w:after="0"/>
      <w:jc w:val="start"/>
      <w:rPr/>
    </w:pPr>
    <w:r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8783320</wp:posOffset>
          </wp:positionH>
          <wp:positionV relativeFrom="paragraph">
            <wp:posOffset>24130</wp:posOffset>
          </wp:positionV>
          <wp:extent cx="981710" cy="374650"/>
          <wp:effectExtent l="0" t="0" r="0" b="0"/>
          <wp:wrapTight wrapText="bothSides">
            <wp:wrapPolygon edited="0">
              <wp:start x="-2" y="0"/>
              <wp:lineTo x="-2" y="20876"/>
              <wp:lineTo x="21374" y="20876"/>
              <wp:lineTo x="21374" y="0"/>
              <wp:lineTo x="-2" y="0"/>
            </wp:wrapPolygon>
          </wp:wrapTight>
          <wp:docPr id="1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374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6"/>
        <w:szCs w:val="26"/>
      </w:rPr>
      <w:t>Gestió de Projectes</w:t>
    </w:r>
    <w:r>
      <w:rPr>
        <w:b/>
        <w:sz w:val="26"/>
        <w:szCs w:val="26"/>
        <w:lang w:val="en-US"/>
      </w:rPr>
      <w:t xml:space="preserve">. </w:t>
    </w:r>
    <w:r>
      <w:rPr/>
      <w:t xml:space="preserve">Avaluació dels </w:t>
    </w:r>
    <w:r>
      <w:rPr>
        <w:lang w:val="en-US"/>
      </w:rPr>
      <w:t>lliurament</w:t>
    </w:r>
    <w:r>
      <w:rPr/>
      <w:t>s.</w:t>
    </w:r>
  </w:p>
  <w:p>
    <w:pPr>
      <w:pStyle w:val="Normal"/>
      <w:bidi w:val="0"/>
      <w:spacing w:lineRule="auto" w:line="240" w:before="0" w:after="0"/>
      <w:jc w:val="start"/>
      <w:rPr>
        <w:b/>
      </w:rPr>
    </w:pPr>
    <w:r>
      <w:rPr>
        <w:b/>
        <w:lang w:val="en-US"/>
      </w:rPr>
      <w:t>Lliurament</w:t>
    </w:r>
    <w:r>
      <w:rPr>
        <w:b/>
      </w:rPr>
      <w:t xml:space="preserve"> 3: Pressupost i sostenibilitat.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40" w:before="0" w:after="0"/>
      <w:jc w:val="start"/>
      <w:rPr/>
    </w:pPr>
    <w:r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8783320</wp:posOffset>
          </wp:positionH>
          <wp:positionV relativeFrom="paragraph">
            <wp:posOffset>24130</wp:posOffset>
          </wp:positionV>
          <wp:extent cx="981710" cy="374650"/>
          <wp:effectExtent l="0" t="0" r="0" b="0"/>
          <wp:wrapTight wrapText="bothSides">
            <wp:wrapPolygon edited="0">
              <wp:start x="-2" y="0"/>
              <wp:lineTo x="-2" y="20876"/>
              <wp:lineTo x="21374" y="20876"/>
              <wp:lineTo x="21374" y="0"/>
              <wp:lineTo x="-2" y="0"/>
            </wp:wrapPolygon>
          </wp:wrapTight>
          <wp:docPr id="2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374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6"/>
        <w:szCs w:val="26"/>
      </w:rPr>
      <w:t>Gestió de Projectes</w:t>
    </w:r>
    <w:r>
      <w:rPr>
        <w:b/>
        <w:sz w:val="26"/>
        <w:szCs w:val="26"/>
        <w:lang w:val="en-US"/>
      </w:rPr>
      <w:t xml:space="preserve">. </w:t>
    </w:r>
    <w:r>
      <w:rPr/>
      <w:t xml:space="preserve">Avaluació dels </w:t>
    </w:r>
    <w:r>
      <w:rPr>
        <w:lang w:val="en-US"/>
      </w:rPr>
      <w:t>lliurament</w:t>
    </w:r>
    <w:r>
      <w:rPr/>
      <w:t>s.</w:t>
    </w:r>
  </w:p>
  <w:p>
    <w:pPr>
      <w:pStyle w:val="Normal"/>
      <w:bidi w:val="0"/>
      <w:spacing w:lineRule="auto" w:line="240" w:before="0" w:after="0"/>
      <w:jc w:val="start"/>
      <w:rPr>
        <w:b/>
      </w:rPr>
    </w:pPr>
    <w:r>
      <w:rPr>
        <w:b/>
        <w:lang w:val="en-US"/>
      </w:rPr>
      <w:t>Lliurament</w:t>
    </w:r>
    <w:r>
      <w:rPr>
        <w:b/>
      </w:rPr>
      <w:t xml:space="preserve"> 3: Pressupost i sostenibilitat.</w:t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425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ca-E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ca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 w:semiHidden="0" w:qFormat="1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0" w:semiHidden="0" w:unhideWhenUsed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semiHidden="0" w:qFormat="1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false"/>
      <w:bidi w:val="0"/>
      <w:spacing w:lineRule="auto" w:line="276" w:before="0" w:after="200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paragraph" w:styleId="Heading1">
    <w:name w:val="heading 1"/>
    <w:basedOn w:val="Normal"/>
    <w:next w:val="Normal"/>
    <w:link w:val="Ttulo1Car"/>
    <w:uiPriority w:val="0"/>
    <w:qFormat/>
    <w:pPr>
      <w:keepNext w:val="true"/>
      <w:suppressAutoHyphens w:val="true"/>
      <w:spacing w:lineRule="auto" w:line="336" w:before="480" w:after="480"/>
      <w:jc w:val="both"/>
      <w:outlineLvl w:val="0"/>
    </w:pPr>
    <w:rPr>
      <w:rFonts w:ascii="Garamond" w:hAnsi="Garamond" w:eastAsia="Times New Roman" w:cs="Arial"/>
      <w:b/>
      <w:bCs/>
      <w:kern w:val="2"/>
      <w:sz w:val="36"/>
      <w:szCs w:val="32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PageNumber">
    <w:name w:val="page number"/>
    <w:basedOn w:val="DefaultParagraphFont"/>
    <w:uiPriority w:val="99"/>
    <w:unhideWhenUsed/>
    <w:qFormat/>
    <w:rPr/>
  </w:style>
  <w:style w:type="character" w:styleId="Ttulo1Car" w:customStyle="1">
    <w:name w:val="Título 1 Car"/>
    <w:basedOn w:val="DefaultParagraphFont"/>
    <w:uiPriority w:val="0"/>
    <w:qFormat/>
    <w:rPr>
      <w:rFonts w:ascii="Garamond" w:hAnsi="Garamond" w:eastAsia="Times New Roman" w:cs="Arial"/>
      <w:b/>
      <w:bCs/>
      <w:kern w:val="2"/>
      <w:sz w:val="36"/>
      <w:szCs w:val="32"/>
      <w:lang w:eastAsia="ar-SA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TextodegloboCar"/>
    <w:uiPriority w:val="99"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cabezado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uiPriority w:val="0"/>
    <w:qFormat/>
    <w:pPr>
      <w:widowControl w:val="false"/>
      <w:bidi w:val="0"/>
      <w:spacing w:lineRule="auto" w:line="259" w:beforeAutospacing="1" w:afterAutospacing="1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Prrafodelista1" w:customStyle="1">
    <w:name w:val="Párrafo de lista1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Footer1" w:customStyle="1">
    <w:name w:val="Footer1"/>
    <w:basedOn w:val="Normal"/>
    <w:uiPriority w:val="99"/>
    <w:unhideWhenUsed/>
    <w:qFormat/>
    <w:pPr>
      <w:tabs>
        <w:tab w:val="clear" w:pos="708"/>
        <w:tab w:val="center" w:pos="4419" w:leader="none"/>
        <w:tab w:val="right" w:pos="8838" w:leader="none"/>
      </w:tabs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Table Grid"/>
    <w:basedOn w:val="4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ula amb quadrícula1"/>
    <w:basedOn w:val="4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LibreOffice/26.2.6.3$Windows_X86_64 LibreOffice_project/8221e31b3ac356a1623c672912a3d2b492f7e3d1</Application>
  <AppVersion>15.0000</AppVersion>
  <Pages>2</Pages>
  <Words>344</Words>
  <Characters>1920</Characters>
  <CharactersWithSpaces>2245</CharactersWithSpaces>
  <Paragraphs>26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2018-02-24T00:40:00Z</dcterms:created>
  <dc:creator>Jasmina</dc:creator>
  <dc:description/>
  <dc:language>ca-ES</dc:language>
  <cp:lastModifiedBy/>
  <cp:lastPrinted>2017-03-07T01:09:00Z</cp:lastPrinted>
  <dcterms:modified xsi:type="dcterms:W3CDTF">2026-10-02T19:40:56Z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