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 xml:space="preserve">Title: </w:t>
      </w:r>
    </w:p>
    <w:p>
      <w:pPr>
        <w:pStyle w:val="Normal"/>
        <w:rPr>
          <w:rFonts w:ascii="Arial" w:hAnsi="Arial" w:eastAsia="Times New Roman" w:cs="Arial"/>
          <w:sz w:val="22"/>
          <w:szCs w:val="22"/>
        </w:rPr>
      </w:pPr>
      <w:r>
        <w:rPr>
          <w:rFonts w:eastAsia="Times New Roman" w:cs="Arial" w:ascii="Arial" w:hAnsi="Arial"/>
          <w:color w:val="000000"/>
          <w:sz w:val="22"/>
          <w:szCs w:val="22"/>
        </w:rPr>
        <w:t>HLA Antigens and Recurrence of Focal Segmental Glomerulosclerosis in Pediatric Kidney Transplantation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  <w:u w:val="single"/>
        </w:rPr>
        <w:t>B. Shaw</w:t>
      </w:r>
      <w:r>
        <w:rPr>
          <w:rFonts w:cs="Arial" w:ascii="Arial" w:hAnsi="Arial"/>
          <w:bCs/>
          <w:sz w:val="22"/>
          <w:szCs w:val="22"/>
          <w:vertAlign w:val="superscript"/>
        </w:rPr>
        <w:t>1</w:t>
      </w:r>
      <w:r>
        <w:rPr>
          <w:rFonts w:cs="Arial" w:ascii="Arial" w:hAnsi="Arial"/>
          <w:bCs/>
          <w:sz w:val="22"/>
          <w:szCs w:val="22"/>
        </w:rPr>
        <w:t>, A. Ochoa</w:t>
      </w:r>
      <w:r>
        <w:rPr>
          <w:rFonts w:cs="Arial" w:ascii="Arial" w:hAnsi="Arial"/>
          <w:bCs/>
          <w:sz w:val="22"/>
          <w:szCs w:val="22"/>
          <w:vertAlign w:val="superscript"/>
        </w:rPr>
        <w:t>2</w:t>
      </w:r>
      <w:r>
        <w:rPr>
          <w:rFonts w:cs="Arial" w:ascii="Arial" w:hAnsi="Arial"/>
          <w:bCs/>
          <w:sz w:val="22"/>
          <w:szCs w:val="22"/>
        </w:rPr>
        <w:t>, C. Chan</w:t>
      </w:r>
      <w:r>
        <w:rPr>
          <w:rFonts w:cs="Arial" w:ascii="Arial" w:hAnsi="Arial"/>
          <w:bCs/>
          <w:sz w:val="22"/>
          <w:szCs w:val="22"/>
          <w:vertAlign w:val="superscript"/>
        </w:rPr>
        <w:t>2</w:t>
      </w:r>
      <w:r>
        <w:rPr>
          <w:rFonts w:cs="Arial" w:ascii="Arial" w:hAnsi="Arial"/>
          <w:bCs/>
          <w:sz w:val="22"/>
          <w:szCs w:val="22"/>
        </w:rPr>
        <w:t>, R. A. Gbadegesin</w:t>
      </w:r>
      <w:r>
        <w:rPr>
          <w:rFonts w:cs="Arial" w:ascii="Arial" w:hAnsi="Arial"/>
          <w:bCs/>
          <w:sz w:val="22"/>
          <w:szCs w:val="22"/>
          <w:vertAlign w:val="superscript"/>
        </w:rPr>
        <w:t>3</w:t>
      </w:r>
      <w:r>
        <w:rPr>
          <w:rFonts w:cs="Arial" w:ascii="Arial" w:hAnsi="Arial"/>
          <w:bCs/>
          <w:sz w:val="22"/>
          <w:szCs w:val="22"/>
        </w:rPr>
        <w:t>, A. M. Jackson</w:t>
      </w:r>
      <w:r>
        <w:rPr>
          <w:rFonts w:cs="Arial" w:ascii="Arial" w:hAnsi="Arial"/>
          <w:bCs/>
          <w:sz w:val="22"/>
          <w:szCs w:val="22"/>
          <w:vertAlign w:val="superscript"/>
        </w:rPr>
        <w:t>1</w:t>
      </w:r>
      <w:r>
        <w:rPr>
          <w:rFonts w:cs="Arial" w:ascii="Arial" w:hAnsi="Arial"/>
          <w:bCs/>
          <w:sz w:val="22"/>
          <w:szCs w:val="22"/>
        </w:rPr>
        <w:t>,  E. T. Chambers</w:t>
      </w:r>
      <w:r>
        <w:rPr>
          <w:rFonts w:cs="Arial" w:ascii="Arial" w:hAnsi="Arial"/>
          <w:bCs/>
          <w:sz w:val="22"/>
          <w:szCs w:val="22"/>
          <w:vertAlign w:val="superscript"/>
        </w:rPr>
        <w:t>1,3</w:t>
      </w:r>
      <w:r>
        <w:rPr>
          <w:rFonts w:cs="Arial" w:ascii="Arial" w:hAnsi="Arial"/>
          <w:bCs/>
          <w:sz w:val="22"/>
          <w:szCs w:val="22"/>
        </w:rPr>
        <w:t> </w:t>
      </w:r>
    </w:p>
    <w:p>
      <w:pPr>
        <w:pStyle w:val="Normal"/>
        <w:rPr>
          <w:rFonts w:ascii="Arial" w:hAnsi="Arial" w:cs="Arial"/>
          <w:bCs/>
          <w:i/>
          <w:i/>
          <w:iCs/>
          <w:sz w:val="22"/>
          <w:szCs w:val="22"/>
        </w:rPr>
      </w:pPr>
      <w:r>
        <w:rPr>
          <w:rFonts w:cs="Arial" w:ascii="Arial" w:hAnsi="Arial"/>
          <w:bCs/>
          <w:i/>
          <w:iCs/>
          <w:sz w:val="22"/>
          <w:szCs w:val="22"/>
          <w:vertAlign w:val="superscript"/>
        </w:rPr>
        <w:t>1</w:t>
      </w:r>
      <w:r>
        <w:rPr>
          <w:rFonts w:cs="Arial" w:ascii="Arial" w:hAnsi="Arial"/>
          <w:bCs/>
          <w:i/>
          <w:iCs/>
          <w:sz w:val="22"/>
          <w:szCs w:val="22"/>
        </w:rPr>
        <w:t>Surgery, Duke University, DURHAM, NC,</w:t>
      </w:r>
    </w:p>
    <w:p>
      <w:pPr>
        <w:pStyle w:val="Normal"/>
        <w:rPr>
          <w:rFonts w:ascii="Arial" w:hAnsi="Arial" w:cs="Arial"/>
          <w:bCs/>
          <w:i/>
          <w:i/>
          <w:iCs/>
          <w:sz w:val="22"/>
          <w:szCs w:val="22"/>
        </w:rPr>
      </w:pPr>
      <w:r>
        <w:rPr>
          <w:rFonts w:cs="Arial" w:ascii="Arial" w:hAnsi="Arial"/>
          <w:bCs/>
          <w:i/>
          <w:iCs/>
          <w:sz w:val="22"/>
          <w:szCs w:val="22"/>
        </w:rPr>
        <w:t> </w:t>
      </w:r>
      <w:r>
        <w:rPr>
          <w:rFonts w:cs="Arial" w:ascii="Arial" w:hAnsi="Arial"/>
          <w:bCs/>
          <w:i/>
          <w:iCs/>
          <w:sz w:val="22"/>
          <w:szCs w:val="22"/>
          <w:vertAlign w:val="superscript"/>
        </w:rPr>
        <w:t>2</w:t>
      </w:r>
      <w:r>
        <w:rPr>
          <w:rFonts w:cs="Arial" w:ascii="Arial" w:hAnsi="Arial"/>
          <w:bCs/>
          <w:i/>
          <w:iCs/>
          <w:sz w:val="22"/>
          <w:szCs w:val="22"/>
        </w:rPr>
        <w:t>Biostatistics and Bioinformatics, Duke University, DURHAM, NC,</w:t>
      </w:r>
    </w:p>
    <w:p>
      <w:pPr>
        <w:pStyle w:val="Normal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i/>
          <w:iCs/>
          <w:sz w:val="22"/>
          <w:szCs w:val="22"/>
        </w:rPr>
        <w:t> </w:t>
      </w:r>
      <w:r>
        <w:rPr>
          <w:rFonts w:cs="Arial" w:ascii="Arial" w:hAnsi="Arial"/>
          <w:bCs/>
          <w:i/>
          <w:iCs/>
          <w:sz w:val="22"/>
          <w:szCs w:val="22"/>
          <w:vertAlign w:val="superscript"/>
        </w:rPr>
        <w:t>3</w:t>
      </w:r>
      <w:r>
        <w:rPr>
          <w:rFonts w:cs="Arial" w:ascii="Arial" w:hAnsi="Arial"/>
          <w:bCs/>
          <w:i/>
          <w:iCs/>
          <w:sz w:val="22"/>
          <w:szCs w:val="22"/>
        </w:rPr>
        <w:t>Pediatrics, Duke University, DURHAM, NC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Purpose</w:t>
      </w:r>
    </w:p>
    <w:p>
      <w:pPr>
        <w:pStyle w:val="Normal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Recurrence of focal segmental glomerulosclerosis (FSGS) reduces graft survival yet risk factors remain elusive. While </w:t>
      </w:r>
      <w:del w:id="0" w:author="Alejandro Ochoa" w:date="2020-11-19T22:17:58Z">
        <w:r>
          <w:rPr>
            <w:rFonts w:cs="Arial" w:ascii="Arial" w:hAnsi="Arial"/>
            <w:bCs/>
            <w:sz w:val="22"/>
            <w:szCs w:val="22"/>
          </w:rPr>
          <w:delText>(</w:delText>
        </w:r>
      </w:del>
      <w:r>
        <w:rPr>
          <w:rFonts w:cs="Arial" w:ascii="Arial" w:hAnsi="Arial"/>
          <w:bCs/>
          <w:sz w:val="22"/>
          <w:szCs w:val="22"/>
        </w:rPr>
        <w:t>Human Leukocyte Antigen</w:t>
      </w:r>
      <w:del w:id="1" w:author="Alejandro Ochoa" w:date="2020-11-19T22:18:00Z">
        <w:r>
          <w:rPr>
            <w:rFonts w:cs="Arial" w:ascii="Arial" w:hAnsi="Arial"/>
            <w:bCs/>
            <w:sz w:val="22"/>
            <w:szCs w:val="22"/>
          </w:rPr>
          <w:delText>)</w:delText>
        </w:r>
      </w:del>
      <w:r>
        <w:rPr>
          <w:rFonts w:cs="Arial" w:ascii="Arial" w:hAnsi="Arial"/>
          <w:bCs/>
          <w:sz w:val="22"/>
          <w:szCs w:val="22"/>
        </w:rPr>
        <w:t xml:space="preserve"> </w:t>
      </w:r>
      <w:ins w:id="2" w:author="Alejandro Ochoa" w:date="2020-11-19T22:18:04Z">
        <w:r>
          <w:rPr>
            <w:rFonts w:cs="Arial" w:ascii="Arial" w:hAnsi="Arial"/>
            <w:bCs/>
            <w:sz w:val="22"/>
            <w:szCs w:val="22"/>
          </w:rPr>
          <w:t>(</w:t>
        </w:r>
      </w:ins>
      <w:r>
        <w:rPr>
          <w:rFonts w:cs="Arial" w:ascii="Arial" w:hAnsi="Arial"/>
          <w:bCs/>
          <w:sz w:val="22"/>
          <w:szCs w:val="22"/>
        </w:rPr>
        <w:t>HLA</w:t>
      </w:r>
      <w:ins w:id="3" w:author="Alejandro Ochoa" w:date="2020-11-19T22:18:05Z">
        <w:r>
          <w:rPr>
            <w:rFonts w:cs="Arial" w:ascii="Arial" w:hAnsi="Arial"/>
            <w:bCs/>
            <w:sz w:val="22"/>
            <w:szCs w:val="22"/>
          </w:rPr>
          <w:t>)</w:t>
        </w:r>
      </w:ins>
      <w:r>
        <w:rPr>
          <w:rFonts w:cs="Arial" w:ascii="Arial" w:hAnsi="Arial"/>
          <w:bCs/>
          <w:sz w:val="22"/>
          <w:szCs w:val="22"/>
        </w:rPr>
        <w:t xml:space="preserve"> risk alleles are associated with primary nephrotic syndrome, we sought to determine the role of HLA in post-transplant recurrence.</w:t>
      </w:r>
    </w:p>
    <w:p>
      <w:pPr>
        <w:pStyle w:val="Normal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Methods</w:t>
      </w:r>
    </w:p>
    <w:p>
      <w:pPr>
        <w:pStyle w:val="Normal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Kidney transplant recipients under 19 years old diagnosed with FSGS were obtained from the Scientific Registry of Transplant Recipients. </w:t>
      </w:r>
      <w:del w:id="4" w:author="Alejandro Ochoa" w:date="2020-11-19T22:27:39Z">
        <w:r>
          <w:rPr>
            <w:rFonts w:cs="Arial" w:ascii="Arial" w:hAnsi="Arial"/>
            <w:bCs/>
            <w:sz w:val="22"/>
            <w:szCs w:val="22"/>
          </w:rPr>
          <w:delText>Univaria</w:delText>
        </w:r>
      </w:del>
      <w:del w:id="5" w:author="Alejandro Ochoa" w:date="2020-11-19T22:18:42Z">
        <w:r>
          <w:rPr>
            <w:rFonts w:cs="Arial" w:ascii="Arial" w:hAnsi="Arial"/>
            <w:bCs/>
            <w:sz w:val="22"/>
            <w:szCs w:val="22"/>
          </w:rPr>
          <w:delText>bl</w:delText>
        </w:r>
      </w:del>
      <w:del w:id="6" w:author="Alejandro Ochoa" w:date="2020-11-19T22:27:39Z">
        <w:r>
          <w:rPr>
            <w:rFonts w:cs="Arial" w:ascii="Arial" w:hAnsi="Arial"/>
            <w:bCs/>
            <w:sz w:val="22"/>
            <w:szCs w:val="22"/>
          </w:rPr>
          <w:delText>e</w:delText>
        </w:r>
      </w:del>
      <w:ins w:id="7" w:author="Alejandro Ochoa" w:date="2020-11-19T22:27:39Z">
        <w:r>
          <w:rPr>
            <w:rFonts w:cs="Arial" w:ascii="Arial" w:hAnsi="Arial"/>
            <w:bCs/>
            <w:sz w:val="22"/>
            <w:szCs w:val="22"/>
          </w:rPr>
          <w:t>Simple</w:t>
        </w:r>
      </w:ins>
      <w:r>
        <w:rPr>
          <w:rFonts w:cs="Arial" w:ascii="Arial" w:hAnsi="Arial"/>
          <w:bCs/>
          <w:sz w:val="22"/>
          <w:szCs w:val="22"/>
        </w:rPr>
        <w:t xml:space="preserve"> logistic regression was performed to relate</w:t>
      </w:r>
      <w:del w:id="8" w:author="Alejandro Ochoa" w:date="2020-11-19T22:19:29Z">
        <w:r>
          <w:rPr>
            <w:rFonts w:cs="Arial" w:ascii="Arial" w:hAnsi="Arial"/>
            <w:bCs/>
            <w:sz w:val="22"/>
            <w:szCs w:val="22"/>
          </w:rPr>
          <w:delText>d</w:delText>
        </w:r>
      </w:del>
      <w:r>
        <w:rPr>
          <w:rFonts w:cs="Arial" w:ascii="Arial" w:hAnsi="Arial"/>
          <w:bCs/>
          <w:sz w:val="22"/>
          <w:szCs w:val="22"/>
        </w:rPr>
        <w:t xml:space="preserve"> recipient HLA antigen and recurrence. </w:t>
      </w:r>
      <w:commentRangeStart w:id="0"/>
      <w:r>
        <w:rPr>
          <w:rFonts w:cs="Arial" w:ascii="Arial" w:hAnsi="Arial"/>
          <w:bCs/>
          <w:sz w:val="22"/>
          <w:szCs w:val="22"/>
        </w:rPr>
        <w:t xml:space="preserve">Multiple </w:t>
      </w:r>
      <w:del w:id="9" w:author="Alejandro Ochoa" w:date="2020-11-19T22:28:38Z">
        <w:r>
          <w:rPr>
            <w:rFonts w:cs="Arial" w:ascii="Arial" w:hAnsi="Arial"/>
            <w:bCs/>
            <w:sz w:val="22"/>
            <w:szCs w:val="22"/>
          </w:rPr>
          <w:delText>comparison</w:delText>
        </w:r>
      </w:del>
      <w:ins w:id="10" w:author="Alejandro Ochoa" w:date="2020-11-19T22:28:38Z">
        <w:r>
          <w:rPr>
            <w:rFonts w:cs="Arial" w:ascii="Arial" w:hAnsi="Arial"/>
            <w:bCs/>
            <w:sz w:val="22"/>
            <w:szCs w:val="22"/>
          </w:rPr>
          <w:t>hypothesis testing</w:t>
        </w:r>
      </w:ins>
      <w:r>
        <w:rPr>
          <w:rFonts w:cs="Arial" w:ascii="Arial" w:hAnsi="Arial"/>
          <w:bCs/>
          <w:sz w:val="22"/>
          <w:szCs w:val="22"/>
        </w:rPr>
        <w:t xml:space="preserve"> corrections </w:t>
      </w:r>
      <w:ins w:id="11" w:author="Alejandro Ochoa" w:date="2020-11-19T22:20:06Z">
        <w:r>
          <w:rPr>
            <w:rFonts w:cs="Arial" w:ascii="Arial" w:hAnsi="Arial"/>
            <w:bCs/>
            <w:sz w:val="22"/>
            <w:szCs w:val="22"/>
          </w:rPr>
          <w:t>were performed</w:t>
        </w:r>
      </w:ins>
      <w:ins w:id="12" w:author="Alejandro Ochoa" w:date="2020-11-19T22:20:06Z">
        <w:r>
          <w:rPr>
            <w:rFonts w:cs="Arial" w:ascii="Arial" w:hAnsi="Arial"/>
            <w:bCs/>
            <w:sz w:val="22"/>
            <w:szCs w:val="22"/>
          </w:rPr>
        </w:r>
      </w:ins>
      <w:ins w:id="13" w:author="Alejandro Ochoa" w:date="2020-11-19T22:20:06Z">
        <w:commentRangeEnd w:id="0"/>
        <w:r>
          <w:commentReference w:id="0"/>
        </w:r>
        <w:r>
          <w:rPr>
            <w:rFonts w:cs="Arial" w:ascii="Arial" w:hAnsi="Arial"/>
            <w:bCs/>
            <w:sz w:val="22"/>
            <w:szCs w:val="22"/>
          </w:rPr>
          <w:t xml:space="preserve"> </w:t>
        </w:r>
      </w:ins>
      <w:r>
        <w:rPr>
          <w:rFonts w:cs="Arial" w:ascii="Arial" w:hAnsi="Arial"/>
          <w:bCs/>
          <w:sz w:val="22"/>
          <w:szCs w:val="22"/>
        </w:rPr>
        <w:t>us</w:t>
      </w:r>
      <w:ins w:id="14" w:author="Alejandro Ochoa" w:date="2020-11-19T22:20:10Z">
        <w:r>
          <w:rPr>
            <w:rFonts w:cs="Arial" w:ascii="Arial" w:hAnsi="Arial"/>
            <w:bCs/>
            <w:sz w:val="22"/>
            <w:szCs w:val="22"/>
          </w:rPr>
          <w:t>ing</w:t>
        </w:r>
      </w:ins>
      <w:del w:id="15" w:author="Alejandro Ochoa" w:date="2020-11-19T22:20:10Z">
        <w:r>
          <w:rPr>
            <w:rFonts w:cs="Arial" w:ascii="Arial" w:hAnsi="Arial"/>
            <w:bCs/>
            <w:sz w:val="22"/>
            <w:szCs w:val="22"/>
          </w:rPr>
          <w:delText>ed</w:delText>
        </w:r>
      </w:del>
      <w:r>
        <w:rPr>
          <w:rFonts w:cs="Arial" w:ascii="Arial" w:hAnsi="Arial"/>
          <w:bCs/>
          <w:sz w:val="22"/>
          <w:szCs w:val="22"/>
        </w:rPr>
        <w:t xml:space="preserve"> the Benjamini-Hochberg method. For recipient HLA antigens associated with recurrence, we also examined the association of donor HLA and concordance between donor and recipient HLA and recurrence. Multi</w:t>
      </w:r>
      <w:del w:id="16" w:author="Alejandro Ochoa" w:date="2020-11-19T22:28:04Z">
        <w:r>
          <w:rPr>
            <w:rFonts w:cs="Arial" w:ascii="Arial" w:hAnsi="Arial"/>
            <w:bCs/>
            <w:sz w:val="22"/>
            <w:szCs w:val="22"/>
          </w:rPr>
          <w:delText>variab</w:delText>
        </w:r>
      </w:del>
      <w:ins w:id="17" w:author="Alejandro Ochoa" w:date="2020-11-19T22:28:07Z">
        <w:r>
          <w:rPr>
            <w:rFonts w:cs="Arial" w:ascii="Arial" w:hAnsi="Arial"/>
            <w:bCs/>
            <w:sz w:val="22"/>
            <w:szCs w:val="22"/>
          </w:rPr>
          <w:t>p</w:t>
        </w:r>
      </w:ins>
      <w:r>
        <w:rPr>
          <w:rFonts w:cs="Arial" w:ascii="Arial" w:hAnsi="Arial"/>
          <w:bCs/>
          <w:sz w:val="22"/>
          <w:szCs w:val="22"/>
        </w:rPr>
        <w:t>le logistic regression was performed to predict recurrence.</w:t>
      </w:r>
    </w:p>
    <w:p>
      <w:pPr>
        <w:pStyle w:val="Normal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Results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Recipients who recurred were younger and had lower albumin; no association between deceased or living donor type and recurrence was seen (</w:t>
      </w:r>
      <w:r>
        <w:rPr>
          <w:rFonts w:cs="Arial" w:ascii="Arial" w:hAnsi="Arial"/>
          <w:b/>
          <w:sz w:val="22"/>
          <w:szCs w:val="22"/>
        </w:rPr>
        <w:t>Table 1</w:t>
      </w:r>
      <w:r>
        <w:rPr>
          <w:rFonts w:cs="Arial" w:ascii="Arial" w:hAnsi="Arial"/>
          <w:sz w:val="22"/>
          <w:szCs w:val="22"/>
        </w:rPr>
        <w:t>). Recipient HLA antigens B13, DR7, DR53, and DQ2 were associated with increased recurrence while DQ7, DQ6, DR52, B58 and C3 were associated with decreased recurrence (</w:t>
      </w:r>
      <w:r>
        <w:rPr>
          <w:rFonts w:cs="Arial" w:ascii="Arial" w:hAnsi="Arial"/>
          <w:b/>
          <w:sz w:val="22"/>
          <w:szCs w:val="22"/>
        </w:rPr>
        <w:t>Figure 1A</w:t>
      </w:r>
      <w:r>
        <w:rPr>
          <w:rFonts w:cs="Arial" w:ascii="Arial" w:hAnsi="Arial"/>
          <w:sz w:val="22"/>
          <w:szCs w:val="22"/>
        </w:rPr>
        <w:t>). HLA-DR7, DQ2, and DR53 presented as co-linear variables and represented a potential risk haplotype for recurrence (OR 1.92 95% CI [1.44-2.50]). This risk phenotype was associated with a shorter recurrence free survival (</w:t>
      </w:r>
      <w:r>
        <w:rPr>
          <w:rFonts w:cs="Arial" w:ascii="Arial" w:hAnsi="Arial"/>
          <w:b/>
          <w:bCs/>
          <w:sz w:val="22"/>
          <w:szCs w:val="22"/>
        </w:rPr>
        <w:t>Figure 1B</w:t>
      </w:r>
      <w:r>
        <w:rPr>
          <w:rFonts w:cs="Arial" w:ascii="Arial" w:hAnsi="Arial"/>
          <w:sz w:val="22"/>
          <w:szCs w:val="22"/>
        </w:rPr>
        <w:t xml:space="preserve">, Logrank p&lt;0.0001). Donor organs with the risk phenotype did not </w:t>
      </w:r>
      <w:ins w:id="18" w:author="Alejandro Ochoa" w:date="2020-11-19T22:37:04Z">
        <w:r>
          <w:rPr>
            <w:rFonts w:cs="Arial" w:ascii="Arial" w:hAnsi="Arial"/>
            <w:sz w:val="22"/>
            <w:szCs w:val="22"/>
          </w:rPr>
          <w:t xml:space="preserve">significantly </w:t>
        </w:r>
      </w:ins>
      <w:del w:id="19" w:author="Alejandro Ochoa" w:date="2020-11-19T22:37:26Z">
        <w:r>
          <w:rPr>
            <w:rFonts w:cs="Arial" w:ascii="Arial" w:hAnsi="Arial"/>
            <w:sz w:val="22"/>
            <w:szCs w:val="22"/>
          </w:rPr>
          <w:delText xml:space="preserve">further </w:delText>
        </w:r>
      </w:del>
      <w:r>
        <w:rPr>
          <w:rFonts w:cs="Arial" w:ascii="Arial" w:hAnsi="Arial"/>
          <w:sz w:val="22"/>
          <w:szCs w:val="22"/>
        </w:rPr>
        <w:t xml:space="preserve">increase risk of recurrence, even in cases where recipient and donor both possessed the risk phenotype. DQ7 concordance between donor and recipient was associated with decreased recurrence (OR 0.36 95% CI [0.22-0.59]). Our multivariable model using low resolution HLA data had moderate predictive value (c-statistic 0.67).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Conclusions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Certain HLA antigens were found to associate with either increased or decreased risk of recurrent FSGS post-transplantation. Validation of HLA risk alleles could impact risk assessment and donor selection in this population.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Table 1</w:t>
      </w:r>
    </w:p>
    <w:tbl>
      <w:tblPr>
        <w:tblStyle w:val="TableGrid"/>
        <w:tblW w:w="77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49"/>
        <w:gridCol w:w="1782"/>
        <w:gridCol w:w="1782"/>
        <w:gridCol w:w="987"/>
      </w:tblGrid>
      <w:tr>
        <w:trPr/>
        <w:tc>
          <w:tcPr>
            <w:tcW w:w="314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8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No Recurrence</w:t>
            </w:r>
          </w:p>
        </w:tc>
        <w:tc>
          <w:tcPr>
            <w:tcW w:w="178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Recurrence</w:t>
            </w:r>
          </w:p>
        </w:tc>
        <w:tc>
          <w:tcPr>
            <w:tcW w:w="987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p-value</w:t>
            </w:r>
          </w:p>
        </w:tc>
      </w:tr>
      <w:tr>
        <w:trPr/>
        <w:tc>
          <w:tcPr>
            <w:tcW w:w="3149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82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N=943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N=388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49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Gender(F)-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n(%)</w:t>
            </w:r>
          </w:p>
        </w:tc>
        <w:tc>
          <w:tcPr>
            <w:tcW w:w="1782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399 (42%)</w:t>
            </w:r>
          </w:p>
        </w:tc>
        <w:tc>
          <w:tcPr>
            <w:tcW w:w="1782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173 (45%)</w:t>
            </w:r>
          </w:p>
        </w:tc>
        <w:tc>
          <w:tcPr>
            <w:tcW w:w="987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0.45</w:t>
            </w:r>
          </w:p>
        </w:tc>
      </w:tr>
      <w:tr>
        <w:trPr/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Age at transplant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-Med(IQR)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16.0 (12.0-18.0)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14.0 (10.0-17.0)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Race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0.11</w:t>
            </w:r>
          </w:p>
        </w:tc>
      </w:tr>
      <w:tr>
        <w:trPr/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Asian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29 ( 3%)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7 ( 2%)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Black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364 (39%)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131 (34%)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Multi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13 ( 1%)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7 ( 2%)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Native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5 ( 1%)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2 ( 1%)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Pacific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3 ( 0%)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5 ( 1%)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White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529 (56%)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236 (61%)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Ethnicity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-n(%)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265 (28%)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87 (22%)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0.033</w:t>
            </w:r>
          </w:p>
        </w:tc>
      </w:tr>
      <w:tr>
        <w:trPr/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Donor Type(Deceased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)-n(%)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705 (75%)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278 (72%)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0.24</w:t>
            </w:r>
          </w:p>
        </w:tc>
      </w:tr>
      <w:tr>
        <w:trPr/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Living Related Donor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-n(%)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184 (20%)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84 (22%)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0.38</w:t>
            </w:r>
          </w:p>
        </w:tc>
      </w:tr>
      <w:tr>
        <w:trPr/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Albumin(g/dL)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-Med(IQR)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3.7 (3.2-4.2)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3.3 (2.3-3.8)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&lt;0.001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sz w:val="22"/>
          <w:szCs w:val="22"/>
          <w:u w:val="single"/>
        </w:rPr>
      </w:pPr>
      <w:r>
        <w:rPr/>
        <w:drawing>
          <wp:inline distT="0" distB="0" distL="0" distR="0">
            <wp:extent cx="5943600" cy="262318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lejandro Ochoa" w:date="2020-11-19T22:30:31Z" w:initials="AO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I’d prefer to say “The False Discovery Rate (FDR) was controlled using the Benjamini-Hochberg method”, but I wasn’t sure how disruptive that change of language would be to the rest of your work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4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61da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61da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61da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61dae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61da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61da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1dae"/>
    <w:pPr/>
    <w:rPr>
      <w:rFonts w:ascii="Times New Roman" w:hAnsi="Times New Roman" w:cs="Times New Roman"/>
      <w:sz w:val="18"/>
      <w:szCs w:val="18"/>
    </w:rPr>
  </w:style>
  <w:style w:type="paragraph" w:styleId="Revision">
    <w:name w:val="Revision"/>
    <w:uiPriority w:val="99"/>
    <w:semiHidden/>
    <w:qFormat/>
    <w:rsid w:val="00253ea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793a"/>
    <w:rPr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Application>LibreOffice/7.0.3.1$Linux_X86_64 LibreOffice_project/00$Build-1</Application>
  <Pages>2</Pages>
  <Words>422</Words>
  <Characters>2476</Characters>
  <CharactersWithSpaces>2863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2020-11-19T20:53:00Z</dcterms:created>
  <dc:creator>Brian Shaw</dc:creator>
  <dc:description/>
  <dc:language>en-US</dc:language>
  <cp:lastModifiedBy>Alejandro Ochoa</cp:lastModifiedBy>
  <dcterms:modified xsi:type="dcterms:W3CDTF">2020-11-19T22:37:58Z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