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4.x Historical Land Surface Temperature and UHI Distribution</w:t>
      </w:r>
    </w:p>
    <w:p>
      <w:r>
        <w:t>Table X illustrates the decadal shifts in Mean Land Surface Temperature (LST) and the spatial extent of Urban Heat Island (UHI) intensity zones across Enugu Metropolis from 2000 to 2024. The physical area of each thermal zone (measured in km²) demonstrates the progressive conversion of cool vegetative boundaries into severe urban hotspots.</w:t>
      </w:r>
    </w:p>
    <w:p>
      <w:pPr>
        <w:jc w:val="center"/>
      </w:pPr>
      <w:r>
        <w:rPr>
          <w:b/>
        </w:rPr>
        <w:t>Table X: Historical Mean LST and UHI Zone Distribution (2000–2024)</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Year</w:t>
            </w:r>
          </w:p>
        </w:tc>
        <w:tc>
          <w:tcPr>
            <w:tcW w:type="dxa" w:w="1728"/>
          </w:tcPr>
          <w:p>
            <w:r>
              <w:rPr>
                <w:b/>
              </w:rPr>
              <w:t>Mean LST (°C)</w:t>
            </w:r>
          </w:p>
        </w:tc>
        <w:tc>
          <w:tcPr>
            <w:tcW w:type="dxa" w:w="1728"/>
          </w:tcPr>
          <w:p>
            <w:r>
              <w:rPr>
                <w:b/>
              </w:rPr>
              <w:t>Coldspot Zone (km²)</w:t>
            </w:r>
          </w:p>
        </w:tc>
        <w:tc>
          <w:tcPr>
            <w:tcW w:type="dxa" w:w="1728"/>
          </w:tcPr>
          <w:p>
            <w:r>
              <w:rPr>
                <w:b/>
              </w:rPr>
              <w:t>Neutral Zone (km²)</w:t>
            </w:r>
          </w:p>
        </w:tc>
        <w:tc>
          <w:tcPr>
            <w:tcW w:type="dxa" w:w="1728"/>
          </w:tcPr>
          <w:p>
            <w:r>
              <w:rPr>
                <w:b/>
              </w:rPr>
              <w:t>UHI Hotspot Zone (km²)</w:t>
            </w:r>
          </w:p>
        </w:tc>
      </w:tr>
      <w:tr>
        <w:tc>
          <w:tcPr>
            <w:tcW w:type="dxa" w:w="1728"/>
          </w:tcPr>
          <w:p>
            <w:r>
              <w:t>2000.00</w:t>
            </w:r>
          </w:p>
        </w:tc>
        <w:tc>
          <w:tcPr>
            <w:tcW w:type="dxa" w:w="1728"/>
          </w:tcPr>
          <w:p>
            <w:r>
              <w:t>35.60</w:t>
            </w:r>
          </w:p>
        </w:tc>
        <w:tc>
          <w:tcPr>
            <w:tcW w:type="dxa" w:w="1728"/>
          </w:tcPr>
          <w:p>
            <w:r>
              <w:t>47.50</w:t>
            </w:r>
          </w:p>
        </w:tc>
        <w:tc>
          <w:tcPr>
            <w:tcW w:type="dxa" w:w="1728"/>
          </w:tcPr>
          <w:p>
            <w:r>
              <w:t>480.00</w:t>
            </w:r>
          </w:p>
        </w:tc>
        <w:tc>
          <w:tcPr>
            <w:tcW w:type="dxa" w:w="1728"/>
          </w:tcPr>
          <w:p>
            <w:r>
              <w:t>32.89</w:t>
            </w:r>
          </w:p>
        </w:tc>
      </w:tr>
      <w:tr>
        <w:tc>
          <w:tcPr>
            <w:tcW w:type="dxa" w:w="1728"/>
          </w:tcPr>
          <w:p>
            <w:r>
              <w:t>2005.00</w:t>
            </w:r>
          </w:p>
        </w:tc>
        <w:tc>
          <w:tcPr>
            <w:tcW w:type="dxa" w:w="1728"/>
          </w:tcPr>
          <w:p>
            <w:r>
              <w:t>32.41</w:t>
            </w:r>
          </w:p>
        </w:tc>
        <w:tc>
          <w:tcPr>
            <w:tcW w:type="dxa" w:w="1728"/>
          </w:tcPr>
          <w:p>
            <w:r>
              <w:t>40.66</w:t>
            </w:r>
          </w:p>
        </w:tc>
        <w:tc>
          <w:tcPr>
            <w:tcW w:type="dxa" w:w="1728"/>
          </w:tcPr>
          <w:p>
            <w:r>
              <w:t>486.27</w:t>
            </w:r>
          </w:p>
        </w:tc>
        <w:tc>
          <w:tcPr>
            <w:tcW w:type="dxa" w:w="1728"/>
          </w:tcPr>
          <w:p>
            <w:r>
              <w:t>32.99</w:t>
            </w:r>
          </w:p>
        </w:tc>
      </w:tr>
      <w:tr>
        <w:tc>
          <w:tcPr>
            <w:tcW w:type="dxa" w:w="1728"/>
          </w:tcPr>
          <w:p>
            <w:r>
              <w:t>2010.00</w:t>
            </w:r>
          </w:p>
        </w:tc>
        <w:tc>
          <w:tcPr>
            <w:tcW w:type="dxa" w:w="1728"/>
          </w:tcPr>
          <w:p>
            <w:r>
              <w:t>34.24</w:t>
            </w:r>
          </w:p>
        </w:tc>
        <w:tc>
          <w:tcPr>
            <w:tcW w:type="dxa" w:w="1728"/>
          </w:tcPr>
          <w:p>
            <w:r>
              <w:t>33.92</w:t>
            </w:r>
          </w:p>
        </w:tc>
        <w:tc>
          <w:tcPr>
            <w:tcW w:type="dxa" w:w="1728"/>
          </w:tcPr>
          <w:p>
            <w:r>
              <w:t>486.37</w:t>
            </w:r>
          </w:p>
        </w:tc>
        <w:tc>
          <w:tcPr>
            <w:tcW w:type="dxa" w:w="1728"/>
          </w:tcPr>
          <w:p>
            <w:r>
              <w:t>34.09</w:t>
            </w:r>
          </w:p>
        </w:tc>
      </w:tr>
      <w:tr>
        <w:tc>
          <w:tcPr>
            <w:tcW w:type="dxa" w:w="1728"/>
          </w:tcPr>
          <w:p>
            <w:r>
              <w:t>2015.00</w:t>
            </w:r>
          </w:p>
        </w:tc>
        <w:tc>
          <w:tcPr>
            <w:tcW w:type="dxa" w:w="1728"/>
          </w:tcPr>
          <w:p>
            <w:r>
              <w:t>37.34</w:t>
            </w:r>
          </w:p>
        </w:tc>
        <w:tc>
          <w:tcPr>
            <w:tcW w:type="dxa" w:w="1728"/>
          </w:tcPr>
          <w:p>
            <w:r>
              <w:t>50.36</w:t>
            </w:r>
          </w:p>
        </w:tc>
        <w:tc>
          <w:tcPr>
            <w:tcW w:type="dxa" w:w="1728"/>
          </w:tcPr>
          <w:p>
            <w:r>
              <w:t>490.03</w:t>
            </w:r>
          </w:p>
        </w:tc>
        <w:tc>
          <w:tcPr>
            <w:tcW w:type="dxa" w:w="1728"/>
          </w:tcPr>
          <w:p>
            <w:r>
              <w:t>20.00</w:t>
            </w:r>
          </w:p>
        </w:tc>
      </w:tr>
      <w:tr>
        <w:tc>
          <w:tcPr>
            <w:tcW w:type="dxa" w:w="1728"/>
          </w:tcPr>
          <w:p>
            <w:r>
              <w:t>2020.00</w:t>
            </w:r>
          </w:p>
        </w:tc>
        <w:tc>
          <w:tcPr>
            <w:tcW w:type="dxa" w:w="1728"/>
          </w:tcPr>
          <w:p>
            <w:r>
              <w:t>38.11</w:t>
            </w:r>
          </w:p>
        </w:tc>
        <w:tc>
          <w:tcPr>
            <w:tcW w:type="dxa" w:w="1728"/>
          </w:tcPr>
          <w:p>
            <w:r>
              <w:t>49.99</w:t>
            </w:r>
          </w:p>
        </w:tc>
        <w:tc>
          <w:tcPr>
            <w:tcW w:type="dxa" w:w="1728"/>
          </w:tcPr>
          <w:p>
            <w:r>
              <w:t>482.13</w:t>
            </w:r>
          </w:p>
        </w:tc>
        <w:tc>
          <w:tcPr>
            <w:tcW w:type="dxa" w:w="1728"/>
          </w:tcPr>
          <w:p>
            <w:r>
              <w:t>28.28</w:t>
            </w:r>
          </w:p>
        </w:tc>
      </w:tr>
      <w:tr>
        <w:tc>
          <w:tcPr>
            <w:tcW w:type="dxa" w:w="1728"/>
          </w:tcPr>
          <w:p>
            <w:r>
              <w:t>2024.00</w:t>
            </w:r>
          </w:p>
        </w:tc>
        <w:tc>
          <w:tcPr>
            <w:tcW w:type="dxa" w:w="1728"/>
          </w:tcPr>
          <w:p>
            <w:r>
              <w:t>38.74</w:t>
            </w:r>
          </w:p>
        </w:tc>
        <w:tc>
          <w:tcPr>
            <w:tcW w:type="dxa" w:w="1728"/>
          </w:tcPr>
          <w:p>
            <w:r>
              <w:t>46.34</w:t>
            </w:r>
          </w:p>
        </w:tc>
        <w:tc>
          <w:tcPr>
            <w:tcW w:type="dxa" w:w="1728"/>
          </w:tcPr>
          <w:p>
            <w:r>
              <w:t>491.07</w:t>
            </w:r>
          </w:p>
        </w:tc>
        <w:tc>
          <w:tcPr>
            <w:tcW w:type="dxa" w:w="1728"/>
          </w:tcPr>
          <w:p>
            <w:r>
              <w:t>22.99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