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Historical Urban Development and UHI Statistics (2000–2024)</w:t>
      </w:r>
    </w:p>
    <w:p>
      <w:r>
        <w:t>This document details the historical area calculations for Land Use/Land Cover (LULC) transformations and Urban Heat Island (UHI) intensity zones in Enugu Metropolis, derived from multi-temporal Landsat imagery and spatial analysis.</w:t>
      </w:r>
    </w:p>
    <w:p>
      <w:pPr>
        <w:pStyle w:val="Heading2"/>
      </w:pPr>
      <w:r>
        <w:t>Table 1: Historical LULC Area Distribution (2000–2024)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Built-Up: Dense (km²)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Built-Up: Sparse (km²)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Built-Up (km²)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Vegetation (km²)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Bare Soil (km²)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Water (km²)</w:t>
            </w:r>
          </w:p>
        </w:tc>
      </w:tr>
      <w:tr>
        <w:tc>
          <w:tcPr>
            <w:tcW w:type="dxa" w:w="1234"/>
          </w:tcPr>
          <w:p>
            <w:r>
              <w:t>2000.0</w:t>
            </w:r>
          </w:p>
        </w:tc>
        <w:tc>
          <w:tcPr>
            <w:tcW w:type="dxa" w:w="1234"/>
          </w:tcPr>
          <w:p>
            <w:r>
              <w:t>35.23</w:t>
            </w:r>
          </w:p>
        </w:tc>
        <w:tc>
          <w:tcPr>
            <w:tcW w:type="dxa" w:w="1234"/>
          </w:tcPr>
          <w:p>
            <w:r>
              <w:t>12.2</w:t>
            </w:r>
          </w:p>
        </w:tc>
        <w:tc>
          <w:tcPr>
            <w:tcW w:type="dxa" w:w="1234"/>
          </w:tcPr>
          <w:p>
            <w:r>
              <w:t>47.43</w:t>
            </w:r>
          </w:p>
        </w:tc>
        <w:tc>
          <w:tcPr>
            <w:tcW w:type="dxa" w:w="1234"/>
          </w:tcPr>
          <w:p>
            <w:r>
              <w:t>423.58</w:t>
            </w:r>
          </w:p>
        </w:tc>
        <w:tc>
          <w:tcPr>
            <w:tcW w:type="dxa" w:w="1234"/>
          </w:tcPr>
          <w:p>
            <w:r>
              <w:t>89.13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</w:tr>
      <w:tr>
        <w:tc>
          <w:tcPr>
            <w:tcW w:type="dxa" w:w="1234"/>
          </w:tcPr>
          <w:p>
            <w:r>
              <w:t>2005.0</w:t>
            </w:r>
          </w:p>
        </w:tc>
        <w:tc>
          <w:tcPr>
            <w:tcW w:type="dxa" w:w="1234"/>
          </w:tcPr>
          <w:p>
            <w:r>
              <w:t>71.43</w:t>
            </w:r>
          </w:p>
        </w:tc>
        <w:tc>
          <w:tcPr>
            <w:tcW w:type="dxa" w:w="1234"/>
          </w:tcPr>
          <w:p>
            <w:r>
              <w:t>102.1</w:t>
            </w:r>
          </w:p>
        </w:tc>
        <w:tc>
          <w:tcPr>
            <w:tcW w:type="dxa" w:w="1234"/>
          </w:tcPr>
          <w:p>
            <w:r>
              <w:t>173.53</w:t>
            </w:r>
          </w:p>
        </w:tc>
        <w:tc>
          <w:tcPr>
            <w:tcW w:type="dxa" w:w="1234"/>
          </w:tcPr>
          <w:p>
            <w:r>
              <w:t>331.63</w:t>
            </w:r>
          </w:p>
        </w:tc>
        <w:tc>
          <w:tcPr>
            <w:tcW w:type="dxa" w:w="1234"/>
          </w:tcPr>
          <w:p>
            <w:r>
              <w:t>55.12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</w:tr>
      <w:tr>
        <w:tc>
          <w:tcPr>
            <w:tcW w:type="dxa" w:w="1234"/>
          </w:tcPr>
          <w:p>
            <w:r>
              <w:t>2010.0</w:t>
            </w:r>
          </w:p>
        </w:tc>
        <w:tc>
          <w:tcPr>
            <w:tcW w:type="dxa" w:w="1234"/>
          </w:tcPr>
          <w:p>
            <w:r>
              <w:t>34.07</w:t>
            </w:r>
          </w:p>
        </w:tc>
        <w:tc>
          <w:tcPr>
            <w:tcW w:type="dxa" w:w="1234"/>
          </w:tcPr>
          <w:p>
            <w:r>
              <w:t>2.93</w:t>
            </w:r>
          </w:p>
        </w:tc>
        <w:tc>
          <w:tcPr>
            <w:tcW w:type="dxa" w:w="1234"/>
          </w:tcPr>
          <w:p>
            <w:r>
              <w:t>36.99</w:t>
            </w:r>
          </w:p>
        </w:tc>
        <w:tc>
          <w:tcPr>
            <w:tcW w:type="dxa" w:w="1234"/>
          </w:tcPr>
          <w:p>
            <w:r>
              <w:t>471.97</w:t>
            </w:r>
          </w:p>
        </w:tc>
        <w:tc>
          <w:tcPr>
            <w:tcW w:type="dxa" w:w="1234"/>
          </w:tcPr>
          <w:p>
            <w:r>
              <w:t>51.2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</w:tr>
      <w:tr>
        <w:tc>
          <w:tcPr>
            <w:tcW w:type="dxa" w:w="1234"/>
          </w:tcPr>
          <w:p>
            <w:r>
              <w:t>2015.0</w:t>
            </w:r>
          </w:p>
        </w:tc>
        <w:tc>
          <w:tcPr>
            <w:tcW w:type="dxa" w:w="1234"/>
          </w:tcPr>
          <w:p>
            <w:r>
              <w:t>43.06</w:t>
            </w:r>
          </w:p>
        </w:tc>
        <w:tc>
          <w:tcPr>
            <w:tcW w:type="dxa" w:w="1234"/>
          </w:tcPr>
          <w:p>
            <w:r>
              <w:t>12.04</w:t>
            </w:r>
          </w:p>
        </w:tc>
        <w:tc>
          <w:tcPr>
            <w:tcW w:type="dxa" w:w="1234"/>
          </w:tcPr>
          <w:p>
            <w:r>
              <w:t>55.1</w:t>
            </w:r>
          </w:p>
        </w:tc>
        <w:tc>
          <w:tcPr>
            <w:tcW w:type="dxa" w:w="1234"/>
          </w:tcPr>
          <w:p>
            <w:r>
              <w:t>441.98</w:t>
            </w:r>
          </w:p>
        </w:tc>
        <w:tc>
          <w:tcPr>
            <w:tcW w:type="dxa" w:w="1234"/>
          </w:tcPr>
          <w:p>
            <w:r>
              <w:t>63.12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</w:tr>
      <w:tr>
        <w:tc>
          <w:tcPr>
            <w:tcW w:type="dxa" w:w="1234"/>
          </w:tcPr>
          <w:p>
            <w:r>
              <w:t>2020.0</w:t>
            </w:r>
          </w:p>
        </w:tc>
        <w:tc>
          <w:tcPr>
            <w:tcW w:type="dxa" w:w="1234"/>
          </w:tcPr>
          <w:p>
            <w:r>
              <w:t>84.02</w:t>
            </w:r>
          </w:p>
        </w:tc>
        <w:tc>
          <w:tcPr>
            <w:tcW w:type="dxa" w:w="1234"/>
          </w:tcPr>
          <w:p>
            <w:r>
              <w:t>12.45</w:t>
            </w:r>
          </w:p>
        </w:tc>
        <w:tc>
          <w:tcPr>
            <w:tcW w:type="dxa" w:w="1234"/>
          </w:tcPr>
          <w:p>
            <w:r>
              <w:t>96.47</w:t>
            </w:r>
          </w:p>
        </w:tc>
        <w:tc>
          <w:tcPr>
            <w:tcW w:type="dxa" w:w="1234"/>
          </w:tcPr>
          <w:p>
            <w:r>
              <w:t>345.16</w:t>
            </w:r>
          </w:p>
        </w:tc>
        <w:tc>
          <w:tcPr>
            <w:tcW w:type="dxa" w:w="1234"/>
          </w:tcPr>
          <w:p>
            <w:r>
              <w:t>118.59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</w:tr>
      <w:tr>
        <w:tc>
          <w:tcPr>
            <w:tcW w:type="dxa" w:w="1234"/>
          </w:tcPr>
          <w:p>
            <w:r>
              <w:t>2024.0</w:t>
            </w:r>
          </w:p>
        </w:tc>
        <w:tc>
          <w:tcPr>
            <w:tcW w:type="dxa" w:w="1234"/>
          </w:tcPr>
          <w:p>
            <w:r>
              <w:t>68.97</w:t>
            </w:r>
          </w:p>
        </w:tc>
        <w:tc>
          <w:tcPr>
            <w:tcW w:type="dxa" w:w="1234"/>
          </w:tcPr>
          <w:p>
            <w:r>
              <w:t>15.11</w:t>
            </w:r>
          </w:p>
        </w:tc>
        <w:tc>
          <w:tcPr>
            <w:tcW w:type="dxa" w:w="1234"/>
          </w:tcPr>
          <w:p>
            <w:r>
              <w:t>84.08</w:t>
            </w:r>
          </w:p>
        </w:tc>
        <w:tc>
          <w:tcPr>
            <w:tcW w:type="dxa" w:w="1234"/>
          </w:tcPr>
          <w:p>
            <w:r>
              <w:t>424.57</w:t>
            </w:r>
          </w:p>
        </w:tc>
        <w:tc>
          <w:tcPr>
            <w:tcW w:type="dxa" w:w="1234"/>
          </w:tcPr>
          <w:p>
            <w:r>
              <w:t>51.57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</w:tr>
    </w:tbl>
    <w:p>
      <w:r>
        <w:br/>
      </w:r>
    </w:p>
    <w:p>
      <w:pPr>
        <w:pStyle w:val="Heading2"/>
      </w:pPr>
      <w:r>
        <w:t>Table 2: Historical Mean LST and UHI Zone Distribution (2000–2024)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LST / Thermal Index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Coldspot Zone (km²)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Neutral Zone (km²)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UHI Hotspot Zone (km²)</w:t>
            </w:r>
          </w:p>
        </w:tc>
      </w:tr>
      <w:tr>
        <w:tc>
          <w:tcPr>
            <w:tcW w:type="dxa" w:w="1728"/>
          </w:tcPr>
          <w:p>
            <w:r>
              <w:t>2000.0</w:t>
            </w:r>
          </w:p>
        </w:tc>
        <w:tc>
          <w:tcPr>
            <w:tcW w:type="dxa" w:w="1728"/>
          </w:tcPr>
          <w:p>
            <w:r>
              <w:t>-0.004000000189989805</w:t>
            </w:r>
          </w:p>
        </w:tc>
        <w:tc>
          <w:tcPr>
            <w:tcW w:type="dxa" w:w="1728"/>
          </w:tcPr>
          <w:p>
            <w:r>
              <w:t>178.32</w:t>
            </w:r>
          </w:p>
        </w:tc>
        <w:tc>
          <w:tcPr>
            <w:tcW w:type="dxa" w:w="1728"/>
          </w:tcPr>
          <w:p>
            <w:r>
              <w:t>214.59</w:t>
            </w:r>
          </w:p>
        </w:tc>
        <w:tc>
          <w:tcPr>
            <w:tcW w:type="dxa" w:w="1728"/>
          </w:tcPr>
          <w:p>
            <w:r>
              <w:t>167.48</w:t>
            </w:r>
          </w:p>
        </w:tc>
      </w:tr>
      <w:tr>
        <w:tc>
          <w:tcPr>
            <w:tcW w:type="dxa" w:w="1728"/>
          </w:tcPr>
          <w:p>
            <w:r>
              <w:t>2005.0</w:t>
            </w:r>
          </w:p>
        </w:tc>
        <w:tc>
          <w:tcPr>
            <w:tcW w:type="dxa" w:w="1728"/>
          </w:tcPr>
          <w:p>
            <w:r>
              <w:t>-0.0010000000474974513</w:t>
            </w:r>
          </w:p>
        </w:tc>
        <w:tc>
          <w:tcPr>
            <w:tcW w:type="dxa" w:w="1728"/>
          </w:tcPr>
          <w:p>
            <w:r>
              <w:t>128.55</w:t>
            </w:r>
          </w:p>
        </w:tc>
        <w:tc>
          <w:tcPr>
            <w:tcW w:type="dxa" w:w="1728"/>
          </w:tcPr>
          <w:p>
            <w:r>
              <w:t>298.77</w:t>
            </w:r>
          </w:p>
        </w:tc>
        <w:tc>
          <w:tcPr>
            <w:tcW w:type="dxa" w:w="1728"/>
          </w:tcPr>
          <w:p>
            <w:r>
              <w:t>133.07</w:t>
            </w:r>
          </w:p>
        </w:tc>
      </w:tr>
      <w:tr>
        <w:tc>
          <w:tcPr>
            <w:tcW w:type="dxa" w:w="1728"/>
          </w:tcPr>
          <w:p>
            <w:r>
              <w:t>2010.0</w:t>
            </w:r>
          </w:p>
        </w:tc>
        <w:tc>
          <w:tcPr>
            <w:tcW w:type="dxa" w:w="1728"/>
          </w:tcPr>
          <w:p>
            <w:r>
              <w:t>-0.003000000026077032</w:t>
            </w:r>
          </w:p>
        </w:tc>
        <w:tc>
          <w:tcPr>
            <w:tcW w:type="dxa" w:w="1728"/>
          </w:tcPr>
          <w:p>
            <w:r>
              <w:t>213.0</w:t>
            </w:r>
          </w:p>
        </w:tc>
        <w:tc>
          <w:tcPr>
            <w:tcW w:type="dxa" w:w="1728"/>
          </w:tcPr>
          <w:p>
            <w:r>
              <w:t>162.26</w:t>
            </w:r>
          </w:p>
        </w:tc>
        <w:tc>
          <w:tcPr>
            <w:tcW w:type="dxa" w:w="1728"/>
          </w:tcPr>
          <w:p>
            <w:r>
              <w:t>185.13</w:t>
            </w:r>
          </w:p>
        </w:tc>
      </w:tr>
      <w:tr>
        <w:tc>
          <w:tcPr>
            <w:tcW w:type="dxa" w:w="1728"/>
          </w:tcPr>
          <w:p>
            <w:r>
              <w:t>2015.0</w:t>
            </w:r>
          </w:p>
        </w:tc>
        <w:tc>
          <w:tcPr>
            <w:tcW w:type="dxa" w:w="1728"/>
          </w:tcPr>
          <w:p>
            <w:r>
              <w:t>-0.003000000026077032</w:t>
            </w:r>
          </w:p>
        </w:tc>
        <w:tc>
          <w:tcPr>
            <w:tcW w:type="dxa" w:w="1728"/>
          </w:tcPr>
          <w:p>
            <w:r>
              <w:t>139.11</w:t>
            </w:r>
          </w:p>
        </w:tc>
        <w:tc>
          <w:tcPr>
            <w:tcW w:type="dxa" w:w="1728"/>
          </w:tcPr>
          <w:p>
            <w:r>
              <w:t>247.17</w:t>
            </w:r>
          </w:p>
        </w:tc>
        <w:tc>
          <w:tcPr>
            <w:tcW w:type="dxa" w:w="1728"/>
          </w:tcPr>
          <w:p>
            <w:r>
              <w:t>174.11</w:t>
            </w:r>
          </w:p>
        </w:tc>
      </w:tr>
      <w:tr>
        <w:tc>
          <w:tcPr>
            <w:tcW w:type="dxa" w:w="1728"/>
          </w:tcPr>
          <w:p>
            <w:r>
              <w:t>2020.0</w:t>
            </w:r>
          </w:p>
        </w:tc>
        <w:tc>
          <w:tcPr>
            <w:tcW w:type="dxa" w:w="1728"/>
          </w:tcPr>
          <w:p>
            <w:r>
              <w:t>-0.003000000026077032</w:t>
            </w:r>
          </w:p>
        </w:tc>
        <w:tc>
          <w:tcPr>
            <w:tcW w:type="dxa" w:w="1728"/>
          </w:tcPr>
          <w:p>
            <w:r>
              <w:t>135.33</w:t>
            </w:r>
          </w:p>
        </w:tc>
        <w:tc>
          <w:tcPr>
            <w:tcW w:type="dxa" w:w="1728"/>
          </w:tcPr>
          <w:p>
            <w:r>
              <w:t>264.75</w:t>
            </w:r>
          </w:p>
        </w:tc>
        <w:tc>
          <w:tcPr>
            <w:tcW w:type="dxa" w:w="1728"/>
          </w:tcPr>
          <w:p>
            <w:r>
              <w:t>160.32</w:t>
            </w:r>
          </w:p>
        </w:tc>
      </w:tr>
      <w:tr>
        <w:tc>
          <w:tcPr>
            <w:tcW w:type="dxa" w:w="1728"/>
          </w:tcPr>
          <w:p>
            <w:r>
              <w:t>2024.0</w:t>
            </w:r>
          </w:p>
        </w:tc>
        <w:tc>
          <w:tcPr>
            <w:tcW w:type="dxa" w:w="1728"/>
          </w:tcPr>
          <w:p>
            <w:r>
              <w:t>-0.003000000026077032</w:t>
            </w:r>
          </w:p>
        </w:tc>
        <w:tc>
          <w:tcPr>
            <w:tcW w:type="dxa" w:w="1728"/>
          </w:tcPr>
          <w:p>
            <w:r>
              <w:t>152.43</w:t>
            </w:r>
          </w:p>
        </w:tc>
        <w:tc>
          <w:tcPr>
            <w:tcW w:type="dxa" w:w="1728"/>
          </w:tcPr>
          <w:p>
            <w:r>
              <w:t>247.8</w:t>
            </w:r>
          </w:p>
        </w:tc>
        <w:tc>
          <w:tcPr>
            <w:tcW w:type="dxa" w:w="1728"/>
          </w:tcPr>
          <w:p>
            <w:r>
              <w:t>160.15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