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Historical Mean LST and UHI Zone Distribution</w:t>
      </w:r>
    </w:p>
    <w:p>
      <w:r>
        <w:t>Table 1 presents the physical expanse of the Urban Heat Island zones from 2000 to 2024, as predicted by the hybrid model's continuous regression network and categorized via ±1.5 standard deviation thresholds.</w:t>
      </w:r>
    </w:p>
    <w:p>
      <w:pPr>
        <w:jc w:val="center"/>
      </w:pPr>
      <w:r>
        <w:rPr>
          <w:b/>
        </w:rPr>
        <w:t>Table 1: Historical Mean LST and UHI Zone Distribution (2000–2024)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LST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Coldspot Zone (km²)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Neutral Zone (km²)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UHI Hotspot Zone (km²)</w:t>
            </w:r>
          </w:p>
        </w:tc>
      </w:tr>
      <w:tr>
        <w:tc>
          <w:tcPr>
            <w:tcW w:type="dxa" w:w="1728"/>
          </w:tcPr>
          <w:p>
            <w:r>
              <w:t>2000.0</w:t>
            </w:r>
          </w:p>
        </w:tc>
        <w:tc>
          <w:tcPr>
            <w:tcW w:type="dxa" w:w="1728"/>
          </w:tcPr>
          <w:p>
            <w:r>
              <w:t>36.86000061035156</w:t>
            </w:r>
          </w:p>
        </w:tc>
        <w:tc>
          <w:tcPr>
            <w:tcW w:type="dxa" w:w="1728"/>
          </w:tcPr>
          <w:p>
            <w:r>
              <w:t>199.42</w:t>
            </w:r>
          </w:p>
        </w:tc>
        <w:tc>
          <w:tcPr>
            <w:tcW w:type="dxa" w:w="1728"/>
          </w:tcPr>
          <w:p>
            <w:r>
              <w:t>181.07</w:t>
            </w:r>
          </w:p>
        </w:tc>
        <w:tc>
          <w:tcPr>
            <w:tcW w:type="dxa" w:w="1728"/>
          </w:tcPr>
          <w:p>
            <w:r>
              <w:t>125.46</w:t>
            </w:r>
          </w:p>
        </w:tc>
      </w:tr>
      <w:tr>
        <w:tc>
          <w:tcPr>
            <w:tcW w:type="dxa" w:w="1728"/>
          </w:tcPr>
          <w:p>
            <w:r>
              <w:t>2005.0</w:t>
            </w:r>
          </w:p>
        </w:tc>
        <w:tc>
          <w:tcPr>
            <w:tcW w:type="dxa" w:w="1728"/>
          </w:tcPr>
          <w:p>
            <w:r>
              <w:t>31.389999389648438</w:t>
            </w:r>
          </w:p>
        </w:tc>
        <w:tc>
          <w:tcPr>
            <w:tcW w:type="dxa" w:w="1728"/>
          </w:tcPr>
          <w:p>
            <w:r>
              <w:t>109.23</w:t>
            </w:r>
          </w:p>
        </w:tc>
        <w:tc>
          <w:tcPr>
            <w:tcW w:type="dxa" w:w="1728"/>
          </w:tcPr>
          <w:p>
            <w:r>
              <w:t>303.48</w:t>
            </w:r>
          </w:p>
        </w:tc>
        <w:tc>
          <w:tcPr>
            <w:tcW w:type="dxa" w:w="1728"/>
          </w:tcPr>
          <w:p>
            <w:r>
              <w:t>93.25</w:t>
            </w:r>
          </w:p>
        </w:tc>
      </w:tr>
      <w:tr>
        <w:tc>
          <w:tcPr>
            <w:tcW w:type="dxa" w:w="1728"/>
          </w:tcPr>
          <w:p>
            <w:r>
              <w:t>2010.0</w:t>
            </w:r>
          </w:p>
        </w:tc>
        <w:tc>
          <w:tcPr>
            <w:tcW w:type="dxa" w:w="1728"/>
          </w:tcPr>
          <w:p>
            <w:r>
              <w:t>34.209999084472656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2015.0</w:t>
            </w:r>
          </w:p>
        </w:tc>
        <w:tc>
          <w:tcPr>
            <w:tcW w:type="dxa" w:w="1728"/>
          </w:tcPr>
          <w:p>
            <w:r>
              <w:t>35.93000030517578</w:t>
            </w:r>
          </w:p>
        </w:tc>
        <w:tc>
          <w:tcPr>
            <w:tcW w:type="dxa" w:w="1728"/>
          </w:tcPr>
          <w:p>
            <w:r>
              <w:t>203.04</w:t>
            </w:r>
          </w:p>
        </w:tc>
        <w:tc>
          <w:tcPr>
            <w:tcW w:type="dxa" w:w="1728"/>
          </w:tcPr>
          <w:p>
            <w:r>
              <w:t>246.91</w:t>
            </w:r>
          </w:p>
        </w:tc>
        <w:tc>
          <w:tcPr>
            <w:tcW w:type="dxa" w:w="1728"/>
          </w:tcPr>
          <w:p>
            <w:r>
              <w:t>70.76</w:t>
            </w:r>
          </w:p>
        </w:tc>
      </w:tr>
      <w:tr>
        <w:tc>
          <w:tcPr>
            <w:tcW w:type="dxa" w:w="1728"/>
          </w:tcPr>
          <w:p>
            <w:r>
              <w:t>2020.0</w:t>
            </w:r>
          </w:p>
        </w:tc>
        <w:tc>
          <w:tcPr>
            <w:tcW w:type="dxa" w:w="1728"/>
          </w:tcPr>
          <w:p>
            <w:r>
              <w:t>38.15999984741211</w:t>
            </w:r>
          </w:p>
        </w:tc>
        <w:tc>
          <w:tcPr>
            <w:tcW w:type="dxa" w:w="1728"/>
          </w:tcPr>
          <w:p>
            <w:r>
              <w:t>89.24</w:t>
            </w:r>
          </w:p>
        </w:tc>
        <w:tc>
          <w:tcPr>
            <w:tcW w:type="dxa" w:w="1728"/>
          </w:tcPr>
          <w:p>
            <w:r>
              <w:t>185.69</w:t>
            </w:r>
          </w:p>
        </w:tc>
        <w:tc>
          <w:tcPr>
            <w:tcW w:type="dxa" w:w="1728"/>
          </w:tcPr>
          <w:p>
            <w:r>
              <w:t>231.03</w:t>
            </w:r>
          </w:p>
        </w:tc>
      </w:tr>
      <w:tr>
        <w:tc>
          <w:tcPr>
            <w:tcW w:type="dxa" w:w="1728"/>
          </w:tcPr>
          <w:p>
            <w:r>
              <w:t>2024.0</w:t>
            </w:r>
          </w:p>
        </w:tc>
        <w:tc>
          <w:tcPr>
            <w:tcW w:type="dxa" w:w="1728"/>
          </w:tcPr>
          <w:p>
            <w:r>
              <w:t>36.349998474121094</w:t>
            </w:r>
          </w:p>
        </w:tc>
        <w:tc>
          <w:tcPr>
            <w:tcW w:type="dxa" w:w="1728"/>
          </w:tcPr>
          <w:p>
            <w:r>
              <w:t>208.41</w:t>
            </w:r>
          </w:p>
        </w:tc>
        <w:tc>
          <w:tcPr>
            <w:tcW w:type="dxa" w:w="1728"/>
          </w:tcPr>
          <w:p>
            <w:r>
              <w:t>189.84</w:t>
            </w:r>
          </w:p>
        </w:tc>
        <w:tc>
          <w:tcPr>
            <w:tcW w:type="dxa" w:w="1728"/>
          </w:tcPr>
          <w:p>
            <w:r>
              <w:t>107.7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