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4.2 Application and Performance of the CNN-Driven Model (Objective 2)</w:t>
      </w:r>
    </w:p>
    <w:p>
      <w:r>
        <w:t>To evaluate the deep learning approach's accuracy and verify its capacity for high-resolution mapping, the Hybrid ConvLSTM model was validated against the 2024 ground truth dataset. The performance is quantified using Overall Accuracy (OA), Cohen’s Kappa Coefficient, Root Mean Square Error (RMSE), and the Coefficient of Determination (R²).</w:t>
      </w:r>
    </w:p>
    <w:p>
      <w:pPr>
        <w:pStyle w:val="Heading3"/>
      </w:pPr>
      <w:r>
        <w:t>Overall Performance Metrics</w:t>
      </w:r>
    </w:p>
    <w:p>
      <w:r>
        <w:rPr>
          <w:b/>
        </w:rPr>
        <w:t>LULC Prediction Core:</w:t>
        <w:br/>
      </w:r>
      <w:r>
        <w:t>• Overall Accuracy (OA): 82.54%</w:t>
        <w:br/>
      </w:r>
      <w:r>
        <w:t>• Kappa Coefficient: 0.5675</w:t>
        <w:br/>
      </w:r>
      <w:r>
        <w:t>• RMSE: 0.8791  |  R²: -0.2606</w:t>
        <w:br/>
        <w:br/>
      </w:r>
      <w:r>
        <w:rPr>
          <w:b/>
        </w:rPr>
        <w:t>UHI Prediction Core:</w:t>
        <w:br/>
      </w:r>
      <w:r>
        <w:t>• Overall Accuracy (OA): 37.22%</w:t>
        <w:br/>
      </w:r>
      <w:r>
        <w:t>• Kappa Coefficient: 0.0592</w:t>
        <w:br/>
      </w:r>
      <w:r>
        <w:t>• RMSE: 0.9842  |  R²: -0.7583</w:t>
      </w:r>
    </w:p>
    <w:p>
      <w:r>
        <w:br/>
        <w:t>The detailed class-by-class performance, including Producer’s Accuracy (PA), User’s Accuracy (UA), F1-Score, and Intersection over Union (IoU), are presented in the tables below.</w:t>
      </w:r>
    </w:p>
    <w:p>
      <w:pPr>
        <w:jc w:val="center"/>
      </w:pPr>
      <w:r>
        <w:rPr>
          <w:b/>
        </w:rPr>
        <w:t>Table 2.1: LULC Classification Accuracy Metrics (2024 Validation)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Producer Acc (%)</w:t>
            </w:r>
          </w:p>
        </w:tc>
        <w:tc>
          <w:tcPr>
            <w:tcW w:type="dxa" w:w="1728"/>
          </w:tcPr>
          <w:p>
            <w:r>
              <w:rPr>
                <w:b/>
              </w:rPr>
              <w:t>User Acc (%)</w:t>
            </w:r>
          </w:p>
        </w:tc>
        <w:tc>
          <w:tcPr>
            <w:tcW w:type="dxa" w:w="1728"/>
          </w:tcPr>
          <w:p>
            <w:r>
              <w:rPr>
                <w:b/>
              </w:rPr>
              <w:t>F1-Score</w:t>
            </w:r>
          </w:p>
        </w:tc>
        <w:tc>
          <w:tcPr>
            <w:tcW w:type="dxa" w:w="1728"/>
          </w:tcPr>
          <w:p>
            <w:r>
              <w:rPr>
                <w:b/>
              </w:rPr>
              <w:t>IoU</w:t>
            </w:r>
          </w:p>
        </w:tc>
      </w:tr>
      <w:tr>
        <w:tc>
          <w:tcPr>
            <w:tcW w:type="dxa" w:w="1728"/>
          </w:tcPr>
          <w:p>
            <w:r>
              <w:t>Dense Urban</w:t>
            </w:r>
          </w:p>
        </w:tc>
        <w:tc>
          <w:tcPr>
            <w:tcW w:type="dxa" w:w="1728"/>
          </w:tcPr>
          <w:p>
            <w:r>
              <w:t>92.5800</w:t>
            </w:r>
          </w:p>
        </w:tc>
        <w:tc>
          <w:tcPr>
            <w:tcW w:type="dxa" w:w="1728"/>
          </w:tcPr>
          <w:p>
            <w:r>
              <w:t>52.6200</w:t>
            </w:r>
          </w:p>
        </w:tc>
        <w:tc>
          <w:tcPr>
            <w:tcW w:type="dxa" w:w="1728"/>
          </w:tcPr>
          <w:p>
            <w:r>
              <w:t>0.6710</w:t>
            </w:r>
          </w:p>
        </w:tc>
        <w:tc>
          <w:tcPr>
            <w:tcW w:type="dxa" w:w="1728"/>
          </w:tcPr>
          <w:p>
            <w:r>
              <w:t>0.5049</w:t>
            </w:r>
          </w:p>
        </w:tc>
      </w:tr>
      <w:tr>
        <w:tc>
          <w:tcPr>
            <w:tcW w:type="dxa" w:w="1728"/>
          </w:tcPr>
          <w:p>
            <w:r>
              <w:t>Sparse Urban</w:t>
            </w:r>
          </w:p>
        </w:tc>
        <w:tc>
          <w:tcPr>
            <w:tcW w:type="dxa" w:w="1728"/>
          </w:tcPr>
          <w:p>
            <w:r>
              <w:t>7.3900</w:t>
            </w:r>
          </w:p>
        </w:tc>
        <w:tc>
          <w:tcPr>
            <w:tcW w:type="dxa" w:w="1728"/>
          </w:tcPr>
          <w:p>
            <w:r>
              <w:t>25.0800</w:t>
            </w:r>
          </w:p>
        </w:tc>
        <w:tc>
          <w:tcPr>
            <w:tcW w:type="dxa" w:w="1728"/>
          </w:tcPr>
          <w:p>
            <w:r>
              <w:t>0.1141</w:t>
            </w:r>
          </w:p>
        </w:tc>
        <w:tc>
          <w:tcPr>
            <w:tcW w:type="dxa" w:w="1728"/>
          </w:tcPr>
          <w:p>
            <w:r>
              <w:t>0.0605</w:t>
            </w:r>
          </w:p>
        </w:tc>
      </w:tr>
      <w:tr>
        <w:tc>
          <w:tcPr>
            <w:tcW w:type="dxa" w:w="1728"/>
          </w:tcPr>
          <w:p>
            <w:r>
              <w:t>Vegetation</w:t>
            </w:r>
          </w:p>
        </w:tc>
        <w:tc>
          <w:tcPr>
            <w:tcW w:type="dxa" w:w="1728"/>
          </w:tcPr>
          <w:p>
            <w:r>
              <w:t>94.2300</w:t>
            </w:r>
          </w:p>
        </w:tc>
        <w:tc>
          <w:tcPr>
            <w:tcW w:type="dxa" w:w="1728"/>
          </w:tcPr>
          <w:p>
            <w:r>
              <w:t>92.2800</w:t>
            </w:r>
          </w:p>
        </w:tc>
        <w:tc>
          <w:tcPr>
            <w:tcW w:type="dxa" w:w="1728"/>
          </w:tcPr>
          <w:p>
            <w:r>
              <w:t>0.9324</w:t>
            </w:r>
          </w:p>
        </w:tc>
        <w:tc>
          <w:tcPr>
            <w:tcW w:type="dxa" w:w="1728"/>
          </w:tcPr>
          <w:p>
            <w:r>
              <w:t>0.8734</w:t>
            </w:r>
          </w:p>
        </w:tc>
      </w:tr>
      <w:tr>
        <w:tc>
          <w:tcPr>
            <w:tcW w:type="dxa" w:w="1728"/>
          </w:tcPr>
          <w:p>
            <w:r>
              <w:t>Bare Soil</w:t>
            </w:r>
          </w:p>
        </w:tc>
        <w:tc>
          <w:tcPr>
            <w:tcW w:type="dxa" w:w="1728"/>
          </w:tcPr>
          <w:p>
            <w:r>
              <w:t>0.0000</w:t>
            </w:r>
          </w:p>
        </w:tc>
        <w:tc>
          <w:tcPr>
            <w:tcW w:type="dxa" w:w="1728"/>
          </w:tcPr>
          <w:p>
            <w:r>
              <w:t>0.0000</w:t>
            </w:r>
          </w:p>
        </w:tc>
        <w:tc>
          <w:tcPr>
            <w:tcW w:type="dxa" w:w="1728"/>
          </w:tcPr>
          <w:p>
            <w:r>
              <w:t>0.0000</w:t>
            </w:r>
          </w:p>
        </w:tc>
        <w:tc>
          <w:tcPr>
            <w:tcW w:type="dxa" w:w="1728"/>
          </w:tcPr>
          <w:p>
            <w:r>
              <w:t>0.0000</w:t>
            </w:r>
          </w:p>
        </w:tc>
      </w:tr>
      <w:tr>
        <w:tc>
          <w:tcPr>
            <w:tcW w:type="dxa" w:w="1728"/>
          </w:tcPr>
          <w:p>
            <w:r>
              <w:t>Water</w:t>
            </w:r>
          </w:p>
        </w:tc>
        <w:tc>
          <w:tcPr>
            <w:tcW w:type="dxa" w:w="1728"/>
          </w:tcPr>
          <w:p>
            <w:r>
              <w:t>86.6700</w:t>
            </w:r>
          </w:p>
        </w:tc>
        <w:tc>
          <w:tcPr>
            <w:tcW w:type="dxa" w:w="1728"/>
          </w:tcPr>
          <w:p>
            <w:r>
              <w:t>72.5300</w:t>
            </w:r>
          </w:p>
        </w:tc>
        <w:tc>
          <w:tcPr>
            <w:tcW w:type="dxa" w:w="1728"/>
          </w:tcPr>
          <w:p>
            <w:r>
              <w:t>0.7897</w:t>
            </w:r>
          </w:p>
        </w:tc>
        <w:tc>
          <w:tcPr>
            <w:tcW w:type="dxa" w:w="1728"/>
          </w:tcPr>
          <w:p>
            <w:r>
              <w:t>0.6525</w:t>
            </w:r>
          </w:p>
        </w:tc>
      </w:tr>
    </w:tbl>
    <w:p>
      <w:r>
        <w:br/>
      </w:r>
    </w:p>
    <w:p>
      <w:pPr>
        <w:jc w:val="center"/>
      </w:pPr>
      <w:r>
        <w:rPr>
          <w:b/>
        </w:rPr>
        <w:t>Table 2.2: UHI Thermal Zone Classification Accuracy Metrics (2024 Validation)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Producer Acc (%)</w:t>
            </w:r>
          </w:p>
        </w:tc>
        <w:tc>
          <w:tcPr>
            <w:tcW w:type="dxa" w:w="1728"/>
          </w:tcPr>
          <w:p>
            <w:r>
              <w:rPr>
                <w:b/>
              </w:rPr>
              <w:t>User Acc (%)</w:t>
            </w:r>
          </w:p>
        </w:tc>
        <w:tc>
          <w:tcPr>
            <w:tcW w:type="dxa" w:w="1728"/>
          </w:tcPr>
          <w:p>
            <w:r>
              <w:rPr>
                <w:b/>
              </w:rPr>
              <w:t>F1-Score</w:t>
            </w:r>
          </w:p>
        </w:tc>
        <w:tc>
          <w:tcPr>
            <w:tcW w:type="dxa" w:w="1728"/>
          </w:tcPr>
          <w:p>
            <w:r>
              <w:rPr>
                <w:b/>
              </w:rPr>
              <w:t>IoU</w:t>
            </w:r>
          </w:p>
        </w:tc>
      </w:tr>
      <w:tr>
        <w:tc>
          <w:tcPr>
            <w:tcW w:type="dxa" w:w="1728"/>
          </w:tcPr>
          <w:p>
            <w:r>
              <w:t>Cool/Non-UHI</w:t>
            </w:r>
          </w:p>
        </w:tc>
        <w:tc>
          <w:tcPr>
            <w:tcW w:type="dxa" w:w="1728"/>
          </w:tcPr>
          <w:p>
            <w:r>
              <w:t>2.5000</w:t>
            </w:r>
          </w:p>
        </w:tc>
        <w:tc>
          <w:tcPr>
            <w:tcW w:type="dxa" w:w="1728"/>
          </w:tcPr>
          <w:p>
            <w:r>
              <w:t>56.9900</w:t>
            </w:r>
          </w:p>
        </w:tc>
        <w:tc>
          <w:tcPr>
            <w:tcW w:type="dxa" w:w="1728"/>
          </w:tcPr>
          <w:p>
            <w:r>
              <w:t>0.0479</w:t>
            </w:r>
          </w:p>
        </w:tc>
        <w:tc>
          <w:tcPr>
            <w:tcW w:type="dxa" w:w="1728"/>
          </w:tcPr>
          <w:p>
            <w:r>
              <w:t>0.0246</w:t>
            </w:r>
          </w:p>
        </w:tc>
      </w:tr>
      <w:tr>
        <w:tc>
          <w:tcPr>
            <w:tcW w:type="dxa" w:w="1728"/>
          </w:tcPr>
          <w:p>
            <w:r>
              <w:t>Neutral</w:t>
            </w:r>
          </w:p>
        </w:tc>
        <w:tc>
          <w:tcPr>
            <w:tcW w:type="dxa" w:w="1728"/>
          </w:tcPr>
          <w:p>
            <w:r>
              <w:t>16.8600</w:t>
            </w:r>
          </w:p>
        </w:tc>
        <w:tc>
          <w:tcPr>
            <w:tcW w:type="dxa" w:w="1728"/>
          </w:tcPr>
          <w:p>
            <w:r>
              <w:t>34.5100</w:t>
            </w:r>
          </w:p>
        </w:tc>
        <w:tc>
          <w:tcPr>
            <w:tcW w:type="dxa" w:w="1728"/>
          </w:tcPr>
          <w:p>
            <w:r>
              <w:t>0.2266</w:t>
            </w:r>
          </w:p>
        </w:tc>
        <w:tc>
          <w:tcPr>
            <w:tcW w:type="dxa" w:w="1728"/>
          </w:tcPr>
          <w:p>
            <w:r>
              <w:t>0.1277</w:t>
            </w:r>
          </w:p>
        </w:tc>
      </w:tr>
      <w:tr>
        <w:tc>
          <w:tcPr>
            <w:tcW w:type="dxa" w:w="1728"/>
          </w:tcPr>
          <w:p>
            <w:r>
              <w:t>Hotspot</w:t>
            </w:r>
          </w:p>
        </w:tc>
        <w:tc>
          <w:tcPr>
            <w:tcW w:type="dxa" w:w="1728"/>
          </w:tcPr>
          <w:p>
            <w:r>
              <w:t>96.3300</w:t>
            </w:r>
          </w:p>
        </w:tc>
        <w:tc>
          <w:tcPr>
            <w:tcW w:type="dxa" w:w="1728"/>
          </w:tcPr>
          <w:p>
            <w:r>
              <w:t>37.7000</w:t>
            </w:r>
          </w:p>
        </w:tc>
        <w:tc>
          <w:tcPr>
            <w:tcW w:type="dxa" w:w="1728"/>
          </w:tcPr>
          <w:p>
            <w:r>
              <w:t>0.5420</w:t>
            </w:r>
          </w:p>
        </w:tc>
        <w:tc>
          <w:tcPr>
            <w:tcW w:type="dxa" w:w="1728"/>
          </w:tcPr>
          <w:p>
            <w:r>
              <w:t>0.3717</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