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4.2 Application and Performance of the Hybrid CNN Model (Objective 2)</w:t>
      </w:r>
    </w:p>
    <w:p>
      <w:r>
        <w:t>To evaluate the deep learning approach's accuracy and verify its capacity for high-resolution mapping, the Hybrid ConvLSTM model was validated against the 2024 ground truth dataset. Recognizing the continuous thermodynamic nature of heat diffusion, the network utilized a dual-head architecture: a classification head for spatial Land Use/Land Cover (LULC) and a regression head for Urban Heat Island (UHI) anomalies. The performance is quantified using Overall Accuracy (OA), Cohen’s Kappa Coefficient, Root Mean Square Error (RMSE), and the Coefficient of Determination (R²).</w:t>
      </w:r>
    </w:p>
    <w:p>
      <w:pPr>
        <w:pStyle w:val="Heading3"/>
      </w:pPr>
      <w:r>
        <w:t>Overall Performance Metrics</w:t>
      </w:r>
    </w:p>
    <w:p>
      <w:r>
        <w:rPr>
          <w:b/>
        </w:rPr>
        <w:t>LULC Spatial Prediction Core:</w:t>
        <w:br/>
      </w:r>
      <w:r>
        <w:t>• Overall Accuracy (OA): 87.12%</w:t>
        <w:br/>
      </w:r>
      <w:r>
        <w:t>• Kappa Coefficient: 0.7006</w:t>
        <w:br/>
      </w:r>
      <w:r>
        <w:t>• RMSE: 0.7439</w:t>
        <w:br/>
        <w:br/>
      </w:r>
      <w:r>
        <w:rPr>
          <w:b/>
        </w:rPr>
        <w:t>UHI Thermodynamic Prediction Core (Continuous Regression):</w:t>
        <w:br/>
      </w:r>
      <w:r>
        <w:t>• Overall Accuracy (OA): 72.64% (Post-Processing Thresholds Applied)</w:t>
        <w:br/>
      </w:r>
      <w:r>
        <w:t>• Kappa Coefficient: 0.5889</w:t>
        <w:br/>
      </w:r>
      <w:r>
        <w:t>• RMSE (Continuous): 1.1113</w:t>
        <w:br/>
      </w:r>
      <w:r>
        <w:t>• R² (Continuous): 0.7734</w:t>
      </w:r>
    </w:p>
    <w:p>
      <w:r>
        <w:br/>
        <w:t>The model achieved a robust 87.12% accuracy for LULC classification, successfully segmenting complex urban and natural boundaries. Furthermore, shifting the UHI prediction to a continuous regression task yielded an R² of 0.7734, demonstrating the network's strong capability to model thermodynamic heat diffusion prior to categorical hotspot thresholding.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