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8.00000000000006" w:lineRule="auto"/>
        <w:jc w:val="center"/>
        <w:rPr/>
      </w:pPr>
      <w:r w:rsidDel="00000000" w:rsidR="00000000" w:rsidRPr="00000000">
        <w:rPr>
          <w:rFonts w:ascii="Bookman Old Style" w:cs="Bookman Old Style" w:eastAsia="Bookman Old Style" w:hAnsi="Bookman Old Style"/>
          <w:b w:val="1"/>
          <w:bCs w:val="1"/>
          <w:sz w:val="28"/>
          <w:szCs w:val="28"/>
          <w:rtl w:val="0"/>
        </w:rPr>
        <w:t xml:space="preserve">TÉRMINOS DE REFERENCIA: IMPLEMENTACIÓN Y DESPLIEGUE DE LA PLATAFORMA WEB </w:t>
      </w:r>
      <w:r w:rsidDel="00000000" w:rsidR="00000000" w:rsidRPr="00000000">
        <w:rPr>
          <w:rFonts w:ascii="Bookman Old Style" w:cs="Bookman Old Style" w:eastAsia="Bookman Old Style" w:hAnsi="Bookman Old Style"/>
          <w:b w:val="1"/>
          <w:bCs w:val="1"/>
          <w:i w:val="1"/>
          <w:iCs w:val="1"/>
          <w:sz w:val="28"/>
          <w:szCs w:val="28"/>
          <w:rtl w:val="0"/>
        </w:rPr>
        <w:t xml:space="preserve">KAA IYA</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ANTECEDENTES Y JUSTIFICACIÓN</w:t>
      </w:r>
      <w:r w:rsidDel="00000000" w:rsidR="00000000" w:rsidRPr="00000000">
        <w:rPr>
          <w:rtl w:val="0"/>
        </w:rPr>
      </w:r>
    </w:p>
    <w:p w:rsidR="00000000" w:rsidDel="00000000" w:rsidP="00000000" w:rsidRDefault="00000000" w:rsidRPr="00000000" w14:paraId="00000003">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La plataforma digital </w:t>
      </w:r>
      <w:r w:rsidDel="00000000" w:rsidR="00000000" w:rsidRPr="00000000">
        <w:rPr>
          <w:rFonts w:ascii="Bookman Old Style" w:cs="Bookman Old Style" w:eastAsia="Bookman Old Style" w:hAnsi="Bookman Old Style"/>
          <w:b w:val="0"/>
          <w:bCs w:val="0"/>
          <w:i w:val="1"/>
          <w:iCs w:val="1"/>
          <w:sz w:val="24"/>
          <w:szCs w:val="24"/>
          <w:rtl w:val="0"/>
        </w:rPr>
        <w:t xml:space="preserve">Kaa Iya</w:t>
      </w:r>
      <w:r w:rsidDel="00000000" w:rsidR="00000000" w:rsidRPr="00000000">
        <w:rPr>
          <w:rFonts w:ascii="Bookman Old Style" w:cs="Bookman Old Style" w:eastAsia="Bookman Old Style" w:hAnsi="Bookman Old Style"/>
          <w:sz w:val="24"/>
          <w:szCs w:val="24"/>
          <w:rtl w:val="0"/>
        </w:rPr>
        <w:t xml:space="preserve"> (“Espíritu del Bosque”) se desarrolla en el marco de la Cátedra Nazaria Ignacia “Querida Amazonía” de la Universidad Católica Boliviana “San Pablo”, como una iniciativa orientada a visibilizar, articular y fortalecer iniciativas sostenibles vinculadas a la Amazonía boliviana. Este proyecto surge en respuesta a una necesidad estructural: la ausencia de un sistema integrado que permita organizar, analizar y poner en valor la información generada por empresas, fundaciones y otros actores comprometidos con la sostenibilidad.</w:t>
      </w:r>
      <w:r w:rsidDel="00000000" w:rsidR="00000000" w:rsidRPr="00000000">
        <w:rPr>
          <w:rtl w:val="0"/>
        </w:rPr>
      </w:r>
    </w:p>
    <w:p w:rsidR="00000000" w:rsidDel="00000000" w:rsidP="00000000" w:rsidRDefault="00000000" w:rsidRPr="00000000" w14:paraId="00000004">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La plataforma trasciende una función comunicacional y se concibe como una infraestructura de información capaz de contribuir progresivamente a la toma de decisiones empresariales y, en etapas posteriores, al diseño de políticas públicas basadas en evidencia. En una primera fase, el enfoque está centrado en empresas y fundaciones como actores motores del sistema; posteriormente se prevé la incorporación de la sociedad civil y, en una etapa más avanzada, del Estado como actor articulador y usuario estratégico de la información generada.</w:t>
      </w:r>
      <w:r w:rsidDel="00000000" w:rsidR="00000000" w:rsidRPr="00000000">
        <w:rPr>
          <w:rtl w:val="0"/>
        </w:rPr>
      </w:r>
    </w:p>
    <w:p w:rsidR="00000000" w:rsidDel="00000000" w:rsidP="00000000" w:rsidRDefault="00000000" w:rsidRPr="00000000" w14:paraId="00000005">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El proyecto responde a un cambio conceptual importante en el campo de la sostenibilidad: en los últimos años, las empresas se han constituido progresivamente en actores centrales en la promoción e implementación de iniciativas sostenibles, pasando de enfoques tradicionales de carácter filantrópico hacia una participación más estratégica y comprometida. En este marco, se transita también de una lógica asistencialista hacia un enfoque de desarrollo comunitario basado en la autonomía, la capacidad de decisión y el reconocimiento de las comunidades como actores con agencia.</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OBJETIVO DE LOS TÉRMINOS DE REFERENCIA</w:t>
      </w:r>
      <w:r w:rsidDel="00000000" w:rsidR="00000000" w:rsidRPr="00000000">
        <w:rPr>
          <w:rtl w:val="0"/>
        </w:rPr>
      </w:r>
    </w:p>
    <w:p w:rsidR="00000000" w:rsidDel="00000000" w:rsidP="00000000" w:rsidRDefault="00000000" w:rsidRPr="00000000" w14:paraId="00000007">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El presente documento tiene como objetivo definir los requerimientos técnicos, funcionales y de infraestructura necesarios para el despliegue de la plataforma </w:t>
      </w:r>
      <w:r w:rsidDel="00000000" w:rsidR="00000000" w:rsidRPr="00000000">
        <w:rPr>
          <w:rFonts w:ascii="Bookman Old Style" w:cs="Bookman Old Style" w:eastAsia="Bookman Old Style" w:hAnsi="Bookman Old Style"/>
          <w:b w:val="0"/>
          <w:bCs w:val="0"/>
          <w:i w:val="1"/>
          <w:iCs w:val="1"/>
          <w:sz w:val="24"/>
          <w:szCs w:val="24"/>
          <w:rtl w:val="0"/>
        </w:rPr>
        <w:t xml:space="preserve">Kaa Iya</w:t>
      </w:r>
      <w:r w:rsidDel="00000000" w:rsidR="00000000" w:rsidRPr="00000000">
        <w:rPr>
          <w:rFonts w:ascii="Bookman Old Style" w:cs="Bookman Old Style" w:eastAsia="Bookman Old Style" w:hAnsi="Bookman Old Style"/>
          <w:sz w:val="24"/>
          <w:szCs w:val="24"/>
          <w:rtl w:val="0"/>
        </w:rPr>
        <w:t xml:space="preserve"> en los servidores institucionales de la Universidad Católica Boliviana “San Pablo”. Se busca proporcionar al Ing. Orlando Rivera Jurado una comprensión clara del sistema, tanto en su estado actual como en su proyección futura, de modo que se puedan tomar decisiones informadas respecto a la viabilidad técnica, la capacidad del servidor y las condiciones necesarias para su implementación.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NATURALEZA Y ALCANCE DEL SISTEMA</w:t>
      </w:r>
      <w:r w:rsidDel="00000000" w:rsidR="00000000" w:rsidRPr="00000000">
        <w:rPr>
          <w:rtl w:val="0"/>
        </w:rPr>
      </w:r>
    </w:p>
    <w:p w:rsidR="00000000" w:rsidDel="00000000" w:rsidP="00000000" w:rsidRDefault="00000000" w:rsidRPr="00000000" w14:paraId="00000009">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La plataforma </w:t>
      </w:r>
      <w:r w:rsidDel="00000000" w:rsidR="00000000" w:rsidRPr="00000000">
        <w:rPr>
          <w:rFonts w:ascii="Bookman Old Style" w:cs="Bookman Old Style" w:eastAsia="Bookman Old Style" w:hAnsi="Bookman Old Style"/>
          <w:b w:val="0"/>
          <w:bCs w:val="0"/>
          <w:i w:val="1"/>
          <w:iCs w:val="1"/>
          <w:sz w:val="24"/>
          <w:szCs w:val="24"/>
          <w:rtl w:val="0"/>
        </w:rPr>
        <w:t xml:space="preserve">Kaa Iya</w:t>
      </w:r>
      <w:r w:rsidDel="00000000" w:rsidR="00000000" w:rsidRPr="00000000">
        <w:rPr>
          <w:rFonts w:ascii="Bookman Old Style" w:cs="Bookman Old Style" w:eastAsia="Bookman Old Style" w:hAnsi="Bookman Old Style"/>
          <w:sz w:val="24"/>
          <w:szCs w:val="24"/>
          <w:rtl w:val="0"/>
        </w:rPr>
        <w:t xml:space="preserve"> debe entenderse como un sistema digital de carácter escalable, modular y multiactor. Se configura como una infraestructura tecnológica orientada a la gestión de datos, la interacción entre actores y la generación de conocimiento, superando el alcance de una página web estática o meramente informativa.</w:t>
      </w:r>
      <w:r w:rsidDel="00000000" w:rsidR="00000000" w:rsidRPr="00000000">
        <w:rPr>
          <w:rtl w:val="0"/>
        </w:rPr>
      </w:r>
    </w:p>
    <w:p w:rsidR="00000000" w:rsidDel="00000000" w:rsidP="00000000" w:rsidRDefault="00000000" w:rsidRPr="00000000" w14:paraId="0000000A">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En su fase inicial, el sistema permitirá el registro y visualización de iniciativas sostenibles impulsadas principalmente por empresas y fundaciones. Se proyecta la participación de más de 200 actores en esta primera etapa, quienes incorporarán información relacionada con sus proyectos, incluyendo datos descriptivos, contenido multimedia y, progresivamente, documentación técnica.</w:t>
      </w:r>
      <w:r w:rsidDel="00000000" w:rsidR="00000000" w:rsidRPr="00000000">
        <w:rPr>
          <w:rtl w:val="0"/>
        </w:rPr>
      </w:r>
    </w:p>
    <w:p w:rsidR="00000000" w:rsidDel="00000000" w:rsidP="00000000" w:rsidRDefault="00000000" w:rsidRPr="00000000" w14:paraId="0000000B">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El alcance funcional del sistema comprende los siguientes componentes: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Registro y gestión de actores: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incorporación de empresas y fundaciones mediante perfiles institucionales que incluirán información general, descripción de iniciativas y datos asociados a sus proyectos.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Gestión de contenido de proyectos: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carga y administración de información vinculada a iniciativas sostenibles, incluyendo descripción estructurada de proyectos, fotografías, videos (con posibilidad de integración mediante enlaces externos como </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YouTube</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En fases posteriores, documentos de investigación y reportes técnicos.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Gestión de datos estructurados: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organización de la información en bases de datos que permitan su sistematización, consulta y análisis, considerando la necesidad de escalabilidad ante el incremento de actores y variables.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Georreferenciación de iniciativas: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registro de la ubicación de los proyectos, permitiendo su visualización territorial y facilitando el análisis espacial de las intervenciones.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Generación de reportes e información analítica: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desarrollo de herramientas que permitan evaluar avances, identificar tendencias y generar insumos para la toma de decisiones estratégicas.</w:t>
      </w:r>
    </w:p>
    <w:p w:rsidR="00000000" w:rsidDel="00000000" w:rsidP="00000000" w:rsidRDefault="00000000" w:rsidRPr="00000000" w14:paraId="00000011">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Adicionalmente, el sistema ha sido concebido desde su diseño inicial para evolucionar progresivamente hacia un ecosistema más complejo, en el cual se integren nuevos actores, se amplíe el volumen y la diversidad de datos disponibles, y se incorporen funcionalidades avanzadas de análisis.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ARQUITECTURA TECNOLÓGICA DEL SISTEMA</w:t>
      </w:r>
      <w:r w:rsidDel="00000000" w:rsidR="00000000" w:rsidRPr="00000000">
        <w:rPr>
          <w:rtl w:val="0"/>
        </w:rPr>
      </w:r>
    </w:p>
    <w:p w:rsidR="00000000" w:rsidDel="00000000" w:rsidP="00000000" w:rsidRDefault="00000000" w:rsidRPr="00000000" w14:paraId="00000013">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La plataforma está construida sobre un stack moderno orientado a la escalabilidad y mantenibilidad, dividido en dos capas principales: backend (API REST) y frontend (interfaz de usuario), con una base de datos relacional PostgreSQL.</w:t>
      </w:r>
      <w:r w:rsidDel="00000000" w:rsidR="00000000" w:rsidRPr="00000000">
        <w:rPr>
          <w:rtl w:val="0"/>
        </w:rPr>
      </w:r>
    </w:p>
    <w:p w:rsidR="00000000" w:rsidDel="00000000" w:rsidP="00000000" w:rsidRDefault="00000000" w:rsidRPr="00000000" w14:paraId="00000014">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4.1 Backend — Amazonia API</w:t>
      </w:r>
      <w:r w:rsidDel="00000000" w:rsidR="00000000" w:rsidRPr="00000000">
        <w:rPr>
          <w:rtl w:val="0"/>
        </w:rPr>
      </w:r>
    </w:p>
    <w:p w:rsidR="00000000" w:rsidDel="00000000" w:rsidP="00000000" w:rsidRDefault="00000000" w:rsidRPr="00000000" w14:paraId="00000015">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Construido sobre NestJS v11.0.1, framework progresivo para Node.js con arquitectura modular basada en inyección de dependencias.</w:t>
      </w:r>
      <w:r w:rsidDel="00000000" w:rsidR="00000000" w:rsidRPr="00000000">
        <w:rPr>
          <w:rtl w:val="0"/>
        </w:rPr>
      </w:r>
    </w:p>
    <w:p w:rsidR="00000000" w:rsidDel="00000000" w:rsidP="00000000" w:rsidRDefault="00000000" w:rsidRPr="00000000" w14:paraId="00000016">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Framework y lenguaje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17">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18">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19">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1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NestJS Core / Common / Platform-Express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11.0.1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1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Motor principal, decoradores, adaptador HTTP</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TypeScript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5.7.3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Lenguaje principal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2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Node.js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18.x – 22.x</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2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Runtime requerido en servidor</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Autenticación y seguridad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25">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26">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27">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2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@nestjs/jwt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2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11.0.1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2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Generación y validación de tokens JWT</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B">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@nestjs/passport + passport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11.0.5 / 0.7.0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Estrategias de autenticación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2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passport-jwt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4.0.1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3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Validación de tokens Bearer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bcrypt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6.0.0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Hash seguro de contraseñas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helmet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latest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HTTP security headers (XSS, clickjacking, CSP)</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@nestjs/throttler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latest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Rate limiting por IP y por ruta</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Base de datos y ORM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3C">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3D">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3E">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3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TypeORM</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0.3.27</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ORM: queries, migrations, relaciones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@nestjs/typeorm</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11.0.0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Integración TypeORM con NestJS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4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pg</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4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8.16.3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4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Driver nativo PostgreSQL</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Validación y configuración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4A">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4B">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4C">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4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class-validator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4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0.14.2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4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Validación de clases con decoradores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class-transformer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0.5.1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Transformación de objetos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joi</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5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18.0.1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5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Validación de esquemas y variables de entorno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@nestjs/config</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4.0.2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Gestión de variables de entorno</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Documentación y utilidades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5B">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5C">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5D">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@nestjs/swagger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11.2.1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Documentación automática OpenAPI / Swagger UI</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date-fns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4.1.0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Manipulación de fechas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rxjs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7.8.1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Programación reactiva, observables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reflect-metadata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0.2.2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Metadatos en runtime para decoradores</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Herramientas de desarrollo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6C">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6D">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6E">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@nestjs/cli</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11.0.0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Generación de módulos, build, desarrollo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SWC Core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1.10.7</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Compilador rápido (Rust), alternativa a Babel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7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TypeScript Compiler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5.7.3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Compilación y type checking</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ts-node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10.9.2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Ejecución directa de archivos .ts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Jest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29.7.0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7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Framework de testing</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supertest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7.0.0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Testing de endpoints HTTP</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ESLint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8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9.18.0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8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Linter estático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Prettier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3.4.2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Formateador de código</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4.2 Frontend — Interfaz de Usuario</w:t>
      </w:r>
      <w:r w:rsidDel="00000000" w:rsidR="00000000" w:rsidRPr="00000000">
        <w:rPr>
          <w:rtl w:val="0"/>
        </w:rPr>
      </w:r>
    </w:p>
    <w:p w:rsidR="00000000" w:rsidDel="00000000" w:rsidP="00000000" w:rsidRDefault="00000000" w:rsidRPr="00000000" w14:paraId="00000089">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Construido sobre React 19.1.1 y TypeScript 5.8.2, con Vite 6.2.0 como herramienta de build.</w:t>
      </w:r>
      <w:r w:rsidDel="00000000" w:rsidR="00000000" w:rsidRPr="00000000">
        <w:rPr>
          <w:rtl w:val="0"/>
        </w:rPr>
      </w:r>
    </w:p>
    <w:p w:rsidR="00000000" w:rsidDel="00000000" w:rsidP="00000000" w:rsidRDefault="00000000" w:rsidRPr="00000000" w14:paraId="0000008A">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Framework y lenguaje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8B">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8C">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8D">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8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React + React DOM</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19.1.1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Framework principal de UI</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TypeScript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5.8.2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Tipado estático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Vite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6.2.0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Build tool y servidor de desarrollo</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Routing, estado y animaciones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99">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9A">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9B">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React Router DOM</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7.9.3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Routing del lado del cliente (SPA)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@tanstack/react-query</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5.90.2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Estado del servidor, caché de datos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Context API</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(built-in React)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A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Estado global de la aplicación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Framer Motion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12.23.22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Animaciones y transiciones</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Mapas y georreferenciación</w:t>
      </w:r>
      <w:r w:rsidDel="00000000" w:rsidR="00000000" w:rsidRPr="00000000">
        <w:rPr>
          <w:rtl w:val="0"/>
        </w:rPr>
      </w:r>
    </w:p>
    <w:tbl>
      <w:tblPr>
        <w:tblStyle w:val="Table9"/>
        <w:tblW w:w="7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600"/>
        <w:tblGridChange w:id="0">
          <w:tblGrid>
            <w:gridCol w:w="396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AA">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AB">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after="0" w:lineRule="auto"/>
              <w:rPr/>
            </w:pPr>
            <w:r w:rsidDel="00000000" w:rsidR="00000000" w:rsidRPr="00000000">
              <w:rPr>
                <w:sz w:val="22"/>
                <w:szCs w:val="22"/>
                <w:rtl w:val="0"/>
              </w:rPr>
              <w:t xml:space="preserve">Microservicio Autoalojado de georeferencia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Mapas vectoriales interactivos, renderizado por GPU</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Seguridad y formularios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B0">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B1">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B2">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axios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1.7.7</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B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Cliente HTTP con interceptors para tokens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zod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3.23.8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Validación de esquemas tipada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react-hook-form</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7.52.1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BB">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Gestión de formularios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@hookform/resolvers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3.4.2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Integración react-hook-form + zod</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dompurify</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3.1.5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C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Sanitización de HTML dinámico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js-cookie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3.0.5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Manejo de cookies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jsonwebtoken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9.1.2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Manejo de tokens JWT en cliente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jose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5.4.1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Decodificación y verificación de JWT</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bcryptjs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2.4.3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Hash de contraseñas en cliente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crypto-js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4.2.0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Utilidades de cifrado</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Monitoring y logging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D3">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D4">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D5">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@sentry/react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8.18.0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D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Error tracking en producción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@sentry/tracing</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8.18.0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B">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Tracing de performance en cliente</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Herramientas de desarrollo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3600"/>
        <w:tblGridChange w:id="0">
          <w:tblGrid>
            <w:gridCol w:w="3960"/>
            <w:gridCol w:w="1800"/>
            <w:gridCol w:w="36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DE">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DF">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Versión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0E0">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E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vitest + @vitest/coverage-v8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2.1.3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E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Testing nativo de Vite con cobertura</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@testing-library/react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16.0.1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Testing de componentes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msw</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2.4.5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Mock de API para tests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ESLint + eslint-plugin-security</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B">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9.10.0 / 3.0.1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Linter con detección de patrones inseguros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husky + lint-staged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9.1.6 / 15.2.11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Git hooks automáticos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commitlint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19.5.0</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Validación de mensajes de commit</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snyk</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1.1302.3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Auditoría de vulnerabilidades en dependencias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rollup-plugin-visualizer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4.2.2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Análisis del bundle size</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4.3 Base de Datos</w:t>
      </w:r>
      <w:r w:rsidDel="00000000" w:rsidR="00000000" w:rsidRPr="00000000">
        <w:rPr>
          <w:rtl w:val="0"/>
        </w:rPr>
      </w:r>
    </w:p>
    <w:p w:rsidR="00000000" w:rsidDel="00000000" w:rsidP="00000000" w:rsidRDefault="00000000" w:rsidRPr="00000000" w14:paraId="000000FB">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PostgreSQL como sistema gestor de base de datos relacional, accedido desde el backend mediante TypeORM. Centraliza toda la información de actores, proyectos, iniciativas y datos georreferenciados. Se requiere PostgreSQL 14 o superior para plena compatibilidad con TypeORM y las funcionalidades geoespaciales del sistema.</w:t>
      </w:r>
      <w:r w:rsidDel="00000000" w:rsidR="00000000" w:rsidRPr="00000000">
        <w:rPr>
          <w:rtl w:val="0"/>
        </w:rPr>
      </w:r>
    </w:p>
    <w:p w:rsidR="00000000" w:rsidDel="00000000" w:rsidP="00000000" w:rsidRDefault="00000000" w:rsidRPr="00000000" w14:paraId="000000FC">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4.4 Arquitectura de Despliegue</w:t>
      </w:r>
      <w:r w:rsidDel="00000000" w:rsidR="00000000" w:rsidRPr="00000000">
        <w:rPr>
          <w:rtl w:val="0"/>
        </w:rPr>
      </w:r>
    </w:p>
    <w:p w:rsidR="00000000" w:rsidDel="00000000" w:rsidP="00000000" w:rsidRDefault="00000000" w:rsidRPr="00000000" w14:paraId="000000FD">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El sistema se compone de tres procesos que deben ejecutarse de forma persistente: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Backend (API REST):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proceso NestJS compilado, gestionado mediante PM2 para reinicio automático.</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Frontend (SPA):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archivos estáticos compilados (HTML, CSS, JS) servidos por Nginx. No requiere proceso Node.js activo en producción.</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Base de datos: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instancia PostgreSQL como servicio del sistema operativo.</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Nginx: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proxy inverso, sirve los archivos estáticos del frontend y redirige el tráfico al backend. Gestiona también la terminación SSL/TLS.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SEGURIDAD DEL SISTEMA</w:t>
      </w:r>
      <w:r w:rsidDel="00000000" w:rsidR="00000000" w:rsidRPr="00000000">
        <w:rPr>
          <w:rtl w:val="0"/>
        </w:rPr>
      </w:r>
    </w:p>
    <w:p w:rsidR="00000000" w:rsidDel="00000000" w:rsidP="00000000" w:rsidRDefault="00000000" w:rsidRPr="00000000" w14:paraId="00000103">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La plataforma implementa seguridad en múltiples capas, alineada con el OWASP Top 10:2025 e ISO/IEC 27001:2022.</w:t>
      </w:r>
      <w:r w:rsidDel="00000000" w:rsidR="00000000" w:rsidRPr="00000000">
        <w:rPr>
          <w:rtl w:val="0"/>
        </w:rPr>
      </w:r>
    </w:p>
    <w:p w:rsidR="00000000" w:rsidDel="00000000" w:rsidP="00000000" w:rsidRDefault="00000000" w:rsidRPr="00000000" w14:paraId="00000104">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5.1 Medidas implementadas</w:t>
      </w:r>
      <w:r w:rsidDel="00000000" w:rsidR="00000000" w:rsidRPr="00000000">
        <w:rPr>
          <w:rtl w:val="0"/>
        </w:rPr>
      </w:r>
    </w:p>
    <w:p w:rsidR="00000000" w:rsidDel="00000000" w:rsidP="00000000" w:rsidRDefault="00000000" w:rsidRPr="00000000" w14:paraId="00000105">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Control de acceso y autenticación (OWASP A01, A07)</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Autenticación basada en JWT con tokens Bearer validados en cada endpoint.</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Guards de NestJS para protección de rutas por rol.</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Hash seguro de contraseñas con bcrypt (salting automático).</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Rate limiting por IP mediante @nestjs/throttler para prevenir fuerza bruta.</w:t>
      </w:r>
    </w:p>
    <w:p w:rsidR="00000000" w:rsidDel="00000000" w:rsidP="00000000" w:rsidRDefault="00000000" w:rsidRPr="00000000" w14:paraId="0000010A">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Configuración segura (OWASP A02)</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helmet en el backend para establecer headers HTTP de seguridad: Content-Security-Policy, X-Content-Type-Options, X-Frame-Options, Referrer-Policy.</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Variables de entorno gestionadas mediante @nestjs/config y validación Joi. Sin credenciales en código fuente.</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CORS configurado con lista blanca de orígenes permitidos.</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HTTPS obligatorio con terminación SSL/TLS en Nginx.</w:t>
      </w:r>
    </w:p>
    <w:p w:rsidR="00000000" w:rsidDel="00000000" w:rsidP="00000000" w:rsidRDefault="00000000" w:rsidRPr="00000000" w14:paraId="0000010F">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Cadena de suministro de software (OWASP A03)</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Auditoría de dependencias con npm audit en backend y snyk en frontend.</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Integración recomendada en pipeline CI/CD para auditoría automática en cada despliegue.</w:t>
      </w:r>
    </w:p>
    <w:p w:rsidR="00000000" w:rsidDel="00000000" w:rsidP="00000000" w:rsidRDefault="00000000" w:rsidRPr="00000000" w14:paraId="00000112">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Inyección y validación de datos (OWASP A05)</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class-validator y joi en backend previenen entrada de datos malformados.</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dompurify en frontend sanitiza cualquier HTML renderizado dinámicamente.</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Consultas a base de datos únicamente mediante TypeORM (queries parametrizadas, sin SQL manual).</w:t>
      </w:r>
    </w:p>
    <w:p w:rsidR="00000000" w:rsidDel="00000000" w:rsidP="00000000" w:rsidRDefault="00000000" w:rsidRPr="00000000" w14:paraId="00000116">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Manejo de errores (OWASP A10)</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Global Exception Filter en NestJS: captura todas las excepciones no controladas y devuelve respuestas normalizadas sin exponer stack traces al cliente.</w:t>
      </w:r>
    </w:p>
    <w:p w:rsidR="00000000" w:rsidDel="00000000" w:rsidP="00000000" w:rsidRDefault="00000000" w:rsidRPr="00000000" w14:paraId="00000118">
      <w:pPr>
        <w:spacing w:after="80" w:before="160" w:line="278.00000000000006" w:lineRule="auto"/>
        <w:jc w:val="both"/>
        <w:rPr/>
      </w:pPr>
      <w:r w:rsidDel="00000000" w:rsidR="00000000" w:rsidRPr="00000000">
        <w:rPr>
          <w:rFonts w:ascii="Bookman Old Style" w:cs="Bookman Old Style" w:eastAsia="Bookman Old Style" w:hAnsi="Bookman Old Style"/>
          <w:b w:val="1"/>
          <w:bCs w:val="1"/>
          <w:i w:val="1"/>
          <w:iCs w:val="1"/>
          <w:sz w:val="24"/>
          <w:szCs w:val="24"/>
          <w:rtl w:val="0"/>
        </w:rPr>
        <w:t xml:space="preserve">Logging y alertas (OWASP A09)</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@sentry/react en frontend captura errores en producción con stack traces completos.</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Se recomienda incorporar winston o pino en el backend para logging estructurado persistente con niveles (error, warn, info).</w:t>
      </w:r>
    </w:p>
    <w:p w:rsidR="00000000" w:rsidDel="00000000" w:rsidP="00000000" w:rsidRDefault="00000000" w:rsidRPr="00000000" w14:paraId="0000011B">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5.2 Controles ISO/IEC 27001:2022 aplicados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240"/>
        <w:gridCol w:w="4680"/>
        <w:tblGridChange w:id="0">
          <w:tblGrid>
            <w:gridCol w:w="1440"/>
            <w:gridCol w:w="3240"/>
            <w:gridCol w:w="468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1C">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Control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1D">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Descripción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1E">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Implementación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8.26</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Seguridad de aplicaciones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Validación, sanitización, autenticación JWT, headers de seguridad</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8.8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Gestión de vulnerabilidades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npm audit, snyk, actualizaciones periódicas de dependencias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8.24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Uso de criptografía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bcrypt para contraseñas, HTTPS para datos en tránsito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8.15</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Logging</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Sentry en frontend, logging estructurado en backend</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8.28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Codificación segura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ESLint con eslint-plugin-security, class-validator, dompurify</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5.3 Medidas de infraestructura (nivel servidor)</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HTTPS obligatorio con certificado SSL/TLS (Let's Encrypt recomendado).</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Headers de seguridad configurados en Nginx: HSTS, X-Content-Type-Options, X-Frame-Options, Permissions-Policy.</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Respaldos periódicos de la base de datos PostgreSQL (frecuencia diaria o semanal recomendada).</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PM2 para reinicio automático del proceso backend ante fallos inesperados.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Fail2Ban recomendado para bloqueo automático de IPs con comportamiento abusivo.</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INFRAESTRUCTURA Y CAPACIDAD REQUERIDA</w:t>
      </w:r>
      <w:r w:rsidDel="00000000" w:rsidR="00000000" w:rsidRPr="00000000">
        <w:rPr>
          <w:rtl w:val="0"/>
        </w:rPr>
      </w:r>
    </w:p>
    <w:p w:rsidR="00000000" w:rsidDel="00000000" w:rsidP="00000000" w:rsidRDefault="00000000" w:rsidRPr="00000000" w14:paraId="00000136">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6.1 Requisitos de servidor</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3240"/>
        <w:gridCol w:w="3240"/>
        <w:tblGridChange w:id="0">
          <w:tblGrid>
            <w:gridCol w:w="2880"/>
            <w:gridCol w:w="3240"/>
            <w:gridCol w:w="324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37">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Componente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38">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Mínimo requerido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39">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Recomendado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Sistema Operativo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Linux (Ubuntu 20.04+ / Debian 11+)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Ubuntu 22.04 LTS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Procesador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4 núcleos x86_64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8+ núcleos</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Memoria RAM</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Por definir*</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Por definir*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Almacenamiento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100 GB SSD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Escalable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Node.js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4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18.x</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20.x LTS o 22.x</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PostgreSQL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14.x</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B">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16.x</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Nginx</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1.18+</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1.24+</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160" w:line="278.00000000000006" w:lineRule="auto"/>
        <w:jc w:val="both"/>
        <w:rPr/>
      </w:pPr>
      <w:r w:rsidDel="00000000" w:rsidR="00000000" w:rsidRPr="00000000">
        <w:rPr>
          <w:rFonts w:ascii="Bookman Old Style" w:cs="Bookman Old Style" w:eastAsia="Bookman Old Style" w:hAnsi="Bookman Old Style"/>
          <w:b w:val="1"/>
          <w:bCs w:val="1"/>
          <w:i w:val="0"/>
          <w:iCs w:val="0"/>
          <w:sz w:val="24"/>
          <w:szCs w:val="24"/>
          <w:rtl w:val="0"/>
        </w:rPr>
        <w:t xml:space="preserve">(*) Nota sobre memoria RAM: </w:t>
      </w:r>
      <w:r w:rsidDel="00000000" w:rsidR="00000000" w:rsidRPr="00000000">
        <w:rPr>
          <w:rFonts w:ascii="Bookman Old Style" w:cs="Bookman Old Style" w:eastAsia="Bookman Old Style" w:hAnsi="Bookman Old Style"/>
          <w:sz w:val="24"/>
          <w:szCs w:val="24"/>
          <w:rtl w:val="0"/>
        </w:rPr>
        <w:t xml:space="preserve">el consumo real del sistema depende de la carga concurrente, el volumen de datos en caché y el comportamiento de PostgreSQL bajo uso sostenido. Antes de definir el requisito de RAM se realizarán pruebas de carga controladas que medirán el consumo del proceso backend (Node.js/NestJS) en condiciones de uso bajo, normal y pico, simulando la operación simultánea de múltiples actores. Los resultados de esas pruebas determinarán la recomendación definitiva.</w:t>
      </w:r>
      <w:r w:rsidDel="00000000" w:rsidR="00000000" w:rsidRPr="00000000">
        <w:rPr>
          <w:rtl w:val="0"/>
        </w:rPr>
      </w:r>
    </w:p>
    <w:p w:rsidR="00000000" w:rsidDel="00000000" w:rsidP="00000000" w:rsidRDefault="00000000" w:rsidRPr="00000000" w14:paraId="00000151">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6.2 Requisitos de red y acceso</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IP pública fija para acceso externo a la plataforma.</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Posibilidad de múltiples IPs para segmentación de servicios o escalamiento futuro.</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Acceso SSH con permisos para instalar dependencias, configurar servicios y gestionar procesos.</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Puertos abiertos: 80 (HTTP), 443 (HTTPS), y un puerto adicional para la API (ej. 3000).</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Certificado SSL/TLS para comunicaciones cifradas.</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Posibilidad de configurar subdominios (ej. api.kaaiya.ucb.edu.bo para el backend, app.kaaiya.ucb.edu.bo para el frontend).</w:t>
      </w:r>
    </w:p>
    <w:p w:rsidR="00000000" w:rsidDel="00000000" w:rsidP="00000000" w:rsidRDefault="00000000" w:rsidRPr="00000000" w14:paraId="00000158">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6.3 Herramientas de infraestructura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860"/>
        <w:gridCol w:w="1800"/>
        <w:tblGridChange w:id="0">
          <w:tblGrid>
            <w:gridCol w:w="2700"/>
            <w:gridCol w:w="4860"/>
            <w:gridCol w:w="180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59">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Herramienta</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5A">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Función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5B">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Prioridad</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Nginx</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Proxy inverso, archivos estáticos, terminación SSL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Indispensable</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PM2</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Gestor de procesos Node.js: reinicio automático, logs, monitoreo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Recomendado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Certbot / Let's Encrypt</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Generación y renovación automática de certificado SSL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Recomendado</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5">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Docker (opcional)</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6">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Contenedorización para aislamiento y portabilidad</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7">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Opcional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Fail2Ban</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Bloqueo automático de IPs abusivas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Recomendado</w:t>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6.4 Gestión de contenido multimedia</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Videos: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integración mediante enlaces externos (YouTube) para evitar almacenamiento local y consumo de ancho de banda para streaming.</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Imágenes: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almacenamiento local con compresión optimizada y límites de tamaño por archivo.</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Datos geoespaciales: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servidos desde PostgreSQL mediante TypeORM. El renderizado del mapa ocurre en el cliente (MapLibre GL), minimizando la carga del servidor.</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BASE DE DATOS: PROYECCIÓN Y CRECIMIENTO</w:t>
      </w:r>
      <w:r w:rsidDel="00000000" w:rsidR="00000000" w:rsidRPr="00000000">
        <w:rPr>
          <w:rtl w:val="0"/>
        </w:rPr>
      </w:r>
    </w:p>
    <w:p w:rsidR="00000000" w:rsidDel="00000000" w:rsidP="00000000" w:rsidRDefault="00000000" w:rsidRPr="00000000" w14:paraId="00000171">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7.1 Fase inicial (Año 1)</w:t>
      </w:r>
      <w:r w:rsidDel="00000000" w:rsidR="00000000" w:rsidRPr="00000000">
        <w:rPr>
          <w:rtl w:val="0"/>
        </w:rPr>
      </w:r>
    </w:p>
    <w:p w:rsidR="00000000" w:rsidDel="00000000" w:rsidP="00000000" w:rsidRDefault="00000000" w:rsidRPr="00000000" w14:paraId="00000172">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Almacenamiento previsto para:</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~200 empresas, fundaciones y organizaciones.</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Información estructurada de iniciativas y proyectos.</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Fotografías y enlaces a videos externos.</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Coordenadas y polígonos georreferenciados.</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Perfiles institucionales con datos de contacto.</w:t>
      </w:r>
    </w:p>
    <w:p w:rsidR="00000000" w:rsidDel="00000000" w:rsidP="00000000" w:rsidRDefault="00000000" w:rsidRPr="00000000" w14:paraId="00000178">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7.2 Proyección de crecimiento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620"/>
        <w:gridCol w:w="5580"/>
        <w:tblGridChange w:id="0">
          <w:tblGrid>
            <w:gridCol w:w="2160"/>
            <w:gridCol w:w="1620"/>
            <w:gridCol w:w="5580"/>
          </w:tblGrid>
        </w:tblGridChange>
      </w:tblGrid>
      <w:tr>
        <w:trPr>
          <w:cantSplit w:val="0"/>
          <w:tblHeader w:val="1"/>
        </w:trPr>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79">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Horizonte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7A">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Período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80.0" w:type="dxa"/>
              <w:left w:w="100.0" w:type="dxa"/>
              <w:bottom w:w="80.0" w:type="dxa"/>
              <w:right w:w="100.0" w:type="dxa"/>
            </w:tcMar>
            <w:vAlign w:val="center"/>
          </w:tcPr>
          <w:p w:rsidR="00000000" w:rsidDel="00000000" w:rsidP="00000000" w:rsidRDefault="00000000" w:rsidRPr="00000000" w14:paraId="0000017B">
            <w:pPr>
              <w:spacing w:after="0" w:lineRule="auto"/>
              <w:jc w:val="center"/>
              <w:rPr/>
            </w:pPr>
            <w:r w:rsidDel="00000000" w:rsidR="00000000" w:rsidRPr="00000000">
              <w:rPr>
                <w:rFonts w:ascii="Bookman Old Style" w:cs="Bookman Old Style" w:eastAsia="Bookman Old Style" w:hAnsi="Bookman Old Style"/>
                <w:b w:val="1"/>
                <w:bCs w:val="1"/>
                <w:sz w:val="22"/>
                <w:szCs w:val="22"/>
                <w:rtl w:val="0"/>
              </w:rPr>
              <w:t xml:space="preserve">Descripción</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Corto plazo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Año 1</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~200 actores, datos básicos de proyectos, georreferenciación inicial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F">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Mediano plazo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0">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Años 2–3</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1">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Expansión de actores, incorporación de sociedad civil, integración regional</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Largo plazo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Años 4+</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after="0" w:lineRule="auto"/>
              <w:rPr/>
            </w:pPr>
            <w:r w:rsidDel="00000000" w:rsidR="00000000" w:rsidRPr="00000000">
              <w:rPr>
                <w:rFonts w:ascii="Bookman Old Style" w:cs="Bookman Old Style" w:eastAsia="Bookman Old Style" w:hAnsi="Bookman Old Style"/>
                <w:b w:val="0"/>
                <w:bCs w:val="0"/>
                <w:sz w:val="22"/>
                <w:szCs w:val="22"/>
                <w:rtl w:val="0"/>
              </w:rPr>
              <w:t xml:space="preserve">Integración del Estado, análisis avanzado, ciencia de datos</w:t>
            </w: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120" w:before="200" w:line="278.00000000000006" w:lineRule="auto"/>
        <w:jc w:val="both"/>
        <w:rPr/>
      </w:pPr>
      <w:r w:rsidDel="00000000" w:rsidR="00000000" w:rsidRPr="00000000">
        <w:rPr>
          <w:rFonts w:ascii="Bookman Old Style" w:cs="Bookman Old Style" w:eastAsia="Bookman Old Style" w:hAnsi="Bookman Old Style"/>
          <w:b w:val="1"/>
          <w:bCs w:val="1"/>
          <w:sz w:val="24"/>
          <w:szCs w:val="24"/>
          <w:rtl w:val="0"/>
        </w:rPr>
        <w:t xml:space="preserve">7.3 Criterios de diseño</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Escalabilidad: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estructura que permita incorporar nuevos campos y tipos de información sin comprometer la integridad.</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Actualización periódica: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frecuencia semestral para garantizar vigencia de los datos.</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Integridad referencial: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constraints, índices y relaciones formales mediante TypeORM.</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Migraciones controladas: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cambios de esquema versionados con TypeORM Migrations, sin pérdida de información.</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FUNCIONALIDADES DEL SISTEMA</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Gestión de actores: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registro de empresas y fundaciones con perfiles institucionales, descripción de proyectos y contenido multimedia.</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Gestión de contenidos: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carga de imágenes, documentos y enlace a videos externos.</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Georreferenciación: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visualización territorial interactiva de iniciativas mediante MapLibre GL, con filtros por zona, tipo de actor y categoría.</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Autenticación y roles: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sistema JWT con control de acceso por rol (administrador, actor registrado, usuario público).</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API REST documentada: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documentación automática disponible en /api/docs mediante Swagger/OpenAPI.</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Información analítica: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reportes de avance, datos de impacto agregados y visualizaciones comparativas.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LÍMITES Y CONSIDERACIONES</w:t>
      </w:r>
      <w:r w:rsidDel="00000000" w:rsidR="00000000" w:rsidRPr="00000000">
        <w:rPr>
          <w:rtl w:val="0"/>
        </w:rPr>
      </w:r>
    </w:p>
    <w:p w:rsidR="00000000" w:rsidDel="00000000" w:rsidP="00000000" w:rsidRDefault="00000000" w:rsidRPr="00000000" w14:paraId="00000193">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No se contempla la inclusión de datos financieros sensibles ni información confidencial de las organizaciones participantes. El enfoque está en datos de impacto, resultados y trazabilidad general de las iniciativas. El sistema no reemplaza sistemas de gestión interna de las organizaciones, sino que actúa como agregador y visualizador de información de impacto.</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both"/>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CONCLUSIÓN</w:t>
      </w:r>
      <w:r w:rsidDel="00000000" w:rsidR="00000000" w:rsidRPr="00000000">
        <w:rPr>
          <w:rtl w:val="0"/>
        </w:rPr>
      </w:r>
    </w:p>
    <w:p w:rsidR="00000000" w:rsidDel="00000000" w:rsidP="00000000" w:rsidRDefault="00000000" w:rsidRPr="00000000" w14:paraId="00000195">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La implementación de la plataforma </w:t>
      </w:r>
      <w:r w:rsidDel="00000000" w:rsidR="00000000" w:rsidRPr="00000000">
        <w:rPr>
          <w:rFonts w:ascii="Bookman Old Style" w:cs="Bookman Old Style" w:eastAsia="Bookman Old Style" w:hAnsi="Bookman Old Style"/>
          <w:b w:val="0"/>
          <w:bCs w:val="0"/>
          <w:i w:val="1"/>
          <w:iCs w:val="1"/>
          <w:sz w:val="24"/>
          <w:szCs w:val="24"/>
          <w:rtl w:val="0"/>
        </w:rPr>
        <w:t xml:space="preserve">Kaa Iya</w:t>
      </w:r>
      <w:r w:rsidDel="00000000" w:rsidR="00000000" w:rsidRPr="00000000">
        <w:rPr>
          <w:rFonts w:ascii="Bookman Old Style" w:cs="Bookman Old Style" w:eastAsia="Bookman Old Style" w:hAnsi="Bookman Old Style"/>
          <w:sz w:val="24"/>
          <w:szCs w:val="24"/>
          <w:rtl w:val="0"/>
        </w:rPr>
        <w:t xml:space="preserve"> en los servidores de la Universidad Católica Boliviana “San Pablo” requiere una planificación técnica cuidadosa, considerando no solo las necesidades actuales, sino también el crecimiento futuro del sistema. La naturaleza escalable del proyecto, el volumen de datos previsto y su proyección estratégica hacen imprescindible contar con una infraestructura robusta, flexible y preparada para evolucionar.</w:t>
      </w:r>
      <w:r w:rsidDel="00000000" w:rsidR="00000000" w:rsidRPr="00000000">
        <w:rPr>
          <w:rtl w:val="0"/>
        </w:rPr>
      </w:r>
    </w:p>
    <w:p w:rsidR="00000000" w:rsidDel="00000000" w:rsidP="00000000" w:rsidRDefault="00000000" w:rsidRPr="00000000" w14:paraId="00000196">
      <w:pPr>
        <w:spacing w:after="160" w:line="278.00000000000006" w:lineRule="auto"/>
        <w:jc w:val="both"/>
        <w:rPr/>
      </w:pPr>
      <w:r w:rsidDel="00000000" w:rsidR="00000000" w:rsidRPr="00000000">
        <w:rPr>
          <w:rFonts w:ascii="Bookman Old Style" w:cs="Bookman Old Style" w:eastAsia="Bookman Old Style" w:hAnsi="Bookman Old Style"/>
          <w:sz w:val="24"/>
          <w:szCs w:val="24"/>
          <w:rtl w:val="0"/>
        </w:rPr>
        <w:t xml:space="preserve">En este sentido, el despliegue debe realizarse bajo criterios de sostenibilidad tecnológica, garantizando que la plataforma pueda acompañar el desarrollo del proyecto y consolidarse como una herramienta clave para la articulación de actores y la generación de conocimiento en torno a la Amazonía boliviana.</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Bookman Old Style" w:cs="Bookman Old Style" w:eastAsia="Bookman Old Style" w:hAnsi="Bookman Old Style"/>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Zi4X0e3eLEIqsMbUgpKNa4eDA==">CgMxLjA4AHIhMU9qVEU1aHRaaFhRTzEwZ2IyM0p5RmJMTHBYQVktTjBM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