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jc w:val="center"/>
      </w:pPr>
      <w:r>
        <w:rPr>
          <w:b/>
          <w:color w:val="123B5D"/>
          <w:sz w:val="36"/>
        </w:rPr>
        <w:t xml:space="preserve">POC2 微调前后对比评测报告</w:t>
      </w:r>
    </w:p>
    <w:p>
      <w:pPr>
        <w:jc w:val="center"/>
      </w:pPr>
      <w:r>
        <w:rPr/>
        <w:t xml:space="preserve">本次实验：Foundation-Sec-8B-Instruct × SEVENLLM 官方测试集</w:t>
      </w:r>
    </w:p>
    <w:p>
      <w:pPr>
        <w:jc w:val="center"/>
      </w:pPr>
      <w:r>
        <w:rPr/>
        <w:t xml:space="preserve">实验性质：网络安全垂类模型 QLoRA 微调效果验证；本报告仅使用本次实验产物。</w:t>
      </w:r>
    </w:p>
    <w:p>
      <w:pPr>
        <w:pStyle w:val="Heading1"/>
      </w:pPr>
      <w:r>
        <w:rPr>
          <w:b/>
          <w:color w:val="123B5D"/>
          <w:sz w:val="28"/>
        </w:rPr>
        <w:t xml:space="preserve">1. 实验概览</w:t>
      </w:r>
    </w:p>
    <w:tbl>
      <w:tblPr>
        <w:tblW w:w="0" w:type="auto"/>
        <w:tblBorders>
          <w:top w:val="single" w:sz="8" w:color="6B8EA5"/>
          <w:left w:val="single" w:sz="8" w:color="6B8EA5"/>
          <w:bottom w:val="single" w:sz="8" w:color="6B8EA5"/>
          <w:right w:val="single" w:sz="8" w:color="6B8EA5"/>
          <w:insideH w:val="single" w:sz="4" w:color="B8C8D3"/>
          <w:insideV w:val="single" w:sz="4" w:color="B8C8D3"/>
        </w:tblBorders>
      </w:tblPr>
      <w:tr>
        <w:tc>
          <w:tcPr>
            <w:tcW w:w="2200" w:type="dxa"/>
            <w:shd w:fill="123B5D"/>
          </w:tcPr>
          <w:p>
            <w:pPr/>
            <w:r>
              <w:rPr>
                <w:b/>
                <w:color w:val="FFFFFF"/>
              </w:rPr>
              <w:t xml:space="preserve">项目</w:t>
            </w:r>
          </w:p>
        </w:tc>
        <w:tc>
          <w:tcPr>
            <w:tcW w:w="7600" w:type="dxa"/>
            <w:shd w:fill="123B5D"/>
          </w:tcPr>
          <w:p>
            <w:pPr/>
            <w:r>
              <w:rPr>
                <w:b/>
                <w:color w:val="FFFFFF"/>
              </w:rPr>
              <w:t xml:space="preserve">本次实验内容</w:t>
            </w:r>
          </w:p>
        </w:tc>
      </w:tr>
      <w:tr>
        <w:tc>
          <w:tcPr>
            <w:tcW w:w="2200" w:type="dxa"/>
          </w:tcPr>
          <w:p>
            <w:pPr/>
            <w:r>
              <w:rPr/>
              <w:t xml:space="preserve">基座模型</w:t>
            </w:r>
          </w:p>
        </w:tc>
        <w:tc>
          <w:tcPr>
            <w:tcW w:w="7600" w:type="dxa"/>
          </w:tcPr>
          <w:p>
            <w:pPr/>
            <w:r>
              <w:rPr/>
              <w:t xml:space="preserve">Foundation-Sec-8B-Instruct</w:t>
            </w:r>
          </w:p>
        </w:tc>
      </w:tr>
      <w:tr>
        <w:tc>
          <w:tcPr>
            <w:tcW w:w="2200" w:type="dxa"/>
          </w:tcPr>
          <w:p>
            <w:pPr/>
            <w:r>
              <w:rPr/>
              <w:t xml:space="preserve">微调方式</w:t>
            </w:r>
          </w:p>
        </w:tc>
        <w:tc>
          <w:tcPr>
            <w:tcW w:w="7600" w:type="dxa"/>
          </w:tcPr>
          <w:p>
            <w:pPr/>
            <w:r>
              <w:rPr/>
              <w:t xml:space="preserve">QLoRA：NF4 4-bit；LoRA r=8、alpha=16、dropout=0.05；注意力与 MLP 投影层</w:t>
            </w:r>
          </w:p>
        </w:tc>
      </w:tr>
      <w:tr>
        <w:tc>
          <w:tcPr>
            <w:tcW w:w="2200" w:type="dxa"/>
          </w:tcPr>
          <w:p>
            <w:pPr/>
            <w:r>
              <w:rPr/>
              <w:t xml:space="preserve">训练数据</w:t>
            </w:r>
          </w:p>
        </w:tc>
        <w:tc>
          <w:tcPr>
            <w:tcW w:w="7600" w:type="dxa"/>
          </w:tcPr>
          <w:p>
            <w:pPr/>
            <w:r>
              <w:rPr/>
              <w:t xml:space="preserve">SEVENLLM-Dataset 官方 train.jsonl；训练/测试共有的 24 个类别，按类均衡抽样 30,000 条</w:t>
            </w:r>
          </w:p>
        </w:tc>
      </w:tr>
      <w:tr>
        <w:tc>
          <w:tcPr>
            <w:tcW w:w="2200" w:type="dxa"/>
          </w:tcPr>
          <w:p>
            <w:pPr/>
            <w:r>
              <w:rPr/>
              <w:t xml:space="preserve">测试集</w:t>
            </w:r>
          </w:p>
        </w:tc>
        <w:tc>
          <w:tcPr>
            <w:tcW w:w="7600" w:type="dxa"/>
          </w:tcPr>
          <w:p>
            <w:pPr/>
            <w:r>
              <w:rPr/>
              <w:t xml:space="preserve">SEVENLLM-Dataset 官方 test.jsonl 全量 1,300 条：结构化抽取 600 条、生成 700 条</w:t>
            </w:r>
          </w:p>
        </w:tc>
      </w:tr>
      <w:tr>
        <w:tc>
          <w:tcPr>
            <w:tcW w:w="2200" w:type="dxa"/>
          </w:tcPr>
          <w:p>
            <w:pPr/>
            <w:r>
              <w:rPr/>
              <w:t xml:space="preserve">对比设置</w:t>
            </w:r>
          </w:p>
        </w:tc>
        <w:tc>
          <w:tcPr>
            <w:tcW w:w="7600" w:type="dxa"/>
          </w:tcPr>
          <w:p>
            <w:pPr/>
            <w:r>
              <w:rPr/>
              <w:t xml:space="preserve">同一官方测试集；基线为 Foundation-Sec-8B-Instruct，微调后为 QLoRA adapter 合并推理结果</w:t>
            </w:r>
          </w:p>
        </w:tc>
      </w:tr>
    </w:tbl>
    <w:p>
      <w:pPr>
        <w:pStyle w:val="Heading1"/>
      </w:pPr>
      <w:r>
        <w:rPr>
          <w:b/>
          <w:color w:val="123B5D"/>
          <w:sz w:val="28"/>
        </w:rPr>
        <w:t xml:space="preserve">2. 数据集与测试集构成</w:t>
      </w:r>
    </w:p>
    <w:p>
      <w:pPr/>
      <w:r>
        <w:rPr/>
        <w:t xml:space="preserve">本次实验按奇瑞可能遇到的“告警研判、攻击链、日志漏洞”三大业务场景重新组织统计。场景由类别语义映射得到；风险评估、响应策略、威胁分析等类别可同时服务多个场景，因此三行存在重叠，不做合计。SEVENLLM 是 CTI 安全文本指令数据，并非原始主机日志、网络流量或 SIEM 告警流。</w:t>
      </w:r>
    </w:p>
    <w:p>
      <w:pPr>
        <w:pStyle w:val="Heading2"/>
      </w:pPr>
      <w:r>
        <w:rPr>
          <w:b/>
          <w:color w:val="2F80A8"/>
          <w:sz w:val="24"/>
        </w:rPr>
        <w:t xml:space="preserve">2.1 训练数据构成（30,000 条，24 类均衡抽样）</w:t>
      </w:r>
    </w:p>
    <w:tbl>
      <w:tblPr>
        <w:tblW w:w="0" w:type="auto"/>
        <w:tblBorders>
          <w:top w:val="single" w:sz="8" w:color="6B8EA5"/>
          <w:left w:val="single" w:sz="8" w:color="6B8EA5"/>
          <w:bottom w:val="single" w:sz="8" w:color="6B8EA5"/>
          <w:right w:val="single" w:sz="8" w:color="6B8EA5"/>
          <w:insideH w:val="single" w:sz="4" w:color="B8C8D3"/>
          <w:insideV w:val="single" w:sz="4" w:color="B8C8D3"/>
        </w:tblBorders>
      </w:tblPr>
      <w:tr>
        <w:tc>
          <w:tcPr>
            <w:tcW w:w="3000" w:type="dxa"/>
            <w:shd w:fill="123B5D"/>
          </w:tcPr>
          <w:p>
            <w:pPr/>
            <w:r>
              <w:rPr>
                <w:b/>
                <w:color w:val="FFFFFF"/>
              </w:rPr>
              <w:t xml:space="preserve">场景</w:t>
            </w:r>
          </w:p>
        </w:tc>
        <w:tc>
          <w:tcPr>
            <w:tcW w:w="3350" w:type="dxa"/>
            <w:shd w:fill="123B5D"/>
          </w:tcPr>
          <w:p>
            <w:pPr/>
            <w:r>
              <w:rPr>
                <w:b/>
                <w:color w:val="FFFFFF"/>
              </w:rPr>
              <w:t xml:space="preserve">信息抽取（ex）</w:t>
            </w:r>
          </w:p>
        </w:tc>
        <w:tc>
          <w:tcPr>
            <w:tcW w:w="3350" w:type="dxa"/>
            <w:shd w:fill="123B5D"/>
          </w:tcPr>
          <w:p>
            <w:pPr/>
            <w:r>
              <w:rPr>
                <w:b/>
                <w:color w:val="FFFFFF"/>
              </w:rPr>
              <w:t xml:space="preserve">生成（gen）</w:t>
            </w:r>
          </w:p>
        </w:tc>
      </w:tr>
      <w:tr>
        <w:tc>
          <w:tcPr>
            <w:tcW w:w="3000" w:type="dxa"/>
          </w:tcPr>
          <w:p>
            <w:pPr/>
            <w:r>
              <w:rPr/>
              <w:t xml:space="preserve">告警研判</w:t>
            </w:r>
          </w:p>
        </w:tc>
        <w:tc>
          <w:tcPr>
            <w:tcW w:w="3350" w:type="dxa"/>
          </w:tcPr>
          <w:p>
            <w:pPr/>
            <w:r>
              <w:rPr/>
              <w:t xml:space="preserve">2,463</w:t>
            </w:r>
          </w:p>
        </w:tc>
        <w:tc>
          <w:tcPr>
            <w:tcW w:w="3350" w:type="dxa"/>
          </w:tcPr>
          <w:p>
            <w:pPr/>
            <w:r>
              <w:rPr/>
              <w:t xml:space="preserve">8,787</w:t>
            </w:r>
          </w:p>
        </w:tc>
      </w:tr>
      <w:tr>
        <w:tc>
          <w:tcPr>
            <w:tcW w:w="3000" w:type="dxa"/>
          </w:tcPr>
          <w:p>
            <w:pPr/>
            <w:r>
              <w:rPr/>
              <w:t xml:space="preserve">攻击链</w:t>
            </w:r>
          </w:p>
        </w:tc>
        <w:tc>
          <w:tcPr>
            <w:tcW w:w="3350" w:type="dxa"/>
          </w:tcPr>
          <w:p>
            <w:pPr/>
            <w:r>
              <w:rPr/>
              <w:t xml:space="preserve">4,603</w:t>
            </w:r>
          </w:p>
        </w:tc>
        <w:tc>
          <w:tcPr>
            <w:tcW w:w="3350" w:type="dxa"/>
          </w:tcPr>
          <w:p>
            <w:pPr/>
            <w:r>
              <w:rPr/>
              <w:t xml:space="preserve">6,647</w:t>
            </w:r>
          </w:p>
        </w:tc>
      </w:tr>
      <w:tr>
        <w:tc>
          <w:tcPr>
            <w:tcW w:w="3000" w:type="dxa"/>
          </w:tcPr>
          <w:p>
            <w:pPr/>
            <w:r>
              <w:rPr/>
              <w:t xml:space="preserve">日志漏洞</w:t>
            </w:r>
          </w:p>
        </w:tc>
        <w:tc>
          <w:tcPr>
            <w:tcW w:w="3350" w:type="dxa"/>
          </w:tcPr>
          <w:p>
            <w:pPr/>
            <w:r>
              <w:rPr/>
              <w:t xml:space="preserve">2,351</w:t>
            </w:r>
          </w:p>
        </w:tc>
        <w:tc>
          <w:tcPr>
            <w:tcW w:w="3350" w:type="dxa"/>
          </w:tcPr>
          <w:p>
            <w:pPr/>
            <w:r>
              <w:rPr/>
              <w:t xml:space="preserve">5,149</w:t>
            </w:r>
          </w:p>
        </w:tc>
      </w:tr>
    </w:tbl>
    <w:p>
      <w:pPr/>
      <w:r>
        <w:rPr/>
        <w:t xml:space="preserve">训练集仅来自官方 train.jsonl，未使用 test.jsonl。每个共同类别最多抽取 1,250 条，因此上述三场景是面向业务的候选子集统计，而非彼此互斥的数据切分。</w:t>
      </w:r>
    </w:p>
    <w:p>
      <w:pPr>
        <w:pStyle w:val="Heading2"/>
      </w:pPr>
      <w:r>
        <w:rPr>
          <w:b/>
          <w:color w:val="2F80A8"/>
          <w:sz w:val="24"/>
        </w:rPr>
        <w:t xml:space="preserve">2.2 测试集构成（官方 test.jsonl，按三大场景）</w:t>
      </w:r>
    </w:p>
    <w:tbl>
      <w:tblPr>
        <w:tblW w:w="0" w:type="auto"/>
        <w:tblBorders>
          <w:top w:val="single" w:sz="8" w:color="6B8EA5"/>
          <w:left w:val="single" w:sz="8" w:color="6B8EA5"/>
          <w:bottom w:val="single" w:sz="8" w:color="6B8EA5"/>
          <w:right w:val="single" w:sz="8" w:color="6B8EA5"/>
          <w:insideH w:val="single" w:sz="4" w:color="B8C8D3"/>
          <w:insideV w:val="single" w:sz="4" w:color="B8C8D3"/>
        </w:tblBorders>
      </w:tblPr>
      <w:tr>
        <w:tc>
          <w:tcPr>
            <w:tcW w:w="3000" w:type="dxa"/>
            <w:shd w:fill="123B5D"/>
          </w:tcPr>
          <w:p>
            <w:pPr/>
            <w:r>
              <w:rPr>
                <w:b/>
                <w:color w:val="FFFFFF"/>
              </w:rPr>
              <w:t xml:space="preserve">场景</w:t>
            </w:r>
          </w:p>
        </w:tc>
        <w:tc>
          <w:tcPr>
            <w:tcW w:w="3350" w:type="dxa"/>
            <w:shd w:fill="123B5D"/>
          </w:tcPr>
          <w:p>
            <w:pPr/>
            <w:r>
              <w:rPr>
                <w:b/>
                <w:color w:val="FFFFFF"/>
              </w:rPr>
              <w:t xml:space="preserve">信息抽取（ex）</w:t>
            </w:r>
          </w:p>
        </w:tc>
        <w:tc>
          <w:tcPr>
            <w:tcW w:w="3350" w:type="dxa"/>
            <w:shd w:fill="123B5D"/>
          </w:tcPr>
          <w:p>
            <w:pPr/>
            <w:r>
              <w:rPr>
                <w:b/>
                <w:color w:val="FFFFFF"/>
              </w:rPr>
              <w:t xml:space="preserve">生成（gen）</w:t>
            </w:r>
          </w:p>
        </w:tc>
      </w:tr>
      <w:tr>
        <w:tc>
          <w:tcPr>
            <w:tcW w:w="3000" w:type="dxa"/>
          </w:tcPr>
          <w:p>
            <w:pPr/>
            <w:r>
              <w:rPr/>
              <w:t xml:space="preserve">告警研判</w:t>
            </w:r>
          </w:p>
        </w:tc>
        <w:tc>
          <w:tcPr>
            <w:tcW w:w="3350" w:type="dxa"/>
          </w:tcPr>
          <w:p>
            <w:pPr/>
            <w:r>
              <w:rPr/>
              <w:t xml:space="preserve">127</w:t>
            </w:r>
          </w:p>
        </w:tc>
        <w:tc>
          <w:tcPr>
            <w:tcW w:w="3350" w:type="dxa"/>
          </w:tcPr>
          <w:p>
            <w:pPr/>
            <w:r>
              <w:rPr/>
              <w:t xml:space="preserve">564</w:t>
            </w:r>
          </w:p>
        </w:tc>
      </w:tr>
      <w:tr>
        <w:tc>
          <w:tcPr>
            <w:tcW w:w="3000" w:type="dxa"/>
          </w:tcPr>
          <w:p>
            <w:pPr/>
            <w:r>
              <w:rPr/>
              <w:t xml:space="preserve">攻击链</w:t>
            </w:r>
          </w:p>
        </w:tc>
        <w:tc>
          <w:tcPr>
            <w:tcW w:w="3350" w:type="dxa"/>
          </w:tcPr>
          <w:p>
            <w:pPr/>
            <w:r>
              <w:rPr/>
              <w:t xml:space="preserve">327</w:t>
            </w:r>
          </w:p>
        </w:tc>
        <w:tc>
          <w:tcPr>
            <w:tcW w:w="3350" w:type="dxa"/>
          </w:tcPr>
          <w:p>
            <w:pPr/>
            <w:r>
              <w:rPr/>
              <w:t xml:space="preserve">399</w:t>
            </w:r>
          </w:p>
        </w:tc>
      </w:tr>
      <w:tr>
        <w:tc>
          <w:tcPr>
            <w:tcW w:w="3000" w:type="dxa"/>
          </w:tcPr>
          <w:p>
            <w:pPr/>
            <w:r>
              <w:rPr/>
              <w:t xml:space="preserve">日志漏洞</w:t>
            </w:r>
          </w:p>
        </w:tc>
        <w:tc>
          <w:tcPr>
            <w:tcW w:w="3350" w:type="dxa"/>
          </w:tcPr>
          <w:p>
            <w:pPr/>
            <w:r>
              <w:rPr/>
              <w:t xml:space="preserve">93</w:t>
            </w:r>
          </w:p>
        </w:tc>
        <w:tc>
          <w:tcPr>
            <w:tcW w:w="3350" w:type="dxa"/>
          </w:tcPr>
          <w:p>
            <w:pPr/>
            <w:r>
              <w:rPr/>
              <w:t xml:space="preserve">205</w:t>
            </w:r>
          </w:p>
        </w:tc>
      </w:tr>
    </w:tbl>
    <w:p>
      <w:pPr/>
      <w:r>
        <w:rPr/>
        <w:t xml:space="preserve">全量官方测试集为 1,300 条（ex 600、gen 700）；上表为场景候选子集统计，不相加。三大场景并集覆盖 1,228 条，剩余样本保留在总体结果中。</w:t>
      </w:r>
    </w:p>
    <w:p>
      <w:pPr>
        <w:pStyle w:val="Heading2"/>
      </w:pPr>
      <w:r>
        <w:rPr>
          <w:b/>
          <w:color w:val="2F80A8"/>
          <w:sz w:val="24"/>
        </w:rPr>
        <w:t xml:space="preserve">2.3 训练设置</w:t>
      </w:r>
    </w:p>
    <w:p>
      <w:pPr/>
      <w:r>
        <w:rPr/>
        <w:t xml:space="preserve">单卡 RTX 4090；seed=42；1 epoch；per-device batch=4、梯度累积=16（有效 batch=64）；学习率 1e-5，cosine 调度，warmup=3%；max_length=1280。训练共 468 steps，耗时 8,418.8 秒，最终 train loss=1.0930，正常完成（exit_code=0）。</w:t>
      </w:r>
    </w:p>
    <w:p>
      <w:pPr>
        <w:pStyle w:val="Heading1"/>
      </w:pPr>
      <w:r>
        <w:rPr>
          <w:b/>
          <w:color w:val="123B5D"/>
          <w:sz w:val="28"/>
        </w:rPr>
        <w:t xml:space="preserve">3. 评测指标及计算方法</w:t>
      </w:r>
    </w:p>
    <w:p>
      <w:pPr/>
      <w:r>
        <w:rPr>
          <w:b/>
          <w:color w:val="123B5D"/>
        </w:rPr>
        <w:t xml:space="preserve">本节所有指标均对基线和微调后使用同一解析、同一分词、同一模型与同一测试集。P=TP/预测项数，R=TP/参考项数，F1=2PR/(P+R)；“Macro”表示先按样本计算、再对样本取算术平均。</w:t>
      </w:r>
    </w:p>
    <w:p>
      <w:pPr>
        <w:pStyle w:val="Heading2"/>
      </w:pPr>
      <w:r>
        <w:rPr>
          <w:b/>
          <w:color w:val="2F80A8"/>
          <w:sz w:val="24"/>
        </w:rPr>
        <w:t xml:space="preserve">3.1 结构化信息抽取指标（600 条）</w:t>
      </w:r>
    </w:p>
    <w:tbl>
      <w:tblPr>
        <w:tblW w:w="0" w:type="auto"/>
        <w:tblBorders>
          <w:top w:val="single" w:sz="8" w:color="6B8EA5"/>
          <w:left w:val="single" w:sz="8" w:color="6B8EA5"/>
          <w:bottom w:val="single" w:sz="8" w:color="6B8EA5"/>
          <w:right w:val="single" w:sz="8" w:color="6B8EA5"/>
          <w:insideH w:val="single" w:sz="4" w:color="B8C8D3"/>
          <w:insideV w:val="single" w:sz="4" w:color="B8C8D3"/>
        </w:tblBorders>
      </w:tblPr>
      <w:tr>
        <w:tc>
          <w:tcPr>
            <w:tcW w:w="1700" w:type="dxa"/>
            <w:shd w:fill="123B5D"/>
          </w:tcPr>
          <w:p>
            <w:pPr/>
            <w:r>
              <w:rPr>
                <w:b/>
                <w:color w:val="FFFFFF"/>
              </w:rPr>
              <w:t xml:space="preserve">指标</w:t>
            </w:r>
          </w:p>
        </w:tc>
        <w:tc>
          <w:tcPr>
            <w:tcW w:w="2700" w:type="dxa"/>
            <w:shd w:fill="123B5D"/>
          </w:tcPr>
          <w:p>
            <w:pPr/>
            <w:r>
              <w:rPr>
                <w:b/>
                <w:color w:val="FFFFFF"/>
              </w:rPr>
              <w:t xml:space="preserve">输入与预处理</w:t>
            </w:r>
          </w:p>
        </w:tc>
        <w:tc>
          <w:tcPr>
            <w:tcW w:w="3300" w:type="dxa"/>
            <w:shd w:fill="123B5D"/>
          </w:tcPr>
          <w:p>
            <w:pPr/>
            <w:r>
              <w:rPr>
                <w:b/>
                <w:color w:val="FFFFFF"/>
              </w:rPr>
              <w:t xml:space="preserve">匹配/计算规则</w:t>
            </w:r>
          </w:p>
        </w:tc>
        <w:tc>
          <w:tcPr>
            <w:tcW w:w="2300" w:type="dxa"/>
            <w:shd w:fill="123B5D"/>
          </w:tcPr>
          <w:p>
            <w:pPr/>
            <w:r>
              <w:rPr>
                <w:b/>
                <w:color w:val="FFFFFF"/>
              </w:rPr>
              <w:t xml:space="preserve">聚合与用途</w:t>
            </w:r>
          </w:p>
        </w:tc>
      </w:tr>
      <w:tr>
        <w:tc>
          <w:tcPr>
            <w:tcW w:w="1700" w:type="dxa"/>
          </w:tcPr>
          <w:p>
            <w:pPr/>
            <w:r>
              <w:rPr/>
              <w:t xml:space="preserve">Coarse Semantic F1</w:t>
            </w:r>
          </w:p>
          <w:p>
            <w:pPr/>
            <w:r>
              <w:rPr/>
              <w:t xml:space="preserve">（主分析）</w:t>
            </w:r>
          </w:p>
        </w:tc>
        <w:tc>
          <w:tcPr>
            <w:tcW w:w="2700" w:type="dxa"/>
          </w:tcPr>
          <w:p>
            <w:pPr/>
            <w:r>
              <w:rPr/>
              <w:t xml:space="preserve">参考与预测 JSON 均递归拍平，仅保留叶子值；忽略字段名和层级。文本做 Unicode NFKC、小写和空白归一。</w:t>
            </w:r>
          </w:p>
        </w:tc>
        <w:tc>
          <w:tcPr>
            <w:tcW w:w="3300" w:type="dxa"/>
          </w:tcPr>
          <w:p>
            <w:pPr/>
            <w:r>
              <w:rPr/>
              <w:t xml:space="preserve">先做精确匹配或子串匹配；未命中项使用 paraphrase-multilingual-MiniLM-L12-v2 向量余弦相似度。余弦≥τ 视为候选命中，采用 Hungarian 算法进行一对一最大匹配。</w:t>
            </w:r>
          </w:p>
        </w:tc>
        <w:tc>
          <w:tcPr>
            <w:tcW w:w="2300" w:type="dxa"/>
          </w:tcPr>
          <w:p>
            <w:pPr/>
            <w:r>
              <w:rPr/>
              <w:t xml:space="preserve">逐样本算 P/R/F1 后 Macro 平均。报告 τ=0.65、0.70、0.75、0.80；τ 越高越保守，τ=0.80 作为主展示值。</w:t>
            </w:r>
          </w:p>
        </w:tc>
      </w:tr>
      <w:tr>
        <w:tc>
          <w:tcPr>
            <w:tcW w:w="1700" w:type="dxa"/>
          </w:tcPr>
          <w:p>
            <w:pPr/>
            <w:r>
              <w:rPr/>
              <w:t xml:space="preserve">Loose Leaf F1</w:t>
            </w:r>
          </w:p>
          <w:p>
            <w:pPr/>
            <w:r>
              <w:rPr/>
              <w:t xml:space="preserve">（辅助）</w:t>
            </w:r>
          </w:p>
        </w:tc>
        <w:tc>
          <w:tcPr>
            <w:tcW w:w="2700" w:type="dxa"/>
          </w:tcPr>
          <w:p>
            <w:pPr/>
            <w:r>
              <w:rPr/>
              <w:t xml:space="preserve">同样递归拍平 JSON 叶子值，并进行小写、空白与中英文标点归一。</w:t>
            </w:r>
          </w:p>
        </w:tc>
        <w:tc>
          <w:tcPr>
            <w:tcW w:w="3300" w:type="dxa"/>
          </w:tcPr>
          <w:p>
            <w:pPr/>
            <w:r>
              <w:rPr/>
              <w:t xml:space="preserve">按参考叶子值顺序一对一贪心匹配：完全相等，或“归一化参考值是归一化预测值的子串”即 TP。不会使用 embedding；一个预测值只能匹配一次。</w:t>
            </w:r>
          </w:p>
        </w:tc>
        <w:tc>
          <w:tcPr>
            <w:tcW w:w="2300" w:type="dxa"/>
          </w:tcPr>
          <w:p>
            <w:pPr/>
            <w:r>
              <w:rPr/>
              <w:t xml:space="preserve">逐样本 F1 后 Macro 平均。用于延续旧报告口径，并解释“值虽在长句中但格式冗余”的影响。</w:t>
            </w:r>
          </w:p>
        </w:tc>
      </w:tr>
      <w:tr>
        <w:tc>
          <w:tcPr>
            <w:tcW w:w="1700" w:type="dxa"/>
          </w:tcPr>
          <w:p>
            <w:pPr/>
            <w:r>
              <w:rPr/>
              <w:t xml:space="preserve">Exact Leaf F1</w:t>
            </w:r>
          </w:p>
          <w:p>
            <w:pPr/>
            <w:r>
              <w:rPr/>
              <w:t xml:space="preserve">（辅助）</w:t>
            </w:r>
          </w:p>
        </w:tc>
        <w:tc>
          <w:tcPr>
            <w:tcW w:w="2700" w:type="dxa"/>
          </w:tcPr>
          <w:p>
            <w:pPr/>
            <w:r>
              <w:rPr/>
              <w:t xml:space="preserve">与 Loose Leaf F1 使用相同的 JSON 解析、叶子值和归一化。</w:t>
            </w:r>
          </w:p>
        </w:tc>
        <w:tc>
          <w:tcPr>
            <w:tcW w:w="3300" w:type="dxa"/>
          </w:tcPr>
          <w:p>
            <w:pPr/>
            <w:r>
              <w:rPr/>
              <w:t xml:space="preserve">仅当归一化后的参考值与预测值完全相等时计 TP；同样一对一贪心配对。</w:t>
            </w:r>
          </w:p>
        </w:tc>
        <w:tc>
          <w:tcPr>
            <w:tcW w:w="2300" w:type="dxa"/>
          </w:tcPr>
          <w:p>
            <w:pPr/>
            <w:r>
              <w:rPr/>
              <w:t xml:space="preserve">逐样本 F1 后 Macro 平均。用于衡量不依赖子串宽松规则时的严格复现能力。</w:t>
            </w:r>
          </w:p>
        </w:tc>
      </w:tr>
      <w:tr>
        <w:tc>
          <w:tcPr>
            <w:tcW w:w="1700" w:type="dxa"/>
          </w:tcPr>
          <w:p>
            <w:pPr/>
            <w:r>
              <w:rPr/>
              <w:t xml:space="preserve">JSON Valid Rate</w:t>
            </w:r>
          </w:p>
        </w:tc>
        <w:tc>
          <w:tcPr>
            <w:tcW w:w="2700" w:type="dxa"/>
          </w:tcPr>
          <w:p>
            <w:pPr/>
            <w:r>
              <w:rPr/>
              <w:t xml:space="preserve">只检查预测文本能否提取并解析为 JSON 对象或数组；代码块中的 JSON 也会尝试解析。</w:t>
            </w:r>
          </w:p>
        </w:tc>
        <w:tc>
          <w:tcPr>
            <w:tcW w:w="3300" w:type="dxa"/>
          </w:tcPr>
          <w:p>
            <w:pPr/>
            <w:r>
              <w:rPr/>
              <w:t xml:space="preserve">有效 JSON 记 1，无效、截断或非 JSON 文本记 0。</w:t>
            </w:r>
          </w:p>
        </w:tc>
        <w:tc>
          <w:tcPr>
            <w:tcW w:w="2300" w:type="dxa"/>
          </w:tcPr>
          <w:p>
            <w:pPr/>
            <w:r>
              <w:rPr/>
              <w:t xml:space="preserve">600 条结构化样本的平均值。它不衡量内容正确性，但决定结构化 F1 能否被正常计算。</w:t>
            </w:r>
          </w:p>
        </w:tc>
      </w:tr>
    </w:tbl>
    <w:p>
      <w:pPr>
        <w:pStyle w:val="Heading2"/>
      </w:pPr>
      <w:r>
        <w:rPr>
          <w:b/>
          <w:color w:val="2F80A8"/>
          <w:sz w:val="24"/>
        </w:rPr>
        <w:t xml:space="preserve">3.2 开放式生成指标（700 条）</w:t>
      </w:r>
    </w:p>
    <w:tbl>
      <w:tblPr>
        <w:tblW w:w="0" w:type="auto"/>
        <w:tblBorders>
          <w:top w:val="single" w:sz="8" w:color="6B8EA5"/>
          <w:left w:val="single" w:sz="8" w:color="6B8EA5"/>
          <w:bottom w:val="single" w:sz="8" w:color="6B8EA5"/>
          <w:right w:val="single" w:sz="8" w:color="6B8EA5"/>
          <w:insideH w:val="single" w:sz="4" w:color="B8C8D3"/>
          <w:insideV w:val="single" w:sz="4" w:color="B8C8D3"/>
        </w:tblBorders>
      </w:tblPr>
      <w:tr>
        <w:tc>
          <w:tcPr>
            <w:tcW w:w="1700" w:type="dxa"/>
            <w:shd w:fill="123B5D"/>
          </w:tcPr>
          <w:p>
            <w:pPr/>
            <w:r>
              <w:rPr>
                <w:b/>
                <w:color w:val="FFFFFF"/>
              </w:rPr>
              <w:t xml:space="preserve">指标</w:t>
            </w:r>
          </w:p>
        </w:tc>
        <w:tc>
          <w:tcPr>
            <w:tcW w:w="2700" w:type="dxa"/>
            <w:shd w:fill="123B5D"/>
          </w:tcPr>
          <w:p>
            <w:pPr/>
            <w:r>
              <w:rPr>
                <w:b/>
                <w:color w:val="FFFFFF"/>
              </w:rPr>
              <w:t xml:space="preserve">输入与预处理</w:t>
            </w:r>
          </w:p>
        </w:tc>
        <w:tc>
          <w:tcPr>
            <w:tcW w:w="3300" w:type="dxa"/>
            <w:shd w:fill="123B5D"/>
          </w:tcPr>
          <w:p>
            <w:pPr/>
            <w:r>
              <w:rPr>
                <w:b/>
                <w:color w:val="FFFFFF"/>
              </w:rPr>
              <w:t xml:space="preserve">匹配/计算规则</w:t>
            </w:r>
          </w:p>
        </w:tc>
        <w:tc>
          <w:tcPr>
            <w:tcW w:w="2300" w:type="dxa"/>
            <w:shd w:fill="123B5D"/>
          </w:tcPr>
          <w:p>
            <w:pPr/>
            <w:r>
              <w:rPr>
                <w:b/>
                <w:color w:val="FFFFFF"/>
              </w:rPr>
              <w:t xml:space="preserve">聚合与用途</w:t>
            </w:r>
          </w:p>
        </w:tc>
      </w:tr>
      <w:tr>
        <w:tc>
          <w:tcPr>
            <w:tcW w:w="1700" w:type="dxa"/>
          </w:tcPr>
          <w:p>
            <w:pPr/>
            <w:r>
              <w:rPr/>
              <w:t xml:space="preserve">Rouge-L</w:t>
            </w:r>
          </w:p>
          <w:p>
            <w:pPr/>
            <w:r>
              <w:rPr/>
              <w:t xml:space="preserve">（jieba/whitespace）</w:t>
            </w:r>
          </w:p>
        </w:tc>
        <w:tc>
          <w:tcPr>
            <w:tcW w:w="2700" w:type="dxa"/>
          </w:tcPr>
          <w:p>
            <w:pPr/>
            <w:r>
              <w:rPr/>
              <w:t xml:space="preserve">中文文本使用 jieba 分词；英文及其他以空白切分。参考答案与预测答案均按相同规则分词。</w:t>
            </w:r>
          </w:p>
        </w:tc>
        <w:tc>
          <w:tcPr>
            <w:tcW w:w="3300" w:type="dxa"/>
          </w:tcPr>
          <w:p>
            <w:pPr/>
            <w:r>
              <w:rPr/>
              <w:t xml:space="preserve">计算参考与预测 token 序列的最长公共子序列（LCS），由 LCS 得到 Precision、Recall 和 F1（Rouge-L F1）。词序相近、词面重合多则分数较高。</w:t>
            </w:r>
          </w:p>
        </w:tc>
        <w:tc>
          <w:tcPr>
            <w:tcW w:w="2300" w:type="dxa"/>
          </w:tcPr>
          <w:p>
            <w:pPr/>
            <w:r>
              <w:rPr/>
              <w:t xml:space="preserve">700 条生成样本取平均。用于衡量回答是否覆盖参考中的关键表述；不自动识别同义改写或事实矛盾。</w:t>
            </w:r>
          </w:p>
        </w:tc>
      </w:tr>
      <w:tr>
        <w:tc>
          <w:tcPr>
            <w:tcW w:w="1700" w:type="dxa"/>
          </w:tcPr>
          <w:p>
            <w:pPr/>
            <w:r>
              <w:rPr/>
              <w:t xml:space="preserve">语义相似度</w:t>
            </w:r>
          </w:p>
          <w:p>
            <w:pPr/>
            <w:r>
              <w:rPr/>
              <w:t xml:space="preserve">（cosine）</w:t>
            </w:r>
          </w:p>
        </w:tc>
        <w:tc>
          <w:tcPr>
            <w:tcW w:w="2700" w:type="dxa"/>
          </w:tcPr>
          <w:p>
            <w:pPr/>
            <w:r>
              <w:rPr/>
              <w:t xml:space="preserve">参考与预测使用 sentence-transformers/paraphrase-multilingual-MiniLM-L12-v2 编码为多语言句向量，并进行 L2 归一化。</w:t>
            </w:r>
          </w:p>
        </w:tc>
        <w:tc>
          <w:tcPr>
            <w:tcW w:w="3300" w:type="dxa"/>
          </w:tcPr>
          <w:p>
            <w:pPr/>
            <w:r>
              <w:rPr/>
              <w:t xml:space="preserve">计算两条归一化向量的 cosine similarity，范围约为 -1 至 1，越高代表模型认为语义越接近。</w:t>
            </w:r>
          </w:p>
        </w:tc>
        <w:tc>
          <w:tcPr>
            <w:tcW w:w="2300" w:type="dxa"/>
          </w:tcPr>
          <w:p>
            <w:pPr/>
            <w:r>
              <w:rPr/>
              <w:t xml:space="preserve">700 条生成样本取平均。补充 Rouge-L 对改写不敏感的不足；不等同于安全事实正确、可执行性或风险完整性。</w:t>
            </w:r>
          </w:p>
        </w:tc>
      </w:tr>
    </w:tbl>
    <w:p>
      <w:pPr/>
      <w:r>
        <w:rPr/>
        <w:t xml:space="preserve">口径边界：Coarse Semantic F1 会忽略字段名和 JSON 路径，Loose/Exact Leaf F1 也只匹配叶子值；因此三者均不能单独验证字段归属是否正确。案例分析与后续人工盲评是必要补充。</w:t>
      </w:r>
    </w:p>
    <w:p>
      <w:pPr>
        <w:pStyle w:val="Heading1"/>
      </w:pPr>
      <w:r>
        <w:rPr>
          <w:b/>
          <w:color w:val="123B5D"/>
          <w:sz w:val="28"/>
        </w:rPr>
        <w:t xml:space="preserve">4. 核心结果</w:t>
      </w:r>
    </w:p>
    <w:p>
      <w:pPr>
        <w:pStyle w:val="Heading2"/>
      </w:pPr>
      <w:r>
        <w:rPr>
          <w:b/>
          <w:color w:val="2F80A8"/>
          <w:sz w:val="24"/>
        </w:rPr>
        <w:t xml:space="preserve">4.1 总表（同一 1,300 条官方测试集）</w:t>
      </w:r>
    </w:p>
    <w:tbl>
      <w:tblPr>
        <w:tblW w:w="0" w:type="auto"/>
        <w:tblBorders>
          <w:top w:val="single" w:sz="8" w:color="6B8EA5"/>
          <w:left w:val="single" w:sz="8" w:color="6B8EA5"/>
          <w:bottom w:val="single" w:sz="8" w:color="6B8EA5"/>
          <w:right w:val="single" w:sz="8" w:color="6B8EA5"/>
          <w:insideH w:val="single" w:sz="4" w:color="B8C8D3"/>
          <w:insideV w:val="single" w:sz="4" w:color="B8C8D3"/>
        </w:tblBorders>
      </w:tblPr>
      <w:tr>
        <w:tc>
          <w:tcPr>
            <w:tcW w:w="3900" w:type="dxa"/>
            <w:shd w:fill="123B5D"/>
          </w:tcPr>
          <w:p>
            <w:pPr/>
            <w:r>
              <w:rPr>
                <w:b/>
                <w:color w:val="FFFFFF"/>
              </w:rPr>
              <w:t xml:space="preserve">指标</w:t>
            </w:r>
          </w:p>
        </w:tc>
        <w:tc>
          <w:tcPr>
            <w:tcW w:w="1900" w:type="dxa"/>
            <w:shd w:fill="123B5D"/>
          </w:tcPr>
          <w:p>
            <w:pPr/>
            <w:r>
              <w:rPr>
                <w:b/>
                <w:color w:val="FFFFFF"/>
              </w:rPr>
              <w:t xml:space="preserve">零样本基线</w:t>
            </w:r>
          </w:p>
        </w:tc>
        <w:tc>
          <w:tcPr>
            <w:tcW w:w="2100" w:type="dxa"/>
            <w:shd w:fill="123B5D"/>
          </w:tcPr>
          <w:p>
            <w:pPr/>
            <w:r>
              <w:rPr>
                <w:b/>
                <w:color w:val="FFFFFF"/>
              </w:rPr>
              <w:t xml:space="preserve">QLoRA 微调后</w:t>
            </w:r>
          </w:p>
        </w:tc>
        <w:tc>
          <w:tcPr>
            <w:tcW w:w="1700" w:type="dxa"/>
            <w:shd w:fill="123B5D"/>
          </w:tcPr>
          <w:p>
            <w:pPr/>
            <w:r>
              <w:rPr>
                <w:b/>
                <w:color w:val="FFFFFF"/>
              </w:rPr>
              <w:t xml:space="preserve">变化</w:t>
            </w:r>
          </w:p>
        </w:tc>
      </w:tr>
      <w:tr>
        <w:tc>
          <w:tcPr>
            <w:tcW w:w="3900" w:type="dxa"/>
          </w:tcPr>
          <w:p>
            <w:pPr/>
            <w:r>
              <w:rPr/>
              <w:t xml:space="preserve">Coarse Semantic F1（τ=0.80）</w:t>
            </w:r>
          </w:p>
        </w:tc>
        <w:tc>
          <w:tcPr>
            <w:tcW w:w="1900" w:type="dxa"/>
          </w:tcPr>
          <w:p>
            <w:pPr/>
            <w:r>
              <w:rPr/>
              <w:t xml:space="preserve">0.4418</w:t>
            </w:r>
          </w:p>
        </w:tc>
        <w:tc>
          <w:tcPr>
            <w:tcW w:w="2100" w:type="dxa"/>
          </w:tcPr>
          <w:p>
            <w:pPr/>
            <w:r>
              <w:rPr/>
              <w:t xml:space="preserve">0.5071</w:t>
            </w:r>
          </w:p>
        </w:tc>
        <w:tc>
          <w:tcPr>
            <w:tcW w:w="1700" w:type="dxa"/>
          </w:tcPr>
          <w:p>
            <w:pPr/>
            <w:r>
              <w:rPr/>
              <w:t xml:space="preserve">+0.0653</w:t>
            </w:r>
          </w:p>
        </w:tc>
      </w:tr>
      <w:tr>
        <w:tc>
          <w:tcPr>
            <w:tcW w:w="3900" w:type="dxa"/>
          </w:tcPr>
          <w:p>
            <w:pPr/>
            <w:r>
              <w:rPr/>
              <w:t xml:space="preserve">Coarse Semantic F1（τ=0.75）</w:t>
            </w:r>
          </w:p>
        </w:tc>
        <w:tc>
          <w:tcPr>
            <w:tcW w:w="1900" w:type="dxa"/>
          </w:tcPr>
          <w:p>
            <w:pPr/>
            <w:r>
              <w:rPr/>
              <w:t xml:space="preserve">0.4686</w:t>
            </w:r>
          </w:p>
        </w:tc>
        <w:tc>
          <w:tcPr>
            <w:tcW w:w="2100" w:type="dxa"/>
          </w:tcPr>
          <w:p>
            <w:pPr/>
            <w:r>
              <w:rPr/>
              <w:t xml:space="preserve">0.5325</w:t>
            </w:r>
          </w:p>
        </w:tc>
        <w:tc>
          <w:tcPr>
            <w:tcW w:w="1700" w:type="dxa"/>
          </w:tcPr>
          <w:p>
            <w:pPr/>
            <w:r>
              <w:rPr/>
              <w:t xml:space="preserve">+0.0639</w:t>
            </w:r>
          </w:p>
        </w:tc>
      </w:tr>
      <w:tr>
        <w:tc>
          <w:tcPr>
            <w:tcW w:w="3900" w:type="dxa"/>
          </w:tcPr>
          <w:p>
            <w:pPr/>
            <w:r>
              <w:rPr/>
              <w:t xml:space="preserve">Loose Leaf F1（辅助）</w:t>
            </w:r>
          </w:p>
        </w:tc>
        <w:tc>
          <w:tcPr>
            <w:tcW w:w="1900" w:type="dxa"/>
          </w:tcPr>
          <w:p>
            <w:pPr/>
            <w:r>
              <w:rPr/>
              <w:t xml:space="preserve">0.3367</w:t>
            </w:r>
          </w:p>
        </w:tc>
        <w:tc>
          <w:tcPr>
            <w:tcW w:w="2100" w:type="dxa"/>
          </w:tcPr>
          <w:p>
            <w:pPr/>
            <w:r>
              <w:rPr/>
              <w:t xml:space="preserve">0.3995</w:t>
            </w:r>
          </w:p>
        </w:tc>
        <w:tc>
          <w:tcPr>
            <w:tcW w:w="1700" w:type="dxa"/>
          </w:tcPr>
          <w:p>
            <w:pPr/>
            <w:r>
              <w:rPr/>
              <w:t xml:space="preserve">+0.0628</w:t>
            </w:r>
          </w:p>
        </w:tc>
      </w:tr>
      <w:tr>
        <w:tc>
          <w:tcPr>
            <w:tcW w:w="3900" w:type="dxa"/>
          </w:tcPr>
          <w:p>
            <w:pPr/>
            <w:r>
              <w:rPr/>
              <w:t xml:space="preserve">Exact Leaf F1（辅助）</w:t>
            </w:r>
          </w:p>
        </w:tc>
        <w:tc>
          <w:tcPr>
            <w:tcW w:w="1900" w:type="dxa"/>
          </w:tcPr>
          <w:p>
            <w:pPr/>
            <w:r>
              <w:rPr/>
              <w:t xml:space="preserve">0.2247</w:t>
            </w:r>
          </w:p>
        </w:tc>
        <w:tc>
          <w:tcPr>
            <w:tcW w:w="2100" w:type="dxa"/>
          </w:tcPr>
          <w:p>
            <w:pPr/>
            <w:r>
              <w:rPr/>
              <w:t xml:space="preserve">0.2989</w:t>
            </w:r>
          </w:p>
        </w:tc>
        <w:tc>
          <w:tcPr>
            <w:tcW w:w="1700" w:type="dxa"/>
          </w:tcPr>
          <w:p>
            <w:pPr/>
            <w:r>
              <w:rPr/>
              <w:t xml:space="preserve">+0.0742</w:t>
            </w:r>
          </w:p>
        </w:tc>
      </w:tr>
      <w:tr>
        <w:tc>
          <w:tcPr>
            <w:tcW w:w="3900" w:type="dxa"/>
          </w:tcPr>
          <w:p>
            <w:pPr/>
            <w:r>
              <w:rPr/>
              <w:t xml:space="preserve">结构化 JSON 合法率</w:t>
            </w:r>
          </w:p>
        </w:tc>
        <w:tc>
          <w:tcPr>
            <w:tcW w:w="1900" w:type="dxa"/>
          </w:tcPr>
          <w:p>
            <w:pPr/>
            <w:r>
              <w:rPr/>
              <w:t xml:space="preserve">96.50%</w:t>
            </w:r>
          </w:p>
        </w:tc>
        <w:tc>
          <w:tcPr>
            <w:tcW w:w="2100" w:type="dxa"/>
          </w:tcPr>
          <w:p>
            <w:pPr/>
            <w:r>
              <w:rPr/>
              <w:t xml:space="preserve">97.83%</w:t>
            </w:r>
          </w:p>
        </w:tc>
        <w:tc>
          <w:tcPr>
            <w:tcW w:w="1700" w:type="dxa"/>
          </w:tcPr>
          <w:p>
            <w:pPr/>
            <w:r>
              <w:rPr/>
              <w:t xml:space="preserve">+1.33pp</w:t>
            </w:r>
          </w:p>
        </w:tc>
      </w:tr>
      <w:tr>
        <w:tc>
          <w:tcPr>
            <w:tcW w:w="3900" w:type="dxa"/>
          </w:tcPr>
          <w:p>
            <w:pPr/>
            <w:r>
              <w:rPr/>
              <w:t xml:space="preserve">生成 Rouge-L（jieba/whitespace）</w:t>
            </w:r>
          </w:p>
        </w:tc>
        <w:tc>
          <w:tcPr>
            <w:tcW w:w="1900" w:type="dxa"/>
          </w:tcPr>
          <w:p>
            <w:pPr/>
            <w:r>
              <w:rPr/>
              <w:t xml:space="preserve">0.2971</w:t>
            </w:r>
          </w:p>
        </w:tc>
        <w:tc>
          <w:tcPr>
            <w:tcW w:w="2100" w:type="dxa"/>
          </w:tcPr>
          <w:p>
            <w:pPr/>
            <w:r>
              <w:rPr/>
              <w:t xml:space="preserve">0.3887</w:t>
            </w:r>
          </w:p>
        </w:tc>
        <w:tc>
          <w:tcPr>
            <w:tcW w:w="1700" w:type="dxa"/>
          </w:tcPr>
          <w:p>
            <w:pPr/>
            <w:r>
              <w:rPr/>
              <w:t xml:space="preserve">+0.0916</w:t>
            </w:r>
          </w:p>
        </w:tc>
      </w:tr>
      <w:tr>
        <w:tc>
          <w:tcPr>
            <w:tcW w:w="3900" w:type="dxa"/>
          </w:tcPr>
          <w:p>
            <w:pPr/>
            <w:r>
              <w:rPr/>
              <w:t xml:space="preserve">生成语义相似度</w:t>
            </w:r>
          </w:p>
        </w:tc>
        <w:tc>
          <w:tcPr>
            <w:tcW w:w="1900" w:type="dxa"/>
          </w:tcPr>
          <w:p>
            <w:pPr/>
            <w:r>
              <w:rPr/>
              <w:t xml:space="preserve">0.8514</w:t>
            </w:r>
          </w:p>
        </w:tc>
        <w:tc>
          <w:tcPr>
            <w:tcW w:w="2100" w:type="dxa"/>
          </w:tcPr>
          <w:p>
            <w:pPr/>
            <w:r>
              <w:rPr/>
              <w:t xml:space="preserve">0.8928</w:t>
            </w:r>
          </w:p>
        </w:tc>
        <w:tc>
          <w:tcPr>
            <w:tcW w:w="1700" w:type="dxa"/>
          </w:tcPr>
          <w:p>
            <w:pPr/>
            <w:r>
              <w:rPr/>
              <w:t xml:space="preserve">+0.0414</w:t>
            </w:r>
          </w:p>
        </w:tc>
      </w:tr>
    </w:tbl>
    <w:p>
      <w:pPr>
        <w:pStyle w:val="Heading2"/>
      </w:pPr>
      <w:r>
        <w:rPr>
          <w:b/>
          <w:color w:val="2F80A8"/>
          <w:sz w:val="24"/>
        </w:rPr>
        <w:t xml:space="preserve">4.2 结果解读</w:t>
      </w:r>
    </w:p>
    <w:p>
      <w:pPr/>
      <w:r>
        <w:rPr/>
        <w:t xml:space="preserve">微调后，所有报告的总体指标均有提升。较保守的 Coarse Semantic F1（τ=0.80）从 0.4418 提升至 0.5071；结构化输出的 JSON 合法率升至 97.83%。生成侧的 Rouge-L 和语义相似度也同步提升。该结论限定于 SEVENLLM 官方测试分布；不应外推为对真实告警、原始日志或生产安全研判的等价提升。</w:t>
      </w:r>
    </w:p>
    <w:p>
      <w:pPr>
        <w:pStyle w:val="Heading2"/>
      </w:pPr>
      <w:r>
        <w:rPr>
          <w:b/>
          <w:color w:val="2F80A8"/>
          <w:sz w:val="24"/>
        </w:rPr>
        <w:t xml:space="preserve">4.3 三大场景分项结果：信息抽取（ex）</w:t>
      </w:r>
    </w:p>
    <w:p>
      <w:pPr/>
      <w:r>
        <w:rPr/>
        <w:t xml:space="preserve">场景口径与第 2 节一致；每项是该场景内 ex 样本的 Macro 平均。JSON 合法率的变化以百分点（pp）表示。</w:t>
      </w:r>
    </w:p>
    <w:tbl>
      <w:tblPr>
        <w:tblW w:w="0" w:type="auto"/>
        <w:tblBorders>
          <w:top w:val="single" w:sz="8" w:color="6B8EA5"/>
          <w:left w:val="single" w:sz="8" w:color="6B8EA5"/>
          <w:bottom w:val="single" w:sz="8" w:color="6B8EA5"/>
          <w:right w:val="single" w:sz="8" w:color="6B8EA5"/>
          <w:insideH w:val="single" w:sz="4" w:color="B8C8D3"/>
          <w:insideV w:val="single" w:sz="4" w:color="B8C8D3"/>
        </w:tblBorders>
      </w:tblPr>
      <w:tr>
        <w:tc>
          <w:tcPr>
            <w:tcW w:w="4300" w:type="dxa"/>
            <w:shd w:fill="123B5D"/>
          </w:tcPr>
          <w:p>
            <w:pPr/>
            <w:r>
              <w:rPr>
                <w:b/>
                <w:color w:val="FFFFFF"/>
              </w:rPr>
              <w:t xml:space="preserve">场景 / 指标</w:t>
            </w:r>
          </w:p>
        </w:tc>
        <w:tc>
          <w:tcPr>
            <w:tcW w:w="1800" w:type="dxa"/>
            <w:shd w:fill="123B5D"/>
          </w:tcPr>
          <w:p>
            <w:pPr/>
            <w:r>
              <w:rPr>
                <w:b/>
                <w:color w:val="FFFFFF"/>
              </w:rPr>
              <w:t xml:space="preserve">零样本基线</w:t>
            </w:r>
          </w:p>
        </w:tc>
        <w:tc>
          <w:tcPr>
            <w:tcW w:w="2200" w:type="dxa"/>
            <w:shd w:fill="123B5D"/>
          </w:tcPr>
          <w:p>
            <w:pPr/>
            <w:r>
              <w:rPr>
                <w:b/>
                <w:color w:val="FFFFFF"/>
              </w:rPr>
              <w:t xml:space="preserve">QLoRA 微调后</w:t>
            </w:r>
          </w:p>
        </w:tc>
        <w:tc>
          <w:tcPr>
            <w:tcW w:w="1700" w:type="dxa"/>
            <w:shd w:fill="123B5D"/>
          </w:tcPr>
          <w:p>
            <w:pPr/>
            <w:r>
              <w:rPr>
                <w:b/>
                <w:color w:val="FFFFFF"/>
              </w:rPr>
              <w:t xml:space="preserve">变化</w:t>
            </w:r>
          </w:p>
        </w:tc>
      </w:tr>
      <w:tr>
        <w:tc>
          <w:tcPr>
            <w:tcW w:w="4300" w:type="dxa"/>
          </w:tcPr>
          <w:p>
            <w:pPr/>
            <w:r>
              <w:rPr/>
              <w:t xml:space="preserve">告警研判｜Coarse Semantic F1（τ=0.80）</w:t>
            </w:r>
          </w:p>
        </w:tc>
        <w:tc>
          <w:tcPr>
            <w:tcW w:w="1800" w:type="dxa"/>
          </w:tcPr>
          <w:p>
            <w:pPr/>
            <w:r>
              <w:rPr/>
              <w:t xml:space="preserve">0.3218</w:t>
            </w:r>
          </w:p>
        </w:tc>
        <w:tc>
          <w:tcPr>
            <w:tcW w:w="2200" w:type="dxa"/>
          </w:tcPr>
          <w:p>
            <w:pPr/>
            <w:r>
              <w:rPr/>
              <w:t xml:space="preserve">0.3636</w:t>
            </w:r>
          </w:p>
        </w:tc>
        <w:tc>
          <w:tcPr>
            <w:tcW w:w="1700" w:type="dxa"/>
          </w:tcPr>
          <w:p>
            <w:pPr/>
            <w:r>
              <w:rPr/>
              <w:t xml:space="preserve">+0.0418</w:t>
            </w:r>
          </w:p>
        </w:tc>
      </w:tr>
      <w:tr>
        <w:tc>
          <w:tcPr>
            <w:tcW w:w="4300" w:type="dxa"/>
          </w:tcPr>
          <w:p>
            <w:pPr/>
            <w:r>
              <w:rPr/>
              <w:t xml:space="preserve">告警研判｜Loose Leaf F1</w:t>
            </w:r>
          </w:p>
        </w:tc>
        <w:tc>
          <w:tcPr>
            <w:tcW w:w="1800" w:type="dxa"/>
          </w:tcPr>
          <w:p>
            <w:pPr/>
            <w:r>
              <w:rPr/>
              <w:t xml:space="preserve">0.2057</w:t>
            </w:r>
          </w:p>
        </w:tc>
        <w:tc>
          <w:tcPr>
            <w:tcW w:w="2200" w:type="dxa"/>
          </w:tcPr>
          <w:p>
            <w:pPr/>
            <w:r>
              <w:rPr/>
              <w:t xml:space="preserve">0.2352</w:t>
            </w:r>
          </w:p>
        </w:tc>
        <w:tc>
          <w:tcPr>
            <w:tcW w:w="1700" w:type="dxa"/>
          </w:tcPr>
          <w:p>
            <w:pPr/>
            <w:r>
              <w:rPr/>
              <w:t xml:space="preserve">+0.0295</w:t>
            </w:r>
          </w:p>
        </w:tc>
      </w:tr>
      <w:tr>
        <w:tc>
          <w:tcPr>
            <w:tcW w:w="4300" w:type="dxa"/>
          </w:tcPr>
          <w:p>
            <w:pPr/>
            <w:r>
              <w:rPr/>
              <w:t xml:space="preserve">告警研判｜Exact Leaf F1</w:t>
            </w:r>
          </w:p>
        </w:tc>
        <w:tc>
          <w:tcPr>
            <w:tcW w:w="1800" w:type="dxa"/>
          </w:tcPr>
          <w:p>
            <w:pPr/>
            <w:r>
              <w:rPr/>
              <w:t xml:space="preserve">0.1105</w:t>
            </w:r>
          </w:p>
        </w:tc>
        <w:tc>
          <w:tcPr>
            <w:tcW w:w="2200" w:type="dxa"/>
          </w:tcPr>
          <w:p>
            <w:pPr/>
            <w:r>
              <w:rPr/>
              <w:t xml:space="preserve">0.1549</w:t>
            </w:r>
          </w:p>
        </w:tc>
        <w:tc>
          <w:tcPr>
            <w:tcW w:w="1700" w:type="dxa"/>
          </w:tcPr>
          <w:p>
            <w:pPr/>
            <w:r>
              <w:rPr/>
              <w:t xml:space="preserve">+0.0445</w:t>
            </w:r>
          </w:p>
        </w:tc>
      </w:tr>
      <w:tr>
        <w:tc>
          <w:tcPr>
            <w:tcW w:w="4300" w:type="dxa"/>
          </w:tcPr>
          <w:p>
            <w:pPr/>
            <w:r>
              <w:rPr/>
              <w:t xml:space="preserve">告警研判｜JSON 合法率</w:t>
            </w:r>
          </w:p>
        </w:tc>
        <w:tc>
          <w:tcPr>
            <w:tcW w:w="1800" w:type="dxa"/>
          </w:tcPr>
          <w:p>
            <w:pPr/>
            <w:r>
              <w:rPr/>
              <w:t xml:space="preserve">97.64%</w:t>
            </w:r>
          </w:p>
        </w:tc>
        <w:tc>
          <w:tcPr>
            <w:tcW w:w="2200" w:type="dxa"/>
          </w:tcPr>
          <w:p>
            <w:pPr/>
            <w:r>
              <w:rPr/>
              <w:t xml:space="preserve">99.21%</w:t>
            </w:r>
          </w:p>
        </w:tc>
        <w:tc>
          <w:tcPr>
            <w:tcW w:w="1700" w:type="dxa"/>
          </w:tcPr>
          <w:p>
            <w:pPr/>
            <w:r>
              <w:rPr/>
              <w:t xml:space="preserve">+1.57pp</w:t>
            </w:r>
          </w:p>
        </w:tc>
      </w:tr>
      <w:tr>
        <w:tc>
          <w:tcPr>
            <w:tcW w:w="4300" w:type="dxa"/>
          </w:tcPr>
          <w:p>
            <w:pPr/>
            <w:r>
              <w:rPr/>
              <w:t xml:space="preserve">攻击链｜Coarse Semantic F1（τ=0.80）</w:t>
            </w:r>
          </w:p>
        </w:tc>
        <w:tc>
          <w:tcPr>
            <w:tcW w:w="1800" w:type="dxa"/>
          </w:tcPr>
          <w:p>
            <w:pPr/>
            <w:r>
              <w:rPr/>
              <w:t xml:space="preserve">0.4727</w:t>
            </w:r>
          </w:p>
        </w:tc>
        <w:tc>
          <w:tcPr>
            <w:tcW w:w="2200" w:type="dxa"/>
          </w:tcPr>
          <w:p>
            <w:pPr/>
            <w:r>
              <w:rPr/>
              <w:t xml:space="preserve">0.5402</w:t>
            </w:r>
          </w:p>
        </w:tc>
        <w:tc>
          <w:tcPr>
            <w:tcW w:w="1700" w:type="dxa"/>
          </w:tcPr>
          <w:p>
            <w:pPr/>
            <w:r>
              <w:rPr/>
              <w:t xml:space="preserve">+0.0675</w:t>
            </w:r>
          </w:p>
        </w:tc>
      </w:tr>
      <w:tr>
        <w:tc>
          <w:tcPr>
            <w:tcW w:w="4300" w:type="dxa"/>
          </w:tcPr>
          <w:p>
            <w:pPr/>
            <w:r>
              <w:rPr/>
              <w:t xml:space="preserve">攻击链｜Loose Leaf F1</w:t>
            </w:r>
          </w:p>
        </w:tc>
        <w:tc>
          <w:tcPr>
            <w:tcW w:w="1800" w:type="dxa"/>
          </w:tcPr>
          <w:p>
            <w:pPr/>
            <w:r>
              <w:rPr/>
              <w:t xml:space="preserve">0.3662</w:t>
            </w:r>
          </w:p>
        </w:tc>
        <w:tc>
          <w:tcPr>
            <w:tcW w:w="2200" w:type="dxa"/>
          </w:tcPr>
          <w:p>
            <w:pPr/>
            <w:r>
              <w:rPr/>
              <w:t xml:space="preserve">0.4333</w:t>
            </w:r>
          </w:p>
        </w:tc>
        <w:tc>
          <w:tcPr>
            <w:tcW w:w="1700" w:type="dxa"/>
          </w:tcPr>
          <w:p>
            <w:pPr/>
            <w:r>
              <w:rPr/>
              <w:t xml:space="preserve">+0.0671</w:t>
            </w:r>
          </w:p>
        </w:tc>
      </w:tr>
      <w:tr>
        <w:tc>
          <w:tcPr>
            <w:tcW w:w="4300" w:type="dxa"/>
          </w:tcPr>
          <w:p>
            <w:pPr/>
            <w:r>
              <w:rPr/>
              <w:t xml:space="preserve">攻击链｜Exact Leaf F1</w:t>
            </w:r>
          </w:p>
        </w:tc>
        <w:tc>
          <w:tcPr>
            <w:tcW w:w="1800" w:type="dxa"/>
          </w:tcPr>
          <w:p>
            <w:pPr/>
            <w:r>
              <w:rPr/>
              <w:t xml:space="preserve">0.2462</w:t>
            </w:r>
          </w:p>
        </w:tc>
        <w:tc>
          <w:tcPr>
            <w:tcW w:w="2200" w:type="dxa"/>
          </w:tcPr>
          <w:p>
            <w:pPr/>
            <w:r>
              <w:rPr/>
              <w:t xml:space="preserve">0.3236</w:t>
            </w:r>
          </w:p>
        </w:tc>
        <w:tc>
          <w:tcPr>
            <w:tcW w:w="1700" w:type="dxa"/>
          </w:tcPr>
          <w:p>
            <w:pPr/>
            <w:r>
              <w:rPr/>
              <w:t xml:space="preserve">+0.0774</w:t>
            </w:r>
          </w:p>
        </w:tc>
      </w:tr>
      <w:tr>
        <w:tc>
          <w:tcPr>
            <w:tcW w:w="4300" w:type="dxa"/>
          </w:tcPr>
          <w:p>
            <w:pPr/>
            <w:r>
              <w:rPr/>
              <w:t xml:space="preserve">攻击链｜JSON 合法率</w:t>
            </w:r>
          </w:p>
        </w:tc>
        <w:tc>
          <w:tcPr>
            <w:tcW w:w="1800" w:type="dxa"/>
          </w:tcPr>
          <w:p>
            <w:pPr/>
            <w:r>
              <w:rPr/>
              <w:t xml:space="preserve">96.02%</w:t>
            </w:r>
          </w:p>
        </w:tc>
        <w:tc>
          <w:tcPr>
            <w:tcW w:w="2200" w:type="dxa"/>
          </w:tcPr>
          <w:p>
            <w:pPr/>
            <w:r>
              <w:rPr/>
              <w:t xml:space="preserve">97.25%</w:t>
            </w:r>
          </w:p>
        </w:tc>
        <w:tc>
          <w:tcPr>
            <w:tcW w:w="1700" w:type="dxa"/>
          </w:tcPr>
          <w:p>
            <w:pPr/>
            <w:r>
              <w:rPr/>
              <w:t xml:space="preserve">+1.22pp</w:t>
            </w:r>
          </w:p>
        </w:tc>
      </w:tr>
      <w:tr>
        <w:tc>
          <w:tcPr>
            <w:tcW w:w="4300" w:type="dxa"/>
          </w:tcPr>
          <w:p>
            <w:pPr/>
            <w:r>
              <w:rPr/>
              <w:t xml:space="preserve">日志漏洞｜Coarse Semantic F1（τ=0.80）</w:t>
            </w:r>
          </w:p>
        </w:tc>
        <w:tc>
          <w:tcPr>
            <w:tcW w:w="1800" w:type="dxa"/>
          </w:tcPr>
          <w:p>
            <w:pPr/>
            <w:r>
              <w:rPr/>
              <w:t xml:space="preserve">0.5008</w:t>
            </w:r>
          </w:p>
        </w:tc>
        <w:tc>
          <w:tcPr>
            <w:tcW w:w="2200" w:type="dxa"/>
          </w:tcPr>
          <w:p>
            <w:pPr/>
            <w:r>
              <w:rPr/>
              <w:t xml:space="preserve">0.5516</w:t>
            </w:r>
          </w:p>
        </w:tc>
        <w:tc>
          <w:tcPr>
            <w:tcW w:w="1700" w:type="dxa"/>
          </w:tcPr>
          <w:p>
            <w:pPr/>
            <w:r>
              <w:rPr/>
              <w:t xml:space="preserve">+0.0509</w:t>
            </w:r>
          </w:p>
        </w:tc>
      </w:tr>
      <w:tr>
        <w:tc>
          <w:tcPr>
            <w:tcW w:w="4300" w:type="dxa"/>
          </w:tcPr>
          <w:p>
            <w:pPr/>
            <w:r>
              <w:rPr/>
              <w:t xml:space="preserve">日志漏洞｜Loose Leaf F1</w:t>
            </w:r>
          </w:p>
        </w:tc>
        <w:tc>
          <w:tcPr>
            <w:tcW w:w="1800" w:type="dxa"/>
          </w:tcPr>
          <w:p>
            <w:pPr/>
            <w:r>
              <w:rPr/>
              <w:t xml:space="preserve">0.4103</w:t>
            </w:r>
          </w:p>
        </w:tc>
        <w:tc>
          <w:tcPr>
            <w:tcW w:w="2200" w:type="dxa"/>
          </w:tcPr>
          <w:p>
            <w:pPr/>
            <w:r>
              <w:rPr/>
              <w:t xml:space="preserve">0.4698</w:t>
            </w:r>
          </w:p>
        </w:tc>
        <w:tc>
          <w:tcPr>
            <w:tcW w:w="1700" w:type="dxa"/>
          </w:tcPr>
          <w:p>
            <w:pPr/>
            <w:r>
              <w:rPr/>
              <w:t xml:space="preserve">+0.0595</w:t>
            </w:r>
          </w:p>
        </w:tc>
      </w:tr>
      <w:tr>
        <w:tc>
          <w:tcPr>
            <w:tcW w:w="4300" w:type="dxa"/>
          </w:tcPr>
          <w:p>
            <w:pPr/>
            <w:r>
              <w:rPr/>
              <w:t xml:space="preserve">日志漏洞｜Exact Leaf F1</w:t>
            </w:r>
          </w:p>
        </w:tc>
        <w:tc>
          <w:tcPr>
            <w:tcW w:w="1800" w:type="dxa"/>
          </w:tcPr>
          <w:p>
            <w:pPr/>
            <w:r>
              <w:rPr/>
              <w:t xml:space="preserve">0.2903</w:t>
            </w:r>
          </w:p>
        </w:tc>
        <w:tc>
          <w:tcPr>
            <w:tcW w:w="2200" w:type="dxa"/>
          </w:tcPr>
          <w:p>
            <w:pPr/>
            <w:r>
              <w:rPr/>
              <w:t xml:space="preserve">0.3630</w:t>
            </w:r>
          </w:p>
        </w:tc>
        <w:tc>
          <w:tcPr>
            <w:tcW w:w="1700" w:type="dxa"/>
          </w:tcPr>
          <w:p>
            <w:pPr/>
            <w:r>
              <w:rPr/>
              <w:t xml:space="preserve">+0.0727</w:t>
            </w:r>
          </w:p>
        </w:tc>
      </w:tr>
      <w:tr>
        <w:tc>
          <w:tcPr>
            <w:tcW w:w="4300" w:type="dxa"/>
          </w:tcPr>
          <w:p>
            <w:pPr/>
            <w:r>
              <w:rPr/>
              <w:t xml:space="preserve">日志漏洞｜JSON 合法率</w:t>
            </w:r>
          </w:p>
        </w:tc>
        <w:tc>
          <w:tcPr>
            <w:tcW w:w="1800" w:type="dxa"/>
          </w:tcPr>
          <w:p>
            <w:pPr/>
            <w:r>
              <w:rPr/>
              <w:t xml:space="preserve">95.70%</w:t>
            </w:r>
          </w:p>
        </w:tc>
        <w:tc>
          <w:tcPr>
            <w:tcW w:w="2200" w:type="dxa"/>
          </w:tcPr>
          <w:p>
            <w:pPr/>
            <w:r>
              <w:rPr/>
              <w:t xml:space="preserve">98.92%</w:t>
            </w:r>
          </w:p>
        </w:tc>
        <w:tc>
          <w:tcPr>
            <w:tcW w:w="1700" w:type="dxa"/>
          </w:tcPr>
          <w:p>
            <w:pPr/>
            <w:r>
              <w:rPr/>
              <w:t xml:space="preserve">+3.23pp</w:t>
            </w:r>
          </w:p>
        </w:tc>
      </w:tr>
    </w:tbl>
    <w:p>
      <w:pPr>
        <w:pStyle w:val="Heading2"/>
      </w:pPr>
      <w:r>
        <w:rPr>
          <w:b/>
          <w:color w:val="2F80A8"/>
          <w:sz w:val="24"/>
        </w:rPr>
        <w:t xml:space="preserve">4.4 三大场景分项结果：开放式生成（gen）</w:t>
      </w:r>
    </w:p>
    <w:p>
      <w:pPr/>
      <w:r>
        <w:rPr/>
        <w:t xml:space="preserve">每项是该场景内 gen 样本的平均值。Rouge-L 衡量词面与语序重合；语义相似度用于补充改写表达。</w:t>
      </w:r>
    </w:p>
    <w:tbl>
      <w:tblPr>
        <w:tblW w:w="0" w:type="auto"/>
        <w:tblBorders>
          <w:top w:val="single" w:sz="8" w:color="6B8EA5"/>
          <w:left w:val="single" w:sz="8" w:color="6B8EA5"/>
          <w:bottom w:val="single" w:sz="8" w:color="6B8EA5"/>
          <w:right w:val="single" w:sz="8" w:color="6B8EA5"/>
          <w:insideH w:val="single" w:sz="4" w:color="B8C8D3"/>
          <w:insideV w:val="single" w:sz="4" w:color="B8C8D3"/>
        </w:tblBorders>
      </w:tblPr>
      <w:tr>
        <w:tc>
          <w:tcPr>
            <w:tcW w:w="4300" w:type="dxa"/>
            <w:shd w:fill="123B5D"/>
          </w:tcPr>
          <w:p>
            <w:pPr/>
            <w:r>
              <w:rPr>
                <w:b/>
                <w:color w:val="FFFFFF"/>
              </w:rPr>
              <w:t xml:space="preserve">场景 / 指标</w:t>
            </w:r>
          </w:p>
        </w:tc>
        <w:tc>
          <w:tcPr>
            <w:tcW w:w="1800" w:type="dxa"/>
            <w:shd w:fill="123B5D"/>
          </w:tcPr>
          <w:p>
            <w:pPr/>
            <w:r>
              <w:rPr>
                <w:b/>
                <w:color w:val="FFFFFF"/>
              </w:rPr>
              <w:t xml:space="preserve">零样本基线</w:t>
            </w:r>
          </w:p>
        </w:tc>
        <w:tc>
          <w:tcPr>
            <w:tcW w:w="2200" w:type="dxa"/>
            <w:shd w:fill="123B5D"/>
          </w:tcPr>
          <w:p>
            <w:pPr/>
            <w:r>
              <w:rPr>
                <w:b/>
                <w:color w:val="FFFFFF"/>
              </w:rPr>
              <w:t xml:space="preserve">QLoRA 微调后</w:t>
            </w:r>
          </w:p>
        </w:tc>
        <w:tc>
          <w:tcPr>
            <w:tcW w:w="1700" w:type="dxa"/>
            <w:shd w:fill="123B5D"/>
          </w:tcPr>
          <w:p>
            <w:pPr/>
            <w:r>
              <w:rPr>
                <w:b/>
                <w:color w:val="FFFFFF"/>
              </w:rPr>
              <w:t xml:space="preserve">变化</w:t>
            </w:r>
          </w:p>
        </w:tc>
      </w:tr>
      <w:tr>
        <w:tc>
          <w:tcPr>
            <w:tcW w:w="4300" w:type="dxa"/>
          </w:tcPr>
          <w:p>
            <w:pPr/>
            <w:r>
              <w:rPr/>
              <w:t xml:space="preserve">告警研判｜Rouge-L（jieba/whitespace）</w:t>
            </w:r>
          </w:p>
        </w:tc>
        <w:tc>
          <w:tcPr>
            <w:tcW w:w="1800" w:type="dxa"/>
          </w:tcPr>
          <w:p>
            <w:pPr/>
            <w:r>
              <w:rPr/>
              <w:t xml:space="preserve">0.2598</w:t>
            </w:r>
          </w:p>
        </w:tc>
        <w:tc>
          <w:tcPr>
            <w:tcW w:w="2200" w:type="dxa"/>
          </w:tcPr>
          <w:p>
            <w:pPr/>
            <w:r>
              <w:rPr/>
              <w:t xml:space="preserve">0.3576</w:t>
            </w:r>
          </w:p>
        </w:tc>
        <w:tc>
          <w:tcPr>
            <w:tcW w:w="1700" w:type="dxa"/>
          </w:tcPr>
          <w:p>
            <w:pPr/>
            <w:r>
              <w:rPr/>
              <w:t xml:space="preserve">+0.0978</w:t>
            </w:r>
          </w:p>
        </w:tc>
      </w:tr>
      <w:tr>
        <w:tc>
          <w:tcPr>
            <w:tcW w:w="4300" w:type="dxa"/>
          </w:tcPr>
          <w:p>
            <w:pPr/>
            <w:r>
              <w:rPr/>
              <w:t xml:space="preserve">告警研判｜语义相似度</w:t>
            </w:r>
          </w:p>
        </w:tc>
        <w:tc>
          <w:tcPr>
            <w:tcW w:w="1800" w:type="dxa"/>
          </w:tcPr>
          <w:p>
            <w:pPr/>
            <w:r>
              <w:rPr/>
              <w:t xml:space="preserve">0.8426</w:t>
            </w:r>
          </w:p>
        </w:tc>
        <w:tc>
          <w:tcPr>
            <w:tcW w:w="2200" w:type="dxa"/>
          </w:tcPr>
          <w:p>
            <w:pPr/>
            <w:r>
              <w:rPr/>
              <w:t xml:space="preserve">0.8860</w:t>
            </w:r>
          </w:p>
        </w:tc>
        <w:tc>
          <w:tcPr>
            <w:tcW w:w="1700" w:type="dxa"/>
          </w:tcPr>
          <w:p>
            <w:pPr/>
            <w:r>
              <w:rPr/>
              <w:t xml:space="preserve">+0.0435</w:t>
            </w:r>
          </w:p>
        </w:tc>
      </w:tr>
      <w:tr>
        <w:tc>
          <w:tcPr>
            <w:tcW w:w="4300" w:type="dxa"/>
          </w:tcPr>
          <w:p>
            <w:pPr/>
            <w:r>
              <w:rPr/>
              <w:t xml:space="preserve">攻击链｜Rouge-L（jieba/whitespace）</w:t>
            </w:r>
          </w:p>
        </w:tc>
        <w:tc>
          <w:tcPr>
            <w:tcW w:w="1800" w:type="dxa"/>
          </w:tcPr>
          <w:p>
            <w:pPr/>
            <w:r>
              <w:rPr/>
              <w:t xml:space="preserve">0.3035</w:t>
            </w:r>
          </w:p>
        </w:tc>
        <w:tc>
          <w:tcPr>
            <w:tcW w:w="2200" w:type="dxa"/>
          </w:tcPr>
          <w:p>
            <w:pPr/>
            <w:r>
              <w:rPr/>
              <w:t xml:space="preserve">0.4035</w:t>
            </w:r>
          </w:p>
        </w:tc>
        <w:tc>
          <w:tcPr>
            <w:tcW w:w="1700" w:type="dxa"/>
          </w:tcPr>
          <w:p>
            <w:pPr/>
            <w:r>
              <w:rPr/>
              <w:t xml:space="preserve">+0.1001</w:t>
            </w:r>
          </w:p>
        </w:tc>
      </w:tr>
      <w:tr>
        <w:tc>
          <w:tcPr>
            <w:tcW w:w="4300" w:type="dxa"/>
          </w:tcPr>
          <w:p>
            <w:pPr/>
            <w:r>
              <w:rPr/>
              <w:t xml:space="preserve">攻击链｜语义相似度</w:t>
            </w:r>
          </w:p>
        </w:tc>
        <w:tc>
          <w:tcPr>
            <w:tcW w:w="1800" w:type="dxa"/>
          </w:tcPr>
          <w:p>
            <w:pPr/>
            <w:r>
              <w:rPr/>
              <w:t xml:space="preserve">0.8575</w:t>
            </w:r>
          </w:p>
        </w:tc>
        <w:tc>
          <w:tcPr>
            <w:tcW w:w="2200" w:type="dxa"/>
          </w:tcPr>
          <w:p>
            <w:pPr/>
            <w:r>
              <w:rPr/>
              <w:t xml:space="preserve">0.8974</w:t>
            </w:r>
          </w:p>
        </w:tc>
        <w:tc>
          <w:tcPr>
            <w:tcW w:w="1700" w:type="dxa"/>
          </w:tcPr>
          <w:p>
            <w:pPr/>
            <w:r>
              <w:rPr/>
              <w:t xml:space="preserve">+0.0399</w:t>
            </w:r>
          </w:p>
        </w:tc>
      </w:tr>
      <w:tr>
        <w:tc>
          <w:tcPr>
            <w:tcW w:w="4300" w:type="dxa"/>
          </w:tcPr>
          <w:p>
            <w:pPr/>
            <w:r>
              <w:rPr/>
              <w:t xml:space="preserve">日志漏洞｜Rouge-L（jieba/whitespace）</w:t>
            </w:r>
          </w:p>
        </w:tc>
        <w:tc>
          <w:tcPr>
            <w:tcW w:w="1800" w:type="dxa"/>
          </w:tcPr>
          <w:p>
            <w:pPr/>
            <w:r>
              <w:rPr/>
              <w:t xml:space="preserve">0.2943</w:t>
            </w:r>
          </w:p>
        </w:tc>
        <w:tc>
          <w:tcPr>
            <w:tcW w:w="2200" w:type="dxa"/>
          </w:tcPr>
          <w:p>
            <w:pPr/>
            <w:r>
              <w:rPr/>
              <w:t xml:space="preserve">0.3687</w:t>
            </w:r>
          </w:p>
        </w:tc>
        <w:tc>
          <w:tcPr>
            <w:tcW w:w="1700" w:type="dxa"/>
          </w:tcPr>
          <w:p>
            <w:pPr/>
            <w:r>
              <w:rPr/>
              <w:t xml:space="preserve">+0.0744</w:t>
            </w:r>
          </w:p>
        </w:tc>
      </w:tr>
      <w:tr>
        <w:tc>
          <w:tcPr>
            <w:tcW w:w="4300" w:type="dxa"/>
          </w:tcPr>
          <w:p>
            <w:pPr/>
            <w:r>
              <w:rPr/>
              <w:t xml:space="preserve">日志漏洞｜语义相似度</w:t>
            </w:r>
          </w:p>
        </w:tc>
        <w:tc>
          <w:tcPr>
            <w:tcW w:w="1800" w:type="dxa"/>
          </w:tcPr>
          <w:p>
            <w:pPr/>
            <w:r>
              <w:rPr/>
              <w:t xml:space="preserve">0.8595</w:t>
            </w:r>
          </w:p>
        </w:tc>
        <w:tc>
          <w:tcPr>
            <w:tcW w:w="2200" w:type="dxa"/>
          </w:tcPr>
          <w:p>
            <w:pPr/>
            <w:r>
              <w:rPr/>
              <w:t xml:space="preserve">0.8943</w:t>
            </w:r>
          </w:p>
        </w:tc>
        <w:tc>
          <w:tcPr>
            <w:tcW w:w="1700" w:type="dxa"/>
          </w:tcPr>
          <w:p>
            <w:pPr/>
            <w:r>
              <w:rPr/>
              <w:t xml:space="preserve">+0.0348</w:t>
            </w:r>
          </w:p>
        </w:tc>
      </w:tr>
    </w:tbl>
    <w:p>
      <w:pPr>
        <w:pStyle w:val="Heading1"/>
      </w:pPr>
      <w:r>
        <w:rPr>
          <w:b/>
          <w:color w:val="123B5D"/>
          <w:sz w:val="28"/>
        </w:rPr>
        <w:t xml:space="preserve">5. 案例分析</w:t>
      </w:r>
    </w:p>
    <w:p>
      <w:pPr/>
      <w:r>
        <w:rPr/>
        <w:t xml:space="preserve">以下 6 个案例均为本次实验同一 ID 的原始预测对照。结构化案例完整展示参考答案、零样本回答、微调后回答以及按本实验宽松叶子值口径计算的 P/R/F1；生成案例完整展示三段文本及 Rouge-L。</w:t>
      </w:r>
    </w:p>
    <w:p>
      <w:pPr>
        <w:pStyle w:val="Heading2"/>
      </w:pPr>
      <w:r>
        <w:rPr>
          <w:b/>
          <w:color w:val="2F80A8"/>
          <w:sz w:val="24"/>
        </w:rPr>
        <w:t xml:space="preserve">案例 1｜ID=63（恶意软件特征抽取 / WannaMine 挖矿家族）</w:t>
      </w:r>
    </w:p>
    <w:p>
      <w:pPr/>
      <w:r>
        <w:rPr>
          <w:b/>
        </w:rPr>
        <w:t xml:space="preserve">参考答案：</w:t>
      </w:r>
    </w:p>
    <w:p>
      <w:pPr/>
      <w:r>
        <w:rPr>
          <w:color w:val="334155"/>
          <w:sz w:val="16"/>
        </w:rPr>
        <w:t xml:space="preserve">{"传播方式":"横向传播局域网内其他电脑","伪装手段":"伪装成Linux系统工具","后门留置":"在被感染电脑中留下后门","恶意软件名称":"WannaMine","攻击目标":"Linux服务器","攻击行为":["生成攻击数据包","DDoS攻击"]}</w:t>
      </w:r>
    </w:p>
    <w:p>
      <w:pPr/>
      <w:r>
        <w:rPr>
          <w:b/>
        </w:rPr>
        <w:t xml:space="preserve">零样本输出：</w:t>
      </w:r>
    </w:p>
    <w:p>
      <w:pPr/>
      <w:r>
        <w:rPr>
          <w:color w:val="334155"/>
          <w:sz w:val="16"/>
        </w:rPr>
        <w:t xml:space="preserve">```json</w:t>
      </w:r>
    </w:p>
    <w:p>
      <w:pPr/>
      <w:r>
        <w:rPr>
          <w:color w:val="334155"/>
          <w:sz w:val="16"/>
        </w:rPr>
        <w:t xml:space="preserve">{</w:t>
      </w:r>
    </w:p>
    <w:p>
      <w:pPr/>
      <w:r>
        <w:rPr>
          <w:color w:val="334155"/>
          <w:sz w:val="16"/>
        </w:rPr>
        <w:t xml:space="preserve">  "malware": {</w:t>
      </w:r>
    </w:p>
    <w:p>
      <w:pPr/>
      <w:r>
        <w:rPr>
          <w:color w:val="334155"/>
          <w:sz w:val="16"/>
        </w:rPr>
        <w:t xml:space="preserve">    "name": "WannaMine",</w:t>
      </w:r>
    </w:p>
    <w:p>
      <w:pPr/>
      <w:r>
        <w:rPr>
          <w:color w:val="334155"/>
          <w:sz w:val="16"/>
        </w:rPr>
        <w:t xml:space="preserve">    "family": "挖矿家族",</w:t>
      </w:r>
    </w:p>
    <w:p>
      <w:pPr/>
      <w:r>
        <w:rPr>
          <w:color w:val="334155"/>
          <w:sz w:val="16"/>
        </w:rPr>
        <w:t xml:space="preserve">    "new_features": [</w:t>
      </w:r>
    </w:p>
    <w:p>
      <w:pPr/>
      <w:r>
        <w:rPr>
          <w:color w:val="334155"/>
          <w:sz w:val="16"/>
        </w:rPr>
        <w:t xml:space="preserve">      {</w:t>
      </w:r>
    </w:p>
    <w:p>
      <w:pPr/>
      <w:r>
        <w:rPr>
          <w:color w:val="334155"/>
          <w:sz w:val="16"/>
        </w:rPr>
        <w:t xml:space="preserve">        "description": "病毒作者增加Linux服务器为新的攻击目标",</w:t>
      </w:r>
    </w:p>
    <w:p>
      <w:pPr/>
      <w:r>
        <w:rPr>
          <w:color w:val="334155"/>
          <w:sz w:val="16"/>
        </w:rPr>
        <w:t xml:space="preserve">        "details": "攻击目标扩展至Linux服务器"</w:t>
      </w:r>
    </w:p>
    <w:p>
      <w:pPr/>
      <w:r>
        <w:rPr>
          <w:color w:val="334155"/>
          <w:sz w:val="16"/>
        </w:rPr>
        <w:t xml:space="preserve">      },</w:t>
      </w:r>
    </w:p>
    <w:p>
      <w:pPr/>
      <w:r>
        <w:rPr>
          <w:color w:val="334155"/>
          <w:sz w:val="16"/>
        </w:rPr>
        <w:t xml:space="preserve">      {</w:t>
      </w:r>
    </w:p>
    <w:p>
      <w:pPr/>
      <w:r>
        <w:rPr>
          <w:color w:val="334155"/>
          <w:sz w:val="16"/>
        </w:rPr>
        <w:t xml:space="preserve">        "description": "释放的DDoS木马",</w:t>
      </w:r>
    </w:p>
    <w:p>
      <w:pPr/>
      <w:r>
        <w:rPr>
          <w:color w:val="334155"/>
          <w:sz w:val="16"/>
        </w:rPr>
        <w:t xml:space="preserve">        "details": "名字为‘比尔盖茨’(BillGates)"</w:t>
      </w:r>
    </w:p>
    <w:p>
      <w:pPr/>
      <w:r>
        <w:rPr>
          <w:color w:val="334155"/>
          <w:sz w:val="16"/>
        </w:rPr>
        <w:t xml:space="preserve">      }</w:t>
      </w:r>
    </w:p>
    <w:p>
      <w:pPr/>
      <w:r>
        <w:rPr>
          <w:color w:val="334155"/>
          <w:sz w:val="16"/>
        </w:rPr>
        <w:t xml:space="preserve">    ],</w:t>
      </w:r>
    </w:p>
    <w:p>
      <w:pPr/>
      <w:r>
        <w:rPr>
          <w:color w:val="334155"/>
          <w:sz w:val="16"/>
        </w:rPr>
        <w:t xml:space="preserve">    "characteristics": [</w:t>
      </w:r>
    </w:p>
    <w:p>
      <w:pPr/>
      <w:r>
        <w:rPr>
          <w:color w:val="334155"/>
          <w:sz w:val="16"/>
        </w:rPr>
        <w:t xml:space="preserve">      {</w:t>
      </w:r>
    </w:p>
    <w:p>
      <w:pPr/>
      <w:r>
        <w:rPr>
          <w:color w:val="334155"/>
          <w:sz w:val="16"/>
        </w:rPr>
        <w:t xml:space="preserve">        "description": "伪装成Linux系统工具",</w:t>
      </w:r>
    </w:p>
    <w:p>
      <w:pPr/>
      <w:r>
        <w:rPr>
          <w:color w:val="334155"/>
          <w:sz w:val="16"/>
        </w:rPr>
        <w:t xml:space="preserve">        "details": "以此方式躲避杀毒软件查杀"</w:t>
      </w:r>
    </w:p>
    <w:p>
      <w:pPr/>
      <w:r>
        <w:rPr>
          <w:color w:val="334155"/>
          <w:sz w:val="16"/>
        </w:rPr>
        <w:t xml:space="preserve">      },</w:t>
      </w:r>
    </w:p>
    <w:p>
      <w:pPr/>
      <w:r>
        <w:rPr>
          <w:color w:val="334155"/>
          <w:sz w:val="16"/>
        </w:rPr>
        <w:t xml:space="preserve">      {</w:t>
      </w:r>
    </w:p>
    <w:p>
      <w:pPr/>
      <w:r>
        <w:rPr>
          <w:color w:val="334155"/>
          <w:sz w:val="16"/>
        </w:rPr>
        <w:t xml:space="preserve">        "description": "横向传播",</w:t>
      </w:r>
    </w:p>
    <w:p>
      <w:pPr/>
      <w:r>
        <w:rPr>
          <w:color w:val="334155"/>
          <w:sz w:val="16"/>
        </w:rPr>
        <w:t xml:space="preserve">        "details": "在局域网内传播到其他电脑"</w:t>
      </w:r>
    </w:p>
    <w:p>
      <w:pPr/>
      <w:r>
        <w:rPr>
          <w:color w:val="334155"/>
          <w:sz w:val="16"/>
        </w:rPr>
        <w:t xml:space="preserve">      },</w:t>
      </w:r>
    </w:p>
    <w:p>
      <w:pPr/>
      <w:r>
        <w:rPr>
          <w:color w:val="334155"/>
          <w:sz w:val="16"/>
        </w:rPr>
        <w:t xml:space="preserve">      {</w:t>
      </w:r>
    </w:p>
    <w:p>
      <w:pPr/>
      <w:r>
        <w:rPr>
          <w:color w:val="334155"/>
          <w:sz w:val="16"/>
        </w:rPr>
        <w:t xml:space="preserve">        "description": "在内核中生成攻击数据包",</w:t>
      </w:r>
    </w:p>
    <w:p>
      <w:pPr/>
      <w:r>
        <w:rPr>
          <w:color w:val="334155"/>
          <w:sz w:val="16"/>
        </w:rPr>
        <w:t xml:space="preserve">        "details": "以此方式避免被嗅探工具捕获"</w:t>
      </w:r>
    </w:p>
    <w:p>
      <w:pPr/>
      <w:r>
        <w:rPr>
          <w:color w:val="334155"/>
          <w:sz w:val="16"/>
        </w:rPr>
        <w:t xml:space="preserve">      },</w:t>
      </w:r>
    </w:p>
    <w:p>
      <w:pPr/>
      <w:r>
        <w:rPr>
          <w:color w:val="334155"/>
          <w:sz w:val="16"/>
        </w:rPr>
        <w:t xml:space="preserve">      {</w:t>
      </w:r>
    </w:p>
    <w:p>
      <w:pPr/>
      <w:r>
        <w:rPr>
          <w:color w:val="334155"/>
          <w:sz w:val="16"/>
        </w:rPr>
        <w:t xml:space="preserve">        "description": "留下后门",</w:t>
      </w:r>
    </w:p>
    <w:p>
      <w:pPr/>
      <w:r>
        <w:rPr>
          <w:color w:val="334155"/>
          <w:sz w:val="16"/>
        </w:rPr>
        <w:t xml:space="preserve">        "details": "为后续的恶意攻击做准备"</w:t>
      </w:r>
    </w:p>
    <w:p>
      <w:pPr/>
      <w:r>
        <w:rPr>
          <w:color w:val="334155"/>
          <w:sz w:val="16"/>
        </w:rPr>
        <w:t xml:space="preserve">      }</w:t>
      </w:r>
    </w:p>
    <w:p>
      <w:pPr/>
      <w:r>
        <w:rPr>
          <w:color w:val="334155"/>
          <w:sz w:val="16"/>
        </w:rPr>
        <w:t xml:space="preserve">    ]</w:t>
      </w:r>
    </w:p>
    <w:p>
      <w:pPr/>
      <w:r>
        <w:rPr>
          <w:color w:val="334155"/>
          <w:sz w:val="16"/>
        </w:rPr>
        <w:t xml:space="preserve">  }</w:t>
      </w:r>
    </w:p>
    <w:p>
      <w:pPr/>
      <w:r>
        <w:rPr>
          <w:color w:val="334155"/>
          <w:sz w:val="16"/>
        </w:rPr>
        <w:t xml:space="preserve">}</w:t>
      </w:r>
    </w:p>
    <w:p>
      <w:pPr/>
      <w:r>
        <w:rPr>
          <w:color w:val="334155"/>
          <w:sz w:val="16"/>
        </w:rPr>
        <w:t xml:space="preserve">```</w:t>
      </w:r>
    </w:p>
    <w:p>
      <w:pPr/>
      <w:r>
        <w:rPr>
          <w:b/>
        </w:rPr>
        <w:t xml:space="preserve">微调后输出：</w:t>
      </w:r>
    </w:p>
    <w:p>
      <w:pPr/>
      <w:r>
        <w:rPr>
          <w:color w:val="334155"/>
          <w:sz w:val="16"/>
        </w:rPr>
        <w:t xml:space="preserve">{"恶意软件名称":["WannaMine","DDoS木马"],"攻击目标":["Linux服务器"],"伪装手法":["伪装成Linux系统工具"],"传播方式":["横向传播局域网内其他电脑"],"攻击手段":["在内核中生成攻击数据包","避免被嗅探工具捕获"],"后门留置":["在被感染电脑中留下后门"]}</w:t>
      </w:r>
    </w:p>
    <w:p>
      <w:pPr/>
      <w:r>
        <w:rPr>
          <w:b/>
          <w:color w:val="123B5D"/>
        </w:rPr>
        <w:t xml:space="preserve">评分分析：参考答案共 7 个叶子值。零样本输出 14 个叶子值，命中 4 个：P=4/14=0.286，R=4/7=0.571，F1=0.381；微调后输出 8 个叶子值，命中 6 个：P=6/8=0.750，R=6/7=0.857，F1=0.800。</w:t>
      </w:r>
    </w:p>
    <w:p>
      <w:pPr/>
      <w:r>
        <w:rPr/>
        <w:t xml:space="preserve">案例结论：同一条样本中，微调把“英文嵌套 + 描述性长句”改为“中文字段 + 扁平值列表”。命中数从 4 增至 6，冗余叶子从 14 减至 8，因此 Precision 和 Recall 同时提升；漏项仍是参考中的“DDoS攻击”。</w:t>
      </w:r>
    </w:p>
    <w:p>
      <w:pPr>
        <w:pStyle w:val="Heading2"/>
      </w:pPr>
      <w:r>
        <w:rPr>
          <w:b/>
          <w:color w:val="2F80A8"/>
          <w:sz w:val="24"/>
        </w:rPr>
        <w:t xml:space="preserve">案例 2｜ID=2（漏洞信息抽取 / Jira 模板注入漏洞）</w:t>
      </w:r>
    </w:p>
    <w:p>
      <w:pPr/>
      <w:r>
        <w:rPr>
          <w:b/>
        </w:rPr>
        <w:t xml:space="preserve">参考答案：</w:t>
      </w:r>
    </w:p>
    <w:p>
      <w:pPr/>
      <w:r>
        <w:rPr>
          <w:color w:val="334155"/>
          <w:sz w:val="16"/>
        </w:rPr>
        <w:t xml:space="preserve">{"PoC公开":"是","不受影响版本":["Jira 7.6.14","Jira 7.13.5","Jira 8.0.3","Jira 8.1.2","Jira 8.2.3"],"临时防护措施":["禁用Contact Administrator Form功能","禁止对路径/secure/admin/SendBulkMail!default.jspa的访问"],"危害等级":"高","受影响版本":["Jira 4.4.0","Jira 7.7.0","Jira 8.0.0","Jira 8.1.0","Jira 8.2.0"],"官方升级补丁":{"Jira 7.13.5":"https://marketplace.atlassian.com/download/apps/1213607/version/713005","Jira 7.6.14":"https://marketplace.atlassian.com/download/apps/1213607/version/706014","Jira 8.0.3":"https://marketplace.atlassian.com/download/apps/1213607/version/800003","Jira 8.1.2":"https://marketplace.atlassian.com/download/apps/1213607/version/801002","Jira 8.2.3":"https://marketplace.atlassian.com/download/apps/1213607/version/802003"},"漏洞名称":"Jira服务器模板注入漏洞","远程代码执行":"是"}</w:t>
      </w:r>
    </w:p>
    <w:p>
      <w:pPr/>
      <w:r>
        <w:rPr>
          <w:b/>
        </w:rPr>
        <w:t xml:space="preserve">零样本输出：</w:t>
      </w:r>
    </w:p>
    <w:p>
      <w:pPr/>
      <w:r>
        <w:rPr>
          <w:color w:val="334155"/>
          <w:sz w:val="16"/>
        </w:rPr>
        <w:t xml:space="preserve">```json</w:t>
      </w:r>
    </w:p>
    <w:p>
      <w:pPr/>
      <w:r>
        <w:rPr>
          <w:color w:val="334155"/>
          <w:sz w:val="16"/>
        </w:rPr>
        <w:t xml:space="preserve">{</w:t>
      </w:r>
    </w:p>
    <w:p>
      <w:pPr/>
      <w:r>
        <w:rPr>
          <w:color w:val="334155"/>
          <w:sz w:val="16"/>
        </w:rPr>
        <w:t xml:space="preserve">  "vulnerability": {</w:t>
      </w:r>
    </w:p>
    <w:p>
      <w:pPr/>
      <w:r>
        <w:rPr>
          <w:color w:val="334155"/>
          <w:sz w:val="16"/>
        </w:rPr>
        <w:t xml:space="preserve">    "name": "Jira Server and Data Center Template Injection Vulnerability",</w:t>
      </w:r>
    </w:p>
    <w:p>
      <w:pPr/>
      <w:r>
        <w:rPr>
          <w:color w:val="334155"/>
          <w:sz w:val="16"/>
        </w:rPr>
        <w:t xml:space="preserve">    "description": "Jira Server and Jira Data Center have a server-side template injection vulnerability that allows remote code execution if the server meets either of the following conditions: 1. The server has SMTP service configured and the 'Contact Administrators Form' feature is enabled; 2. The server has SMTP service configured and the attacker has Jira administrator access.",</w:t>
      </w:r>
    </w:p>
    <w:p>
      <w:pPr/>
      <w:r>
        <w:rPr>
          <w:color w:val="334155"/>
          <w:sz w:val="16"/>
        </w:rPr>
        <w:t xml:space="preserve">    "affected_versions": [</w:t>
      </w:r>
    </w:p>
    <w:p>
      <w:pPr/>
      <w:r>
        <w:rPr>
          <w:color w:val="334155"/>
          <w:sz w:val="16"/>
        </w:rPr>
        <w:t xml:space="preserve">      "Jira 4.4.0",</w:t>
      </w:r>
    </w:p>
    <w:p>
      <w:pPr/>
      <w:r>
        <w:rPr>
          <w:color w:val="334155"/>
          <w:sz w:val="16"/>
        </w:rPr>
        <w:t xml:space="preserve">      "Jira 7.7.0",</w:t>
      </w:r>
    </w:p>
    <w:p>
      <w:pPr/>
      <w:r>
        <w:rPr>
          <w:color w:val="334155"/>
          <w:sz w:val="16"/>
        </w:rPr>
        <w:t xml:space="preserve">      "Jira 8.0.0",</w:t>
      </w:r>
    </w:p>
    <w:p>
      <w:pPr/>
      <w:r>
        <w:rPr>
          <w:color w:val="334155"/>
          <w:sz w:val="16"/>
        </w:rPr>
        <w:t xml:space="preserve">      "Jira 8.1.0",</w:t>
      </w:r>
    </w:p>
    <w:p>
      <w:pPr/>
      <w:r>
        <w:rPr>
          <w:color w:val="334155"/>
          <w:sz w:val="16"/>
        </w:rPr>
        <w:t xml:space="preserve">      "Jira 8.2.0"</w:t>
      </w:r>
    </w:p>
    <w:p>
      <w:pPr/>
      <w:r>
        <w:rPr>
          <w:color w:val="334155"/>
          <w:sz w:val="16"/>
        </w:rPr>
        <w:t xml:space="preserve">    ],</w:t>
      </w:r>
    </w:p>
    <w:p>
      <w:pPr/>
      <w:r>
        <w:rPr>
          <w:color w:val="334155"/>
          <w:sz w:val="16"/>
        </w:rPr>
        <w:t xml:space="preserve">    "not_affected_versions": [</w:t>
      </w:r>
    </w:p>
    <w:p>
      <w:pPr/>
      <w:r>
        <w:rPr>
          <w:color w:val="334155"/>
          <w:sz w:val="16"/>
        </w:rPr>
        <w:t xml:space="preserve">      "Jira 7.6.14",</w:t>
      </w:r>
    </w:p>
    <w:p>
      <w:pPr/>
      <w:r>
        <w:rPr>
          <w:color w:val="334155"/>
          <w:sz w:val="16"/>
        </w:rPr>
        <w:t xml:space="preserve">      "Jira 7.13.5",</w:t>
      </w:r>
    </w:p>
    <w:p>
      <w:pPr/>
      <w:r>
        <w:rPr>
          <w:color w:val="334155"/>
          <w:sz w:val="16"/>
        </w:rPr>
        <w:t xml:space="preserve">      "Jira 8.0.3",</w:t>
      </w:r>
    </w:p>
    <w:p>
      <w:pPr/>
      <w:r>
        <w:rPr>
          <w:color w:val="334155"/>
          <w:sz w:val="16"/>
        </w:rPr>
        <w:t xml:space="preserve">      "Jira 8.1.2",</w:t>
      </w:r>
    </w:p>
    <w:p>
      <w:pPr/>
      <w:r>
        <w:rPr>
          <w:color w:val="334155"/>
          <w:sz w:val="16"/>
        </w:rPr>
        <w:t xml:space="preserve">      "Jira 8.2.3"</w:t>
      </w:r>
    </w:p>
    <w:p>
      <w:pPr/>
      <w:r>
        <w:rPr>
          <w:color w:val="334155"/>
          <w:sz w:val="16"/>
        </w:rPr>
        <w:t xml:space="preserve">    ],</w:t>
      </w:r>
    </w:p>
    <w:p>
      <w:pPr/>
      <w:r>
        <w:rPr>
          <w:color w:val="334155"/>
          <w:sz w:val="16"/>
        </w:rPr>
        <w:t xml:space="preserve">    "protection_measures": {</w:t>
      </w:r>
    </w:p>
    <w:p>
      <w:pPr/>
      <w:r>
        <w:rPr>
          <w:color w:val="334155"/>
          <w:sz w:val="16"/>
        </w:rPr>
        <w:t xml:space="preserve">      "official_update": {</w:t>
      </w:r>
    </w:p>
    <w:p>
      <w:pPr/>
      <w:r>
        <w:rPr>
          <w:color w:val="334155"/>
          <w:sz w:val="16"/>
        </w:rPr>
        <w:t xml:space="preserve">        "description": "Upgrade to the latest version that fixes the vulnerability.",</w:t>
      </w:r>
    </w:p>
    <w:p>
      <w:pPr/>
      <w:r>
        <w:rPr>
          <w:color w:val="334155"/>
          <w:sz w:val="16"/>
        </w:rPr>
        <w:t xml:space="preserve">        "download_links": {</w:t>
      </w:r>
    </w:p>
    <w:p>
      <w:pPr/>
      <w:r>
        <w:rPr>
          <w:color w:val="334155"/>
          <w:sz w:val="16"/>
        </w:rPr>
        <w:t xml:space="preserve">          "7.6.14": "https://marketplace.atlassian.com/download/apps/1213607/version/706014",</w:t>
      </w:r>
    </w:p>
    <w:p>
      <w:pPr/>
      <w:r>
        <w:rPr>
          <w:color w:val="334155"/>
          <w:sz w:val="16"/>
        </w:rPr>
        <w:t xml:space="preserve">          "7.13.5": "https://marketplace.atlassian.com/download/apps/1213607/version/713005",</w:t>
      </w:r>
    </w:p>
    <w:p>
      <w:pPr/>
      <w:r>
        <w:rPr>
          <w:color w:val="334155"/>
          <w:sz w:val="16"/>
        </w:rPr>
        <w:t xml:space="preserve">          "8.0.3": "https://marketplace.atlassian.com/download/apps/1213607/version/800003",</w:t>
      </w:r>
    </w:p>
    <w:p>
      <w:pPr/>
      <w:r>
        <w:rPr>
          <w:color w:val="334155"/>
          <w:sz w:val="16"/>
        </w:rPr>
        <w:t xml:space="preserve">          "8.1.2": "https://marketplace.atlassian.com/download/apps/1213607/version/801002",</w:t>
      </w:r>
    </w:p>
    <w:p>
      <w:pPr/>
      <w:r>
        <w:rPr>
          <w:color w:val="334155"/>
          <w:sz w:val="16"/>
        </w:rPr>
        <w:t xml:space="preserve">          "8.2.3": "https://marketplace.atlassian.com/download/apps/1213607/version/802003"</w:t>
      </w:r>
    </w:p>
    <w:p>
      <w:pPr/>
      <w:r>
        <w:rPr>
          <w:color w:val="334155"/>
          <w:sz w:val="16"/>
        </w:rPr>
        <w:t xml:space="preserve">        }</w:t>
      </w:r>
    </w:p>
    <w:p>
      <w:pPr/>
      <w:r>
        <w:rPr>
          <w:color w:val="334155"/>
          <w:sz w:val="16"/>
        </w:rPr>
        <w:t xml:space="preserve">      },</w:t>
      </w:r>
    </w:p>
    <w:p>
      <w:pPr/>
      <w:r>
        <w:rPr>
          <w:color w:val="334155"/>
          <w:sz w:val="16"/>
        </w:rPr>
        <w:t xml:space="preserve">      "temporary_protection": {</w:t>
      </w:r>
    </w:p>
    <w:p>
      <w:pPr/>
      <w:r>
        <w:rPr>
          <w:color w:val="334155"/>
          <w:sz w:val="16"/>
        </w:rPr>
        <w:t xml:space="preserve">        "description": "For users who cannot immediately upgrade, disable the 'Contact Administrator Form' feature and block access to the path '/secure/admin/SendBulkMail!default.jspa'.",</w:t>
      </w:r>
    </w:p>
    <w:p>
      <w:pPr/>
      <w:r>
        <w:rPr>
          <w:color w:val="334155"/>
          <w:sz w:val="16"/>
        </w:rPr>
        <w:t xml:space="preserve">        "steps": [</w:t>
      </w:r>
    </w:p>
    <w:p>
      <w:pPr/>
      <w:r>
        <w:rPr>
          <w:color w:val="334155"/>
          <w:sz w:val="16"/>
        </w:rPr>
        <w:t xml:space="preserve">          "Disable the 'Contact Administrator Form' feature: Click the icon, select System, then General Configuration, click Edit Settings, find and set 'Contact Administrator Form' to off.",</w:t>
      </w:r>
    </w:p>
    <w:p>
      <w:pPr/>
      <w:r>
        <w:rPr>
          <w:color w:val="334155"/>
          <w:sz w:val="16"/>
        </w:rPr>
        <w:t xml:space="preserve">          "After disabling the 'Contact Administrator Form' feature, block access to the path '/secure/admin/S</w:t>
      </w:r>
    </w:p>
    <w:p>
      <w:pPr/>
      <w:r>
        <w:rPr>
          <w:b/>
        </w:rPr>
        <w:t xml:space="preserve">微调后输出：</w:t>
      </w:r>
    </w:p>
    <w:p>
      <w:pPr/>
      <w:r>
        <w:rPr>
          <w:color w:val="334155"/>
          <w:sz w:val="16"/>
        </w:rPr>
        <w:t xml:space="preserve">{"防护措施":["禁用Contact Administrator Form功能","禁止对路径/secure/admin/SendBulkMail!default.jspa的访问"],"影响范围":{"受影响版本":["Jira 4.4.0","Jira 7.7.0","Jira 8.0.0","Jira 8.1.0","Jira 8.2.0"],"不受影响版本":["Jira 7.6.14","Jira 7.13.5","Jira 8.0.3","Jira 8.1.2","Jira 8.2.3"]},"漏洞名称":"Jira服务器模板注入漏洞","漏洞描述":"服务器配置了SMTP服务,并且开启了Contact Administrators Form功能; 服务器配置了SMTP服务,并且攻击者具有Jira管理员访问权限。","技术分析":"攻击者利用此漏洞可实现远程代码执行,官方已发布了最新版本修复了该漏洞,并提供了补丁下载链接。"}</w:t>
      </w:r>
    </w:p>
    <w:p>
      <w:pPr/>
      <w:r>
        <w:rPr>
          <w:b/>
          <w:color w:val="123B5D"/>
        </w:rPr>
        <w:t xml:space="preserve">评分分析：参考答案共 21 个叶子值。零样本虽然给出英文长 JSON，但包含未转义的嵌套引号，解析失败，P=R=F1=0；微调后输出 15 个叶子值、命中 13 个：P=0.867，R=0.619，F1=0.722。</w:t>
      </w:r>
    </w:p>
    <w:p>
      <w:pPr/>
      <w:r>
        <w:rPr/>
        <w:t xml:space="preserve">案例结论：微调后的输出格式可解析，并保留两项临时防护、受影响/不受影响版本与漏洞描述。主要损失来自未逐条列出官方补丁链接，说明该类任务仍需对 URL、版本和补丁字段做专项评测。</w:t>
      </w:r>
    </w:p>
    <w:p>
      <w:pPr>
        <w:pStyle w:val="Heading2"/>
      </w:pPr>
      <w:r>
        <w:rPr>
          <w:b/>
          <w:color w:val="2F80A8"/>
          <w:sz w:val="24"/>
        </w:rPr>
        <w:t xml:space="preserve">案例 3｜ID=25（恶意软件特征抽取 / AZORult）</w:t>
      </w:r>
    </w:p>
    <w:p>
      <w:pPr/>
      <w:r>
        <w:rPr>
          <w:b/>
        </w:rPr>
        <w:t xml:space="preserve">参考答案：</w:t>
      </w:r>
    </w:p>
    <w:p>
      <w:pPr/>
      <w:r>
        <w:rPr>
          <w:color w:val="334155"/>
          <w:sz w:val="16"/>
        </w:rPr>
        <w:t xml:space="preserve">{"传播方式":"通过LABEL MATRIX打印软件的破解激活工具","受影响地区":["上海","江苏","广东","湖北"],"受影响软件":"LABEL MATRIX打印软件","恶意软件名称":"AZORult","攻击手法":"水坑攻击"}</w:t>
      </w:r>
    </w:p>
    <w:p>
      <w:pPr/>
      <w:r>
        <w:rPr>
          <w:b/>
        </w:rPr>
        <w:t xml:space="preserve">零样本输出：</w:t>
      </w:r>
    </w:p>
    <w:p>
      <w:pPr/>
      <w:r>
        <w:rPr>
          <w:color w:val="334155"/>
          <w:sz w:val="16"/>
        </w:rPr>
        <w:t xml:space="preserve">```json</w:t>
      </w:r>
    </w:p>
    <w:p>
      <w:pPr/>
      <w:r>
        <w:rPr>
          <w:color w:val="334155"/>
          <w:sz w:val="16"/>
        </w:rPr>
        <w:t xml:space="preserve">{</w:t>
      </w:r>
    </w:p>
    <w:p>
      <w:pPr/>
      <w:r>
        <w:rPr>
          <w:color w:val="334155"/>
          <w:sz w:val="16"/>
        </w:rPr>
        <w:t xml:space="preserve">  "malware_features": {</w:t>
      </w:r>
    </w:p>
    <w:p>
      <w:pPr/>
      <w:r>
        <w:rPr>
          <w:color w:val="334155"/>
          <w:sz w:val="16"/>
        </w:rPr>
        <w:t xml:space="preserve">    "malware_name": "AZORult",</w:t>
      </w:r>
    </w:p>
    <w:p>
      <w:pPr/>
      <w:r>
        <w:rPr>
          <w:color w:val="334155"/>
          <w:sz w:val="16"/>
        </w:rPr>
        <w:t xml:space="preserve">    "propagation_method": "Through barcode printing software (LABEL MATRIX) activation tools",</w:t>
      </w:r>
    </w:p>
    <w:p>
      <w:pPr/>
      <w:r>
        <w:rPr>
          <w:color w:val="334155"/>
          <w:sz w:val="16"/>
        </w:rPr>
        <w:t xml:space="preserve">    "attack_method": "Typical "trap" attack",</w:t>
      </w:r>
    </w:p>
    <w:p>
      <w:pPr/>
      <w:r>
        <w:rPr>
          <w:color w:val="334155"/>
          <w:sz w:val="16"/>
        </w:rPr>
        <w:t xml:space="preserve">    "affected_software": "LABEL MATRIX printing software",</w:t>
      </w:r>
    </w:p>
    <w:p>
      <w:pPr/>
      <w:r>
        <w:rPr>
          <w:color w:val="334155"/>
          <w:sz w:val="16"/>
        </w:rPr>
        <w:t xml:space="preserve">    "affected_regions": ["Shanghai", "Jiangsu", "Guangdong", "Hubei"],</w:t>
      </w:r>
    </w:p>
    <w:p>
      <w:pPr/>
      <w:r>
        <w:rPr>
          <w:color w:val="334155"/>
          <w:sz w:val="16"/>
        </w:rPr>
        <w:t xml:space="preserve">    "affected_industries": ["Manufacturing", "Retail", "Merchants using QR code payment services"]</w:t>
      </w:r>
    </w:p>
    <w:p>
      <w:pPr/>
      <w:r>
        <w:rPr>
          <w:color w:val="334155"/>
          <w:sz w:val="16"/>
        </w:rPr>
        <w:t xml:space="preserve">  }</w:t>
      </w:r>
    </w:p>
    <w:p>
      <w:pPr/>
      <w:r>
        <w:rPr>
          <w:color w:val="334155"/>
          <w:sz w:val="16"/>
        </w:rPr>
        <w:t xml:space="preserve">}</w:t>
      </w:r>
    </w:p>
    <w:p>
      <w:pPr/>
      <w:r>
        <w:rPr>
          <w:color w:val="334155"/>
          <w:sz w:val="16"/>
        </w:rPr>
        <w:t xml:space="preserve">```</w:t>
      </w:r>
    </w:p>
    <w:p>
      <w:pPr/>
      <w:r>
        <w:rPr>
          <w:b/>
        </w:rPr>
        <w:t xml:space="preserve">微调后输出：</w:t>
      </w:r>
    </w:p>
    <w:p>
      <w:pPr/>
      <w:r>
        <w:rPr>
          <w:color w:val="334155"/>
          <w:sz w:val="16"/>
        </w:rPr>
        <w:t xml:space="preserve">{"受影响地区":["上海","江苏","广东","湖北"],"受影响软件":["LABEL MATRIX打印软件"],"传播方式":["条码打印软件(LABEL MATRIX)激活工具"],"攻击手法":["水坑攻击"]}</w:t>
      </w:r>
    </w:p>
    <w:p>
      <w:pPr/>
      <w:r>
        <w:rPr>
          <w:b/>
          <w:color w:val="123B5D"/>
        </w:rPr>
        <w:t xml:space="preserve">评分分析：参考答案共 8 个叶子值。零样本的 JSON 因 `Typical "trap" attack` 中未转义引号解析失败，P=R=F1=0；微调后输出 7 个叶子值、命中 6 个：P=0.857，R=0.750，F1=0.800。</w:t>
      </w:r>
    </w:p>
    <w:p>
      <w:pPr/>
      <w:r>
        <w:rPr/>
        <w:t xml:space="preserve">案例结论：零样本可读内容包含若干事实，却因格式错误无法进入结构化评测；微调后转为可解析中文 JSON，并准确抽取地区、软件、传播方式和水坑攻击。</w:t>
      </w:r>
    </w:p>
    <w:p>
      <w:pPr>
        <w:pStyle w:val="Heading2"/>
      </w:pPr>
      <w:r>
        <w:rPr>
          <w:b/>
          <w:color w:val="2F80A8"/>
          <w:sz w:val="24"/>
        </w:rPr>
        <w:t xml:space="preserve">案例 4｜ID=58（恶意软件特征抽取 / 多阶段 IOC）</w:t>
      </w:r>
    </w:p>
    <w:p>
      <w:pPr/>
      <w:r>
        <w:rPr>
          <w:b/>
        </w:rPr>
        <w:t xml:space="preserve">参考答案：</w:t>
      </w:r>
    </w:p>
    <w:p>
      <w:pPr/>
      <w:r>
        <w:rPr>
          <w:color w:val="334155"/>
          <w:sz w:val="16"/>
        </w:rPr>
        <w:t xml:space="preserve">{"Stage1":{"MD5":"5d5c99a08a7d927346ca2dafa7973fc1","SHA1":"189166d382c73c242ba45889d57980548d4ba37e","SHA256":"a196c6b8ffcb97ffb276d04f354696e2391311db3841ae16c8c9f56f36a38e92","文件名":"Stage1.exe","编译时间":"01-10-2022 10:37:18"},"Stage2":{"MD5":"14c8482f302b5e81e3fa1b18a509289d","SHA1":"16525cb2fd86dce842107eb1ba6174b23f188537","SHA256":"dcbbae5a1c61dbbbb7dcd6dc5dd1eb1169f5329958d38b58c3fd9384081c9b78","文件名":"Stage2.exe","编译时间":"01-10-2022 14:39:54"},"Stage3":{"MD5":"e61518ae9454a563b8f842286bbdb87b","SHA1":"82d29b52e35e7938e7ee610c04ea9daaf5e08e90","SHA256":"9ef7dbd3da51332a78eff19146d21c82957821e464e8133e9594a07d716d892d","文件名":"Frkmlkdkdubkznbkmcf.dll"}}</w:t>
      </w:r>
    </w:p>
    <w:p>
      <w:pPr/>
      <w:r>
        <w:rPr>
          <w:b/>
        </w:rPr>
        <w:t xml:space="preserve">零样本输出：</w:t>
      </w:r>
    </w:p>
    <w:p>
      <w:pPr/>
      <w:r>
        <w:rPr>
          <w:color w:val="334155"/>
          <w:sz w:val="16"/>
        </w:rPr>
        <w:t xml:space="preserve">```json</w:t>
      </w:r>
    </w:p>
    <w:p>
      <w:pPr/>
      <w:r>
        <w:rPr>
          <w:color w:val="334155"/>
          <w:sz w:val="16"/>
        </w:rPr>
        <w:t xml:space="preserve">{</w:t>
      </w:r>
    </w:p>
    <w:p>
      <w:pPr/>
      <w:r>
        <w:rPr>
          <w:color w:val="334155"/>
          <w:sz w:val="16"/>
        </w:rPr>
        <w:t xml:space="preserve">  "malware_features": [</w:t>
      </w:r>
    </w:p>
    <w:p>
      <w:pPr/>
      <w:r>
        <w:rPr>
          <w:color w:val="334155"/>
          <w:sz w:val="16"/>
        </w:rPr>
        <w:t xml:space="preserve">    {</w:t>
      </w:r>
    </w:p>
    <w:p>
      <w:pPr/>
      <w:r>
        <w:rPr>
          <w:color w:val="334155"/>
          <w:sz w:val="16"/>
        </w:rPr>
        <w:t xml:space="preserve">      "stage": 1,</w:t>
      </w:r>
    </w:p>
    <w:p>
      <w:pPr/>
      <w:r>
        <w:rPr>
          <w:color w:val="334155"/>
          <w:sz w:val="16"/>
        </w:rPr>
        <w:t xml:space="preserve">      "description": "覆盖 MBR 并销毁所有分区",</w:t>
      </w:r>
    </w:p>
    <w:p>
      <w:pPr/>
      <w:r>
        <w:rPr>
          <w:color w:val="334155"/>
          <w:sz w:val="16"/>
        </w:rPr>
        <w:t xml:space="preserve">      "files": [</w:t>
      </w:r>
    </w:p>
    <w:p>
      <w:pPr/>
      <w:r>
        <w:rPr>
          <w:color w:val="334155"/>
          <w:sz w:val="16"/>
        </w:rPr>
        <w:t xml:space="preserve">        {</w:t>
      </w:r>
    </w:p>
    <w:p>
      <w:pPr/>
      <w:r>
        <w:rPr>
          <w:color w:val="334155"/>
          <w:sz w:val="16"/>
        </w:rPr>
        <w:t xml:space="preserve">          "name": "Stage1.exe",</w:t>
      </w:r>
    </w:p>
    <w:p>
      <w:pPr/>
      <w:r>
        <w:rPr>
          <w:color w:val="334155"/>
          <w:sz w:val="16"/>
        </w:rPr>
        <w:t xml:space="preserve">          "compile_time": "01-10-2022 10:37:18",</w:t>
      </w:r>
    </w:p>
    <w:p>
      <w:pPr/>
      <w:r>
        <w:rPr>
          <w:color w:val="334155"/>
          <w:sz w:val="16"/>
        </w:rPr>
        <w:t xml:space="preserve">          "hashes": {</w:t>
      </w:r>
    </w:p>
    <w:p>
      <w:pPr/>
      <w:r>
        <w:rPr>
          <w:color w:val="334155"/>
          <w:sz w:val="16"/>
        </w:rPr>
        <w:t xml:space="preserve">            "SHA1": "189166d382c73c242ba45889d57980548d4ba37e",</w:t>
      </w:r>
    </w:p>
    <w:p>
      <w:pPr/>
      <w:r>
        <w:rPr>
          <w:color w:val="334155"/>
          <w:sz w:val="16"/>
        </w:rPr>
        <w:t xml:space="preserve">            "SHA256": "a196c6b8ffcb97ffb276d04f354696e2391311db3841ae16c8c9f56f36a38e92",</w:t>
      </w:r>
    </w:p>
    <w:p>
      <w:pPr/>
      <w:r>
        <w:rPr>
          <w:color w:val="334155"/>
          <w:sz w:val="16"/>
        </w:rPr>
        <w:t xml:space="preserve">            "MD5": "5d5c99a08a7d927346ca2dafa7973fc1"</w:t>
      </w:r>
    </w:p>
    <w:p>
      <w:pPr/>
      <w:r>
        <w:rPr>
          <w:color w:val="334155"/>
          <w:sz w:val="16"/>
        </w:rPr>
        <w:t xml:space="preserve">          }</w:t>
      </w:r>
    </w:p>
    <w:p>
      <w:pPr/>
      <w:r>
        <w:rPr>
          <w:color w:val="334155"/>
          <w:sz w:val="16"/>
        </w:rPr>
        <w:t xml:space="preserve">        }</w:t>
      </w:r>
    </w:p>
    <w:p>
      <w:pPr/>
      <w:r>
        <w:rPr>
          <w:color w:val="334155"/>
          <w:sz w:val="16"/>
        </w:rPr>
        <w:t xml:space="preserve">      ]</w:t>
      </w:r>
    </w:p>
    <w:p>
      <w:pPr/>
      <w:r>
        <w:rPr>
          <w:color w:val="334155"/>
          <w:sz w:val="16"/>
        </w:rPr>
        <w:t xml:space="preserve">    },</w:t>
      </w:r>
    </w:p>
    <w:p>
      <w:pPr/>
      <w:r>
        <w:rPr>
          <w:color w:val="334155"/>
          <w:sz w:val="16"/>
        </w:rPr>
        <w:t xml:space="preserve">    {</w:t>
      </w:r>
    </w:p>
    <w:p>
      <w:pPr/>
      <w:r>
        <w:rPr>
          <w:color w:val="334155"/>
          <w:sz w:val="16"/>
        </w:rPr>
        <w:t xml:space="preserve">      "stage": 2,</w:t>
      </w:r>
    </w:p>
    <w:p>
      <w:pPr/>
      <w:r>
        <w:rPr>
          <w:color w:val="334155"/>
          <w:sz w:val="16"/>
        </w:rPr>
        <w:t xml:space="preserve">      "description": "通过 discord 托管的 CDN 下载可发起第 3 阶段攻击的文件",</w:t>
      </w:r>
    </w:p>
    <w:p>
      <w:pPr/>
      <w:r>
        <w:rPr>
          <w:color w:val="334155"/>
          <w:sz w:val="16"/>
        </w:rPr>
        <w:t xml:space="preserve">      "files": [</w:t>
      </w:r>
    </w:p>
    <w:p>
      <w:pPr/>
      <w:r>
        <w:rPr>
          <w:color w:val="334155"/>
          <w:sz w:val="16"/>
        </w:rPr>
        <w:t xml:space="preserve">        {</w:t>
      </w:r>
    </w:p>
    <w:p>
      <w:pPr/>
      <w:r>
        <w:rPr>
          <w:color w:val="334155"/>
          <w:sz w:val="16"/>
        </w:rPr>
        <w:t xml:space="preserve">          "name": "Stage2.exe",</w:t>
      </w:r>
    </w:p>
    <w:p>
      <w:pPr/>
      <w:r>
        <w:rPr>
          <w:color w:val="334155"/>
          <w:sz w:val="16"/>
        </w:rPr>
        <w:t xml:space="preserve">          "initial_name": "Tbopbh.exe",</w:t>
      </w:r>
    </w:p>
    <w:p>
      <w:pPr/>
      <w:r>
        <w:rPr>
          <w:color w:val="334155"/>
          <w:sz w:val="16"/>
        </w:rPr>
        <w:t xml:space="preserve">          "compile_time": "01-10-2022 14:39:54",</w:t>
      </w:r>
    </w:p>
    <w:p>
      <w:pPr/>
      <w:r>
        <w:rPr>
          <w:color w:val="334155"/>
          <w:sz w:val="16"/>
        </w:rPr>
        <w:t xml:space="preserve">          "hashes": {</w:t>
      </w:r>
    </w:p>
    <w:p>
      <w:pPr/>
      <w:r>
        <w:rPr>
          <w:color w:val="334155"/>
          <w:sz w:val="16"/>
        </w:rPr>
        <w:t xml:space="preserve">            "SHA1": "16525cb2fd86dce842107eb1ba6174b23f188537",</w:t>
      </w:r>
    </w:p>
    <w:p>
      <w:pPr/>
      <w:r>
        <w:rPr>
          <w:color w:val="334155"/>
          <w:sz w:val="16"/>
        </w:rPr>
        <w:t xml:space="preserve">            "SHA256": "dcbbae5a1c61dbbbb7dcd6dc5dd1eb1169f5329958d38b58c3fd9384081c9b78",</w:t>
      </w:r>
    </w:p>
    <w:p>
      <w:pPr/>
      <w:r>
        <w:rPr>
          <w:color w:val="334155"/>
          <w:sz w:val="16"/>
        </w:rPr>
        <w:t xml:space="preserve">            "MD5": "14c8482f302b5e81e3fa1b18a509289d"</w:t>
      </w:r>
    </w:p>
    <w:p>
      <w:pPr/>
      <w:r>
        <w:rPr>
          <w:color w:val="334155"/>
          <w:sz w:val="16"/>
        </w:rPr>
        <w:t xml:space="preserve">          }</w:t>
      </w:r>
    </w:p>
    <w:p>
      <w:pPr/>
      <w:r>
        <w:rPr>
          <w:color w:val="334155"/>
          <w:sz w:val="16"/>
        </w:rPr>
        <w:t xml:space="preserve">        }</w:t>
      </w:r>
    </w:p>
    <w:p>
      <w:pPr/>
      <w:r>
        <w:rPr>
          <w:color w:val="334155"/>
          <w:sz w:val="16"/>
        </w:rPr>
        <w:t xml:space="preserve">      ]</w:t>
      </w:r>
    </w:p>
    <w:p>
      <w:pPr/>
      <w:r>
        <w:rPr>
          <w:color w:val="334155"/>
          <w:sz w:val="16"/>
        </w:rPr>
        <w:t xml:space="preserve">    },</w:t>
      </w:r>
    </w:p>
    <w:p>
      <w:pPr/>
      <w:r>
        <w:rPr>
          <w:color w:val="334155"/>
          <w:sz w:val="16"/>
        </w:rPr>
        <w:t xml:space="preserve">    {</w:t>
      </w:r>
    </w:p>
    <w:p>
      <w:pPr/>
      <w:r>
        <w:rPr>
          <w:color w:val="334155"/>
          <w:sz w:val="16"/>
        </w:rPr>
        <w:t xml:space="preserve">      "stage": 3,</w:t>
      </w:r>
    </w:p>
    <w:p>
      <w:pPr/>
      <w:r>
        <w:rPr>
          <w:color w:val="334155"/>
          <w:sz w:val="16"/>
        </w:rPr>
        <w:t xml:space="preserve">      "description": "执行文件擦除器",</w:t>
      </w:r>
    </w:p>
    <w:p>
      <w:pPr/>
      <w:r>
        <w:rPr>
          <w:color w:val="334155"/>
          <w:sz w:val="16"/>
        </w:rPr>
        <w:t xml:space="preserve">      "files": [</w:t>
      </w:r>
    </w:p>
    <w:p>
      <w:pPr/>
      <w:r>
        <w:rPr>
          <w:color w:val="334155"/>
          <w:sz w:val="16"/>
        </w:rPr>
        <w:t xml:space="preserve">        {</w:t>
      </w:r>
    </w:p>
    <w:p>
      <w:pPr/>
      <w:r>
        <w:rPr>
          <w:color w:val="334155"/>
          <w:sz w:val="16"/>
        </w:rPr>
        <w:t xml:space="preserve">          "name": "Frkmlkdkdubkznbkmcf.dll",</w:t>
      </w:r>
    </w:p>
    <w:p>
      <w:pPr/>
      <w:r>
        <w:rPr>
          <w:color w:val="334155"/>
          <w:sz w:val="16"/>
        </w:rPr>
        <w:t xml:space="preserve">          "hashes": {</w:t>
      </w:r>
    </w:p>
    <w:p>
      <w:pPr/>
      <w:r>
        <w:rPr>
          <w:color w:val="334155"/>
          <w:sz w:val="16"/>
        </w:rPr>
        <w:t xml:space="preserve">            "SHA1": "82d29b52e35e7938e7ee610c04ea9daaf5e08e90",</w:t>
      </w:r>
    </w:p>
    <w:p>
      <w:pPr/>
      <w:r>
        <w:rPr>
          <w:color w:val="334155"/>
          <w:sz w:val="16"/>
        </w:rPr>
        <w:t xml:space="preserve">            "SHA256": "9ef7dbd3da51332a78eff19146d21c82957821e464e8133e9594a07d716d892d",</w:t>
      </w:r>
    </w:p>
    <w:p>
      <w:pPr/>
      <w:r>
        <w:rPr>
          <w:color w:val="334155"/>
          <w:sz w:val="16"/>
        </w:rPr>
        <w:t xml:space="preserve">            "MD5": "</w:t>
      </w:r>
    </w:p>
    <w:p>
      <w:pPr/>
      <w:r>
        <w:rPr>
          <w:b/>
        </w:rPr>
        <w:t xml:space="preserve">微调后输出：</w:t>
      </w:r>
    </w:p>
    <w:p>
      <w:pPr/>
      <w:r>
        <w:rPr>
          <w:color w:val="334155"/>
          <w:sz w:val="16"/>
        </w:rPr>
        <w:t xml:space="preserve">{"恶意软件特征":{"恶意软件名称":["Stage1.exe","Stage2.exe","Frkmlkdkdubkznbkmcf.dll"],"编译时间":["01-10-2022 10:37:18","01-10-2022 14:39:54"],"SHA1":["189166d382c73c242ba45889d57980548d4ba37e","16525cb2fd86dce842107eb1ba6174b23f188537","82d29b52e35e7938e7ee610c04ea9daaf5e08e90"],"SHA256":["a196c6b8ffcb97ffb276d04f354696e2391311db3841ae16c8c9f56f36a38e92","dcbbae5a1c61dbbbb7dcd6dc5dd1eb1169f5329958d38b58c3fd9384081c9b78","9ef7dbd3da51332a78eff19146d21c82957821e464e8133e9594a07d716d892d"],"MD5":["5d5c99a08a7d927346ca2dafa7973fc1","14c8482f302b5e81e3fa1b18a509289d","e61518ae9454a563b8f842286bbdb87b"]}}</w:t>
      </w:r>
    </w:p>
    <w:p>
      <w:pPr/>
      <w:r>
        <w:rPr>
          <w:b/>
          <w:color w:val="123B5D"/>
        </w:rPr>
        <w:t xml:space="preserve">评分分析：参考答案和微调后回答各有 14 个叶子值，14 个全部一对一命中：P=R=F1=1.000。零样本回答在原始输出中同样含 IOC，但长 JSON 的后续内容并未形成可解析的完整对象，因此自动得分为 0。</w:t>
      </w:r>
    </w:p>
    <w:p>
      <w:pPr/>
      <w:r>
        <w:rPr/>
        <w:t xml:space="preserve">案例结论：对 IOC 密集样本，微调后选择了更扁平的中文字段，将文件名、编译时间以及 SHA1/SHA256/MD5 分别汇总，既减少嵌套，也保留全部参考实体。</w:t>
      </w:r>
    </w:p>
    <w:p>
      <w:pPr>
        <w:pStyle w:val="Heading2"/>
      </w:pPr>
      <w:r>
        <w:rPr>
          <w:b/>
          <w:color w:val="2F80A8"/>
          <w:sz w:val="24"/>
        </w:rPr>
        <w:t xml:space="preserve">案例 5｜ID=534（威胁分析 / MsSql 挖矿）</w:t>
      </w:r>
    </w:p>
    <w:p>
      <w:pPr/>
      <w:r>
        <w:rPr>
          <w:b/>
        </w:rPr>
        <w:t xml:space="preserve">参考答案：</w:t>
      </w:r>
    </w:p>
    <w:p>
      <w:pPr/>
      <w:r>
        <w:rPr>
          <w:color w:val="334155"/>
          <w:sz w:val="16"/>
        </w:rPr>
        <w:t xml:space="preserve">新型木马通过爆破手法攻击MsSql服务器，进而下载并植入挖矿病毒，使用服务器资源非法挖取门罗币。此外，木马能够在服务器内安装多个远程控制木马，实现对服务器的完全远程控制，使得企业关键服务器可能变成黑客进一步攻击的平台。这不仅影响服务器性能，还可能导致企业业务系统运行中断和机密数据泄露，对企业信息安全构成严重威胁。</w:t>
      </w:r>
    </w:p>
    <w:p>
      <w:pPr/>
      <w:r>
        <w:rPr>
          <w:b/>
        </w:rPr>
        <w:t xml:space="preserve">零样本输出：</w:t>
      </w:r>
    </w:p>
    <w:p>
      <w:pPr/>
      <w:r>
        <w:rPr>
          <w:color w:val="334155"/>
          <w:sz w:val="16"/>
        </w:rPr>
        <w:t xml:space="preserve">新型木马通过爆破攻击MsSql服务器的方式进行入侵，其主要攻击步骤包括扫描目标服务器、尝试爆破未加密或弱密码的MsSql实例，成功后下载并执行挖矿病毒。这种攻击方式利用了服务器资源进行非法挖矿活动，导致服务器性能下降，增加维护成本。此外，该木马还具有远程控制功能，能够在被攻陷的服务器上安装多个远程控制木马，实现对服务器的全面控制。</w:t>
      </w:r>
    </w:p>
    <w:p>
      <w:pPr/>
      <w:r>
        <w:rPr>
          <w:color w:val="334155"/>
          <w:sz w:val="16"/>
        </w:rPr>
        <w:t xml:space="preserve"/>
      </w:r>
    </w:p>
    <w:p>
      <w:pPr/>
      <w:r>
        <w:rPr>
          <w:color w:val="334155"/>
          <w:sz w:val="16"/>
        </w:rPr>
        <w:t xml:space="preserve">该木马的影响主要体现在以下几个方面：</w:t>
      </w:r>
    </w:p>
    <w:p>
      <w:pPr/>
      <w:r>
        <w:rPr>
          <w:color w:val="334155"/>
          <w:sz w:val="16"/>
        </w:rPr>
        <w:t xml:space="preserve">1. **资源浪费**：通过挖矿活动，木马会消耗大量的服务器资源，导致服务器性能下降，影响正常业务运行。</w:t>
      </w:r>
    </w:p>
    <w:p>
      <w:pPr/>
      <w:r>
        <w:rPr>
          <w:color w:val="334155"/>
          <w:sz w:val="16"/>
        </w:rPr>
        <w:t xml:space="preserve">2. **安全风险**：木马通过远程控制功能，可能会泄露企业机密数据，甚至被利用为黑客入侵其他内部网络系统的跳板。</w:t>
      </w:r>
    </w:p>
    <w:p>
      <w:pPr/>
      <w:r>
        <w:rPr>
          <w:color w:val="334155"/>
          <w:sz w:val="16"/>
        </w:rPr>
        <w:t xml:space="preserve">3. **业务中断**：由于木马的存在，服务器可能会频繁崩溃或运行不稳定，导致企业业务中断。</w:t>
      </w:r>
    </w:p>
    <w:p>
      <w:pPr/>
      <w:r>
        <w:rPr>
          <w:color w:val="334155"/>
          <w:sz w:val="16"/>
        </w:rPr>
        <w:t xml:space="preserve"/>
      </w:r>
    </w:p>
    <w:p>
      <w:pPr/>
      <w:r>
        <w:rPr>
          <w:color w:val="334155"/>
          <w:sz w:val="16"/>
        </w:rPr>
        <w:t xml:space="preserve">对企业服务器安全的潜在威胁包括：</w:t>
      </w:r>
    </w:p>
    <w:p>
      <w:pPr/>
      <w:r>
        <w:rPr>
          <w:color w:val="334155"/>
          <w:sz w:val="16"/>
        </w:rPr>
        <w:t xml:space="preserve">- **数据泄露**：远程控制木马可能会被黑客利用，导致企业机密数据泄露。</w:t>
      </w:r>
    </w:p>
    <w:p>
      <w:pPr/>
      <w:r>
        <w:rPr>
          <w:color w:val="334155"/>
          <w:sz w:val="16"/>
        </w:rPr>
        <w:t xml:space="preserve">- **业务损失**：由于服务器资源被挖矿软件占用，可能导致业务延迟或中断，造成直接的经济损失。</w:t>
      </w:r>
    </w:p>
    <w:p>
      <w:pPr/>
      <w:r>
        <w:rPr>
          <w:color w:val="334155"/>
          <w:sz w:val="16"/>
        </w:rPr>
        <w:t xml:space="preserve">- **声誉损害**：安全事件的发生可能会对企业的声誉造成损害，影响客户信任。</w:t>
      </w:r>
    </w:p>
    <w:p>
      <w:pPr/>
      <w:r>
        <w:rPr>
          <w:color w:val="334155"/>
          <w:sz w:val="16"/>
        </w:rPr>
        <w:t xml:space="preserve">- **法律风险**：如果企业未能及时发现并处理木马，可能会面临法律责任。</w:t>
      </w:r>
    </w:p>
    <w:p>
      <w:pPr/>
      <w:r>
        <w:rPr>
          <w:color w:val="334155"/>
          <w:sz w:val="16"/>
        </w:rPr>
        <w:t xml:space="preserve"/>
      </w:r>
    </w:p>
    <w:p>
      <w:pPr/>
      <w:r>
        <w:rPr>
          <w:color w:val="334155"/>
          <w:sz w:val="16"/>
        </w:rPr>
        <w:t xml:space="preserve">因此，企业需要加强对服务器的安全监控，定期更新安全软件，强化密码策略，及时发现并处理安全威胁，以防范新型木马的攻击。</w:t>
      </w:r>
    </w:p>
    <w:p>
      <w:pPr/>
      <w:r>
        <w:rPr>
          <w:b/>
        </w:rPr>
        <w:t xml:space="preserve">微调后输出：</w:t>
      </w:r>
    </w:p>
    <w:p>
      <w:pPr/>
      <w:r>
        <w:rPr>
          <w:color w:val="334155"/>
          <w:sz w:val="16"/>
        </w:rPr>
        <w:t xml:space="preserve">新型木马通过爆破攻击MsSql服务器，下载并植入挖矿病毒，利用服务器资源挖取门罗币。该木马还会在被攻陷的服务器内植入多个远程控制木马，实现对服务器的全盘远程控制。这种攻击方式不仅会导致服务器资源被挖矿软件利用，导致性能下降和额外的经济损失，还可能使企业关键服务器成为黑客深入攻击的跳板，增加企业业务系统运行和机密数据信息安全的风险。</w:t>
      </w:r>
    </w:p>
    <w:p>
      <w:pPr/>
      <w:r>
        <w:rPr>
          <w:b/>
          <w:color w:val="123B5D"/>
        </w:rPr>
        <w:t xml:space="preserve">评分分析：零样本输出扩展了扫描、弱口令、声誉和法律风险等参考外内容，Rouge-L=0.2876；微调后直接覆盖爆破 MsSql、植入挖矿病毒、门罗币、远控木马和业务风险，Rouge-L=0.6378。</w:t>
      </w:r>
    </w:p>
    <w:p>
      <w:pPr/>
      <w:r>
        <w:rPr/>
        <w:t xml:space="preserve">案例结论：微调显著压缩无关扩展，更贴近题目给定的攻击路径和影响。</w:t>
      </w:r>
    </w:p>
    <w:p>
      <w:pPr>
        <w:pStyle w:val="Heading2"/>
      </w:pPr>
      <w:r>
        <w:rPr>
          <w:b/>
          <w:color w:val="2F80A8"/>
          <w:sz w:val="24"/>
        </w:rPr>
        <w:t xml:space="preserve">案例 6｜ID=497（关联分析 / 双头龙与海莲花）</w:t>
      </w:r>
    </w:p>
    <w:p>
      <w:pPr/>
      <w:r>
        <w:rPr>
          <w:b/>
        </w:rPr>
        <w:t xml:space="preserve">参考答案：</w:t>
      </w:r>
    </w:p>
    <w:p>
      <w:pPr/>
      <w:r>
        <w:rPr>
          <w:color w:val="334155"/>
          <w:sz w:val="16"/>
        </w:rPr>
        <w:t xml:space="preserve">文本分析显示，双头龙与海莲花样本在C2会话建立函数、上线包构造、加/解密rotate函数和指令码等方面具有多个相似之处。这些相似性表明双头龙很可能是海莲花的Linux版本，或者至少表明两者之间存在技术上的直接借鉴关系。这一发现对于理解攻击组织的工具发展演变和制定相应的网络防御策略具有重要意义。</w:t>
      </w:r>
    </w:p>
    <w:p>
      <w:pPr/>
      <w:r>
        <w:rPr>
          <w:b/>
        </w:rPr>
        <w:t xml:space="preserve">零样本输出：</w:t>
      </w:r>
    </w:p>
    <w:p>
      <w:pPr/>
      <w:r>
        <w:rPr>
          <w:color w:val="334155"/>
          <w:sz w:val="16"/>
        </w:rPr>
        <w:t xml:space="preserve">双头龙和海莲花样本之间存在显著的相似性，主要体现在以下几个方面：</w:t>
      </w:r>
    </w:p>
    <w:p>
      <w:pPr/>
      <w:r>
        <w:rPr>
          <w:color w:val="334155"/>
          <w:sz w:val="16"/>
        </w:rPr>
        <w:t xml:space="preserve"/>
      </w:r>
    </w:p>
    <w:p>
      <w:pPr/>
      <w:r>
        <w:rPr>
          <w:color w:val="334155"/>
          <w:sz w:val="16"/>
        </w:rPr>
        <w:t xml:space="preserve">1. **C2会话建立函数**：双头龙和海莲花样本都使用了类似的C2会话建立函数，这表明它们可能来自同一开发者或同一团队，使用了相似的通信协议。</w:t>
      </w:r>
    </w:p>
    <w:p>
      <w:pPr/>
      <w:r>
        <w:rPr>
          <w:color w:val="334155"/>
          <w:sz w:val="16"/>
        </w:rPr>
        <w:t xml:space="preserve"/>
      </w:r>
    </w:p>
    <w:p>
      <w:pPr/>
      <w:r>
        <w:rPr>
          <w:color w:val="334155"/>
          <w:sz w:val="16"/>
        </w:rPr>
        <w:t xml:space="preserve">2. **上线包构造手法**：两者在构造上线包时采用的方法非常相似，这可能意味着它们使用了相同的工具或框架来打包恶意代码。</w:t>
      </w:r>
    </w:p>
    <w:p>
      <w:pPr/>
      <w:r>
        <w:rPr>
          <w:color w:val="334155"/>
          <w:sz w:val="16"/>
        </w:rPr>
        <w:t xml:space="preserve"/>
      </w:r>
    </w:p>
    <w:p>
      <w:pPr/>
      <w:r>
        <w:rPr>
          <w:color w:val="334155"/>
          <w:sz w:val="16"/>
        </w:rPr>
        <w:t xml:space="preserve">3. **rotate函数**：双头龙和海莲花样本都包含了rotate函数，用于加密和解密数据。这一函数的存在和相似性进一步证实了它们之间的关联。</w:t>
      </w:r>
    </w:p>
    <w:p>
      <w:pPr/>
      <w:r>
        <w:rPr>
          <w:color w:val="334155"/>
          <w:sz w:val="16"/>
        </w:rPr>
        <w:t xml:space="preserve"/>
      </w:r>
    </w:p>
    <w:p>
      <w:pPr/>
      <w:r>
        <w:rPr>
          <w:color w:val="334155"/>
          <w:sz w:val="16"/>
        </w:rPr>
        <w:t xml:space="preserve">4. **相同的指令码**：指令码的相似性表明了它们可能使用了相同的命令和控制(C&amp;C)服务器，或者是同一套指令集。</w:t>
      </w:r>
    </w:p>
    <w:p>
      <w:pPr/>
      <w:r>
        <w:rPr>
          <w:color w:val="334155"/>
          <w:sz w:val="16"/>
        </w:rPr>
        <w:t xml:space="preserve"/>
      </w:r>
    </w:p>
    <w:p>
      <w:pPr/>
      <w:r>
        <w:rPr>
          <w:color w:val="334155"/>
          <w:sz w:val="16"/>
        </w:rPr>
        <w:t xml:space="preserve">基于这些相似性，我们可以推测双头龙可能是海莲花在Linux平台上的版本。这种推测基于它们共享的技术特征和构造方法，暗示它们可能由同一团队或开发者编写，用于不同操作系统的攻击。这种跨平台的恶意软件开发模式有助于扩大攻击面，提高攻击的成功率。</w:t>
      </w:r>
    </w:p>
    <w:p>
      <w:pPr/>
      <w:r>
        <w:rPr>
          <w:b/>
        </w:rPr>
        <w:t xml:space="preserve">微调后输出：</w:t>
      </w:r>
    </w:p>
    <w:p>
      <w:pPr/>
      <w:r>
        <w:rPr>
          <w:color w:val="334155"/>
          <w:sz w:val="16"/>
        </w:rPr>
        <w:t xml:space="preserve">双头龙和海莲花样本在C2会话建立、上线包构造、加/解密函数以及指令码上存在明显的相似性。考虑到这些相似性，推测双头龙可能是海莲花的Linux版本，表明它们之间存在一定的技术和设计上的关联。</w:t>
      </w:r>
    </w:p>
    <w:p>
      <w:pPr/>
      <w:r>
        <w:rPr>
          <w:b/>
          <w:color w:val="123B5D"/>
        </w:rPr>
        <w:t xml:space="preserve">评分分析：零样本按证据逐项展开并加入“同一开发者/同一团队”等额外推断，Rouge-L=0.2517；微调后保留 C2 会话、上线包、加解密函数、指令码及“可能是 Linux 版本”的谨慎结论，Rouge-L=0.5726。</w:t>
      </w:r>
    </w:p>
    <w:p>
      <w:pPr/>
      <w:r>
        <w:rPr/>
        <w:t xml:space="preserve">案例结论：微调后回答更短、证据链更集中；但归因仍只是“推测”，不应将自动指标提升误读为归因确定性。</w:t>
      </w:r>
    </w:p>
    <w:p>
      <w:pPr>
        <w:pStyle w:val="Heading1"/>
      </w:pPr>
      <w:r>
        <w:rPr>
          <w:b/>
          <w:color w:val="123B5D"/>
          <w:sz w:val="28"/>
        </w:rPr>
        <w:t xml:space="preserve">6. 结论与限制</w:t>
      </w:r>
    </w:p>
    <w:p>
      <w:pPr/>
      <w:r>
        <w:rPr/>
        <w:t xml:space="preserve">在本次 SEVENLLM 官方测试集上，30K 样本、1 epoch 的 QLoRA 微调相对 Foundation-Sec-8B-Instruct 零样本基线取得一致提升：结构化抽取、JSON 合法率、生成词面重合与语义相似度均改善。下一步应补充真实业务告警/日志的独立测试、字段级人工盲评与安全专家审阅，验证是否能迁移到生产场景。</w:t>
      </w:r>
    </w:p>
    <w:sectPr>
      <w:pgSz w:w="11906" w:h="16838"/>
      <w:pgMar w:top="1440" w:right="1440" w:bottom="1440" w:left="1440"/>
    </w:sectPr>
  </w:body>
</w:document>
</file>

<file path=word/styles.xml><?xml version="1.0" encoding="utf-8"?>
<w:styles xmlns:w="http://schemas.openxmlformats.org/wordprocessingml/2006/main">
  <w:docDefaults>
    <w:rPrDefault>
      <w:rPr>
        <w:rFonts w:ascii="Arial" w:hAnsi="Arial" w:eastAsia="Microsoft YaHei"/>
        <w:sz w:val="21"/>
      </w:rPr>
    </w:rPrDefault>
  </w:docDefaults>
  <w:style w:type="paragraph" w:styleId="Title">
    <w:name w:val="Title"/>
    <w:pPr>
      <w:spacing w:after="240"/>
    </w:pPr>
  </w:style>
  <w:style w:type="paragraph" w:styleId="Heading1">
    <w:name w:val="Heading 1"/>
    <w:pPr>
      <w:spacing w:before="360" w:after="120"/>
    </w:pPr>
  </w:style>
  <w:style w:type="paragraph" w:styleId="Heading2">
    <w:name w:val="Heading 2"/>
    <w:pPr>
      <w:spacing w:before="240" w:after="80"/>
    </w:pPr>
  </w:style>
</w:styles>
</file>

<file path=word/_rels/document.xml.rels><?xml version="1.0" encoding="UTF-8"?><Relationships xmlns="http://schemas.openxmlformats.org/package/2006/relationships"><Relationship Id="rId1" Type="http://schemas.openxmlformats.org/officeDocument/2006/relationships/styles" Target="styles.xml"/></Relationships>
</file>