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Calculation</w:t>
      </w:r>
      <w:r>
        <w:t xml:space="preserve"> </w:t>
      </w:r>
      <w:r>
        <w:t xml:space="preserve">Formulas</w:t>
      </w:r>
      <w:r>
        <w:t xml:space="preserve"> </w:t>
      </w:r>
      <w:r>
        <w:t xml:space="preserve">—</w:t>
      </w:r>
      <w:r>
        <w:t xml:space="preserve"> </w:t>
      </w:r>
      <w:r>
        <w:t xml:space="preserve">v2</w:t>
      </w:r>
    </w:p>
    <w:p>
      <w:pPr>
        <w:pStyle w:val="Subtitle"/>
      </w:pPr>
      <w:r>
        <w:t xml:space="preserve">WS2+-class</w:t>
      </w:r>
      <w:r>
        <w:t xml:space="preserve"> </w:t>
      </w:r>
      <w:r>
        <w:t xml:space="preserve">geometry</w:t>
      </w:r>
      <w:r>
        <w:t xml:space="preserve"> </w:t>
      </w:r>
      <w:r>
        <w:t xml:space="preserve">analysis</w:t>
      </w:r>
      <w:r>
        <w:t xml:space="preserve"> </w:t>
      </w:r>
      <w:r>
        <w:t xml:space="preserve">·</w:t>
      </w:r>
      <w:r>
        <w:t xml:space="preserve"> </w:t>
      </w:r>
      <w:r>
        <w:t xml:space="preserve">engine</w:t>
      </w:r>
      <w:r>
        <w:t xml:space="preserve"> </w:t>
      </w:r>
      <w:r>
        <w:t xml:space="preserve">0.7.0</w:t>
      </w:r>
      <w:r>
        <w:t xml:space="preserve"> </w:t>
      </w:r>
      <w:r>
        <w:t xml:space="preserve">·</w:t>
      </w:r>
      <w:r>
        <w:t xml:space="preserve"> </w:t>
      </w:r>
      <w:r>
        <w:t xml:space="preserve">project</w:t>
      </w:r>
      <w:r>
        <w:t xml:space="preserve"> </w:t>
      </w:r>
      <w:r>
        <w:t xml:space="preserve">document</w:t>
      </w:r>
      <w:r>
        <w:t xml:space="preserve"> </w:t>
      </w:r>
      <w:r>
        <w:t xml:space="preserve">v1.6</w:t>
      </w:r>
      <w:r>
        <w:t xml:space="preserve"> </w:t>
      </w:r>
      <w:r>
        <w:t xml:space="preserve">§11</w:t>
      </w:r>
      <w:r>
        <w:t xml:space="preserve"> </w:t>
      </w:r>
      <w:r>
        <w:t xml:space="preserve">/</w:t>
      </w:r>
      <w:r>
        <w:t xml:space="preserve"> </w:t>
      </w:r>
      <w:r>
        <w:t xml:space="preserve">§13</w:t>
      </w:r>
      <w:r>
        <w:t xml:space="preserve"> </w:t>
      </w:r>
      <w:r>
        <w:t xml:space="preserve">·</w:t>
      </w:r>
      <w:r>
        <w:t xml:space="preserve"> </w:t>
      </w:r>
      <w:r>
        <w:t xml:space="preserve">2026-10-13</w:t>
      </w:r>
    </w:p>
    <w:p>
      <w:pPr>
        <w:pStyle w:val="FirstParagraph"/>
      </w:pPr>
      <w:r>
        <w:t xml:space="preserve">Changes from v1 are listed in section 10. Results in nm are µm × 1000. Frequencies in cycles/mm.</w:t>
      </w:r>
    </w:p>
    <w:bookmarkStart w:id="20" w:name="inputs-and-frame"/>
    <w:p>
      <w:pPr>
        <w:pStyle w:val="Heading2"/>
      </w:pPr>
      <w:r>
        <w:t xml:space="preserve">1. Inputs and frame</w:t>
      </w:r>
    </w:p>
    <w:p>
      <w:pPr>
        <w:numPr>
          <w:ilvl w:val="0"/>
          <w:numId w:val="1001"/>
        </w:numPr>
        <w:pStyle w:val="Compact"/>
      </w:pPr>
      <w:r>
        <w:t xml:space="preserve">Maps: F = front surface, T = thickness, in µm, on a grid of pitch Δ (0.5 mm global geometry, 0.2 mm nanotopography).</w:t>
      </w:r>
    </w:p>
    <w:p>
      <w:pPr>
        <w:numPr>
          <w:ilvl w:val="0"/>
          <w:numId w:val="1001"/>
        </w:numPr>
        <w:pStyle w:val="Compact"/>
      </w:pPr>
      <w:r>
        <w:t xml:space="preserve">Centre: circle fit to the outer boundary of the measured disc (holes filled first; radius corrected by Δ/2 because boundary pixel centres lie half a pixel inside the edge). Pixel centre x = Δ/2 + Δ·j − x_c (same for y). For the project-team export the fitted centre is (149, 149) mm in the file frame. R = √(x² + y²), θ = atan2(y, x).</w:t>
      </w:r>
    </w:p>
    <w:p>
      <w:pPr>
        <w:numPr>
          <w:ilvl w:val="0"/>
          <w:numId w:val="1001"/>
        </w:numPr>
        <w:pStyle w:val="Compact"/>
      </w:pPr>
      <w:r>
        <w:t xml:space="preserve">Sign: +z out of the front surface. Median surface M = F − T/2 = (z_front + z_back)/2. Back surface z_b = F − T.</w:t>
      </w:r>
    </w:p>
    <w:p>
      <w:pPr>
        <w:numPr>
          <w:ilvl w:val="0"/>
          <w:numId w:val="1001"/>
        </w:numPr>
        <w:pStyle w:val="Compact"/>
      </w:pPr>
      <w:r>
        <w:t xml:space="preserve">Evaluation area (FQA): pixel centres with R ≤ 150 − EE. EE is taken from the recipe (2 or 3 mm; SQMM fixed at 3 mm).</w:t>
      </w:r>
    </w:p>
    <w:p>
      <w:pPr>
        <w:numPr>
          <w:ilvl w:val="0"/>
          <w:numId w:val="1001"/>
        </w:numPr>
        <w:pStyle w:val="Compact"/>
      </w:pPr>
      <w:r>
        <w:t xml:space="preserve">LS(z): least-squares plane c₀ + c₁x + c₂y fitted over the stated area.</w:t>
      </w:r>
    </w:p>
    <w:p>
      <w:pPr>
        <w:numPr>
          <w:ilvl w:val="0"/>
          <w:numId w:val="1001"/>
        </w:numPr>
        <w:pStyle w:val="Compact"/>
      </w:pPr>
      <w:r>
        <w:t xml:space="preserve">Centre value C(z): mean of z over valid pixels with R &lt; 1 mm (pixels exactly on R = 1 mm excluded). If fewer than half of the pixels inside 1 mm are valid, C is not reported. On grids with no pixel inside 1 mm, C is the mean of the nearest valid pixels.</w:t>
      </w:r>
    </w:p>
    <w:bookmarkEnd w:id="20"/>
    <w:bookmarkStart w:id="21" w:name="thickness-and-global-flatness"/>
    <w:p>
      <w:pPr>
        <w:pStyle w:val="Heading2"/>
      </w:pPr>
      <w:r>
        <w:t xml:space="preserve">2. Thickness and global flatness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THKMean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mean(T) over the FQA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THKCTR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max(T) − min(T) over the FQA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max(r) − min(r), r = T − LS(T) over the FQA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at max |r|, sign kept</w:t>
            </w:r>
          </w:p>
        </w:tc>
      </w:tr>
    </w:tbl>
    <w:bookmarkEnd w:id="21"/>
    <w:bookmarkStart w:id="22" w:name="shape"/>
    <w:p>
      <w:pPr>
        <w:pStyle w:val="Heading2"/>
      </w:pPr>
      <w:r>
        <w:t xml:space="preserve">3. Shape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Warp-BF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max(m′) − min(m′), m′ = M − LS(M) over the FQA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Bow-BF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C(m′)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Warp-3P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range(M − P₃) over the FQA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Bow-3P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C(M − P₃)</w:t>
            </w:r>
          </w:p>
        </w:tc>
      </w:tr>
    </w:tbl>
    <w:p>
      <w:pPr>
        <w:pStyle w:val="BodyText"/>
      </w:pPr>
      <w:r>
        <w:t xml:space="preserve">P₃ = plane through the valid pixels nearest R = 150 − EE at θ = 90°, 210°, 330°.</w:t>
      </w:r>
    </w:p>
    <w:p>
      <w:pPr>
        <w:pStyle w:val="BodyText"/>
      </w:pPr>
      <w:r>
        <w:t xml:space="preserve">Sign: Bow is positive when the centre of the median surface lies above the reference plane (front side up).</w:t>
      </w:r>
    </w:p>
    <w:bookmarkEnd w:id="22"/>
    <w:bookmarkStart w:id="23" w:name="site-flatness-26-8-mm"/>
    <w:p>
      <w:pPr>
        <w:pStyle w:val="Heading2"/>
      </w:pPr>
      <w:r>
        <w:t xml:space="preserve">4. Site flatness (26 × 8 mm)</w:t>
      </w:r>
    </w:p>
    <w:p>
      <w:pPr>
        <w:numPr>
          <w:ilvl w:val="0"/>
          <w:numId w:val="1002"/>
        </w:numPr>
        <w:pStyle w:val="Compact"/>
      </w:pPr>
      <w:r>
        <w:t xml:space="preserve">Site box: [x_a, x_a + 26) × [y_a, y_a + 8) mm. Grid origin is a recipe parameter (site corner at the origin, or sites centred on the origin) until the WS2+ origin is confirmed.</w:t>
      </w:r>
    </w:p>
    <w:p>
      <w:pPr>
        <w:numPr>
          <w:ilvl w:val="0"/>
          <w:numId w:val="1002"/>
        </w:numPr>
        <w:pStyle w:val="Compact"/>
      </w:pPr>
      <w:r>
        <w:t xml:space="preserve">Site selection: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 </w:t>
      </w:r>
      <w:r>
        <w:t xml:space="preserve">= all four corners inside R ≤ 150 − EE;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 </w:t>
      </w:r>
      <w:r>
        <w:t xml:space="preserve">= FQA pixels ≥ 50 % of the full box area (Δ-pixel count of the 26 × 8 mm box, including any part outside the map).</w:t>
      </w:r>
    </w:p>
    <w:p>
      <w:pPr>
        <w:numPr>
          <w:ilvl w:val="0"/>
          <w:numId w:val="1002"/>
        </w:numPr>
        <w:pStyle w:val="Compact"/>
      </w:pPr>
      <w:r>
        <w:t xml:space="preserve">Within each site s (FQA pixels only):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range(T − LS_s(T)), plane fitted within the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range(T − LS_FQA(T)), global plane</w:t>
            </w:r>
          </w:p>
        </w:tc>
      </w:tr>
    </w:tbl>
    <w:p>
      <w:pPr>
        <w:pStyle w:val="BodyText"/>
      </w:pPr>
      <w:r>
        <w:t xml:space="preserve">Reported as maximum and mean over sites, with the per-site list.</w:t>
      </w:r>
    </w:p>
    <w:bookmarkEnd w:id="23"/>
    <w:bookmarkStart w:id="24" w:name="edge-sectors"/>
    <w:p>
      <w:pPr>
        <w:pStyle w:val="Heading2"/>
      </w:pPr>
      <w:r>
        <w:t xml:space="preserve">5. Edge sectors</w:t>
      </w:r>
    </w:p>
    <w:p>
      <w:pPr>
        <w:numPr>
          <w:ilvl w:val="0"/>
          <w:numId w:val="1003"/>
        </w:numPr>
        <w:pStyle w:val="Compact"/>
      </w:pPr>
      <w:r>
        <w:t xml:space="preserve">72 sectors × 5°, starting at 0°; radial band R ∈ [R_f − L, R_f], R_f = 150 − EE, L = 30 or 35 mm. Sectors with fewer than 3 pixels are not evaluated.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range(T) in each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ESFQR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range(T − LS_sector(T))</w:t>
            </w:r>
          </w:p>
        </w:tc>
      </w:tr>
    </w:tbl>
    <w:p>
      <w:pPr>
        <w:pStyle w:val="BodyText"/>
      </w:pPr>
      <w:r>
        <w:t xml:space="preserve">Reported as maximum and mean over sectors, with the per-sector list.</w:t>
      </w:r>
    </w:p>
    <w:bookmarkEnd w:id="24"/>
    <w:bookmarkStart w:id="25" w:name="Xf5e62db6b90b4844f25ff50c6dcaa08e0a258eb"/>
    <w:p>
      <w:pPr>
        <w:pStyle w:val="Heading2"/>
      </w:pPr>
      <w:r>
        <w:t xml:space="preserve">6. Diagnostic tests (analysis only — not reported metrics)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Clipped pixels:</w:t>
      </w:r>
      <w:r>
        <w:t xml:space="preserve"> </w:t>
      </w:r>
      <w:r>
        <w:t xml:space="preserve">pixels pinned at the map’s global maximum or minimum that lie more than 3 pixels inside the measured disc. (A smooth tilted map reaches its extreme on the boundary; a plateau inside the disc means the export clipped the data.) Range metrics of a clipped map are lower bounds.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Texture smoothing:</w:t>
      </w:r>
      <w:r>
        <w:t xml:space="preserve"> </w:t>
      </w:r>
      <w:r>
        <w:t xml:space="preserve">T_σ = (g_σ ∗ (T·v)) / (g_σ ∗ v), g_σ Gaussian with σ = 0.5, 1, 2 mm, v = valid-pixel mask. SFQR, SBIR, ESFQR recomputed on T_σ.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Shape decomposition:</w:t>
      </w:r>
      <w:r>
        <w:t xml:space="preserve"> </w:t>
      </w:r>
      <w:r>
        <w:t xml:space="preserve">fit M = c₀ + c₁x + c₂y + c₃·r̂² + c₄·(x² − y²)/148² + c₅·2xy/148², r̂ = R/148. c₃ = bowl term; c₄, c₅ = saddle terms.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Missing-bowl test:</w:t>
      </w:r>
      <w:r>
        <w:t xml:space="preserve"> </w:t>
      </w:r>
      <w:r>
        <w:t xml:space="preserve">M_A = M + A·(R/148)², A raised until Bow-BF matches WS2+ (A = 2.25 µm on the reference wafer); Warp-BF, Bow-3P, Warp-3P then recomputed.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Texture spectrum:</w:t>
      </w:r>
      <w:r>
        <w:t xml:space="preserve"> </w:t>
      </w:r>
      <w:r>
        <w:t xml:space="preserve">z = T minus a 6-term quadratic fit within R ≤ 147 mm; W = 2-D Hann × mask; P(k) = |FFT₂(z·W)|² · Δ² / ΣW². Band rms = √(Σ_band P · Δk²), Δk = 1/(N·Δ). Directionality = share of power at k &gt; 0.3 cycles/mm within ±10° of the strongest direction.</w:t>
      </w:r>
    </w:p>
    <w:bookmarkEnd w:id="25"/>
    <w:bookmarkStart w:id="26" w:name="nanotopography-gaussian-and-sqmm-recipes"/>
    <w:p>
      <w:pPr>
        <w:pStyle w:val="Heading2"/>
      </w:pPr>
      <w:r>
        <w:t xml:space="preserve">7. Nanotopography — Gaussian and SQMM recipes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Edge-safe Gaussian:</w:t>
      </w:r>
      <w:r>
        <w:t xml:space="preserve"> </w:t>
      </w:r>
      <w:r>
        <w:t xml:space="preserve">G_σ(z) = (g_σ ∗ (z·v)) / (g_σ ∗ v), kernel truncated at 3σ.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Double-Gaussian high-pass:</w:t>
      </w:r>
      <w:r>
        <w:t xml:space="preserve"> </w:t>
      </w:r>
      <w:r>
        <w:t xml:space="preserve">HP_λ(z) = (1 − G_σ)² z, with σ = λ·√(1.228 / 2π²) ≈ 0.2495·λ, which gives 50 % transmission at wavelength λ: (1 − e^(−2π²σ²/λ²))² = 0.5. In the interior (kernel entirely on the wafer) it cancels planes and quadratic curvature exactly; near the edge the normalised Gaussian is only approximately so. Transmission values quoted are for the ideal (untruncated) Gaussian; the 3σ truncation passes about 2–4 % less at 1.5–3 × the cutoff wavelength.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Shrinking filter:</w:t>
      </w:r>
      <w:r>
        <w:t xml:space="preserve"> </w:t>
      </w:r>
      <w:r>
        <w:t xml:space="preserve">d = distance to the outer edge of the evaluation area, after filling holes such as pixel dropouts (Euclidean distance transform). Local cutoff λ(d) = clip(d / (3·√2·0.2495), λ_edge, λ_centre), keeping ±3σ of the combined kernel (σ√2) on the wafer; default 20 → 1 mm. z_NT computed at 11 cutoffs (recipe</w:t>
      </w:r>
      <w:r>
        <w:t xml:space="preserve"> </w:t>
      </w:r>
      <w:r>
        <w:rPr>
          <w:rStyle w:val="VerbatimChar"/>
        </w:rPr>
        <w:t xml:space="preserve">filter.levels</w:t>
      </w:r>
      <w:r>
        <w:t xml:space="preserve">) spaced geometrically from λ_edge to λ_centre and interpolated linearly at λ(d). Constant filter when λ_edge = λ_centre.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Window PV:</w:t>
      </w:r>
      <w:r>
        <w:t xml:space="preserve"> </w:t>
      </w:r>
      <w:r>
        <w:t xml:space="preserve">window of size L: square (side L; SQMM 0.5, 2, 10 mm) or circle (diameter L; Gaussian recipes, e.g. 2 and 10 mm). k = round(L/Δ) pixels, forced odd (a 2 mm window at 0.2 mm is 11 pixels, spanning 2.0 mm centre to centre). Windows smaller than 2 pixels are not evaluated. PV(x, y) = max − min of z_NT within the window.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Partial windows:</w:t>
      </w:r>
      <w:r>
        <w:t xml:space="preserve"> </w:t>
      </w:r>
      <w:r>
        <w:t xml:space="preserve">off — only windows whose whole footprint lies inside the FQA (R ≤ 147 mm for EE 3 mm) are kept.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THA:</w:t>
      </w:r>
      <w:r>
        <w:t xml:space="preserve"> </w:t>
      </w:r>
      <w:r>
        <w:t xml:space="preserve">THA_P = (100 − P)th percentile of PV over all kept window centres; P = 0.05 % of area → 99.95th percentile. P0 = max(PV). Confirmed: P0.05 means 0.05 % of area (not 5 %), from the WS2+ P0.05/P0 ratios; partial windows change THA by ≤ 1 % front and ≤ 7 % back.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SQA:</w:t>
      </w:r>
      <w:r>
        <w:t xml:space="preserve"> </w:t>
      </w:r>
      <w:r>
        <w:t xml:space="preserve">percent of window centres with PV above the recipe’s Max Failed threshold.</w:t>
      </w:r>
      <w:r>
        <w:t xml:space="preserve"> </w:t>
      </w:r>
      <w:r>
        <w:rPr>
          <w:bCs/>
          <w:b/>
        </w:rPr>
        <w:t xml:space="preserve">Avalanche curve:</w:t>
      </w:r>
      <w:r>
        <w:t xml:space="preserve"> </w:t>
      </w:r>
      <w:r>
        <w:t xml:space="preserve">% of area with PV above each threshold.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Diagnostic clean-up (analysis only, not part of THA):</w:t>
      </w:r>
      <w:r>
        <w:t xml:space="preserve"> </w:t>
      </w:r>
      <w:r>
        <w:t xml:space="preserve">despike — if |z − median₅ₓ₅(z)| &gt; 6 nm, replace the pixel with the median; de-grid — z_NT − c(x) − r(y), c and r the column and row means of z_NT over the FQA, each minus its own 15-pixel (3 mm) moving average.</w:t>
      </w:r>
    </w:p>
    <w:bookmarkEnd w:id="26"/>
    <w:bookmarkStart w:id="27" w:name="fringe-height-step-diagnostic"/>
    <w:p>
      <w:pPr>
        <w:pStyle w:val="Heading2"/>
      </w:pPr>
      <w:r>
        <w:t xml:space="preserve">8. Fringe height step (diagnostic)</w:t>
      </w:r>
    </w:p>
    <w:p>
      <w:pPr>
        <w:numPr>
          <w:ilvl w:val="0"/>
          <w:numId w:val="1006"/>
        </w:numPr>
        <w:pStyle w:val="Compact"/>
      </w:pPr>
      <w:r>
        <w:t xml:space="preserve">12.8 mm patches of the surface h (front F or back z_b) and of its z_NT.</w:t>
      </w:r>
    </w:p>
    <w:p>
      <w:pPr>
        <w:numPr>
          <w:ilvl w:val="0"/>
          <w:numId w:val="1006"/>
        </w:numPr>
        <w:pStyle w:val="Compact"/>
      </w:pPr>
      <w:r>
        <w:t xml:space="preserve">slope = |mean ∇h| (nm/mm).</w:t>
      </w:r>
    </w:p>
    <w:p>
      <w:pPr>
        <w:numPr>
          <w:ilvl w:val="0"/>
          <w:numId w:val="1006"/>
        </w:numPr>
        <w:pStyle w:val="Compact"/>
      </w:pPr>
      <w:r>
        <w:t xml:space="preserve">Fringe period = 1/|k_peak|, from the 2-D FFT of the Hann-windowed z_NT patch, ignoring |k| &lt; 0.15 cycles/mm.</w:t>
      </w:r>
    </w:p>
    <w:p>
      <w:pPr>
        <w:numPr>
          <w:ilvl w:val="0"/>
          <w:numId w:val="1006"/>
        </w:numPr>
        <w:pStyle w:val="Compact"/>
      </w:pPr>
      <w:r>
        <w:t xml:space="preserve">Height step per fringe = slope × period.</w:t>
      </w:r>
    </w:p>
    <w:p>
      <w:pPr>
        <w:numPr>
          <w:ilvl w:val="0"/>
          <w:numId w:val="1006"/>
        </w:numPr>
        <w:pStyle w:val="Compact"/>
      </w:pPr>
      <w:r>
        <w:t xml:space="preserve">A patch is kept if slope &gt; 15 nm/mm and |cos(k_peak, ∇h)| &gt; 0.8 (fringes aligned with the slope).</w:t>
      </w:r>
    </w:p>
    <w:bookmarkEnd w:id="27"/>
    <w:bookmarkStart w:id="28" w:name="Xbed4925295fbcb5baa1c5a6b649cd8b78ba9cc8"/>
    <w:p>
      <w:pPr>
        <w:pStyle w:val="Heading2"/>
      </w:pPr>
      <w:r>
        <w:t xml:space="preserve">9. Open assumptions (recipe parameters with defaults)</w:t>
      </w:r>
    </w:p>
    <w:p>
      <w:pPr>
        <w:numPr>
          <w:ilvl w:val="0"/>
          <w:numId w:val="1007"/>
        </w:numPr>
        <w:pStyle w:val="Compact"/>
      </w:pPr>
      <w:r>
        <w:t xml:space="preserve">Shrink law of the WS2+ shrinking filter, and whether d is measured to the wafer edge or to the EE boundary (here: EE boundary, kernel ±3σ kept on the wafer, 20 → 1 mm, 11 levels).</w:t>
      </w:r>
    </w:p>
    <w:p>
      <w:pPr>
        <w:numPr>
          <w:ilvl w:val="0"/>
          <w:numId w:val="1007"/>
        </w:numPr>
        <w:pStyle w:val="Compact"/>
      </w:pPr>
      <w:r>
        <w:t xml:space="preserve">SQMM internal cutoff and kernel (here: 20 mm; 10 mm gives the same THA within 3 %).</w:t>
      </w:r>
    </w:p>
    <w:p>
      <w:pPr>
        <w:numPr>
          <w:ilvl w:val="0"/>
          <w:numId w:val="1007"/>
        </w:numPr>
        <w:pStyle w:val="Compact"/>
      </w:pPr>
      <w:r>
        <w:t xml:space="preserve">WS2+ 3-point reference positions for Bow-3P / Warp-3P (here: 90°, 210°, 330° at R = 150 − EE).</w:t>
      </w:r>
    </w:p>
    <w:p>
      <w:pPr>
        <w:numPr>
          <w:ilvl w:val="0"/>
          <w:numId w:val="1007"/>
        </w:numPr>
        <w:pStyle w:val="Compact"/>
      </w:pPr>
      <w:r>
        <w:t xml:space="preserve">WS2+ site-grid origin and partial-site rule.</w:t>
      </w:r>
    </w:p>
    <w:p>
      <w:pPr>
        <w:numPr>
          <w:ilvl w:val="0"/>
          <w:numId w:val="1007"/>
        </w:numPr>
        <w:pStyle w:val="Compact"/>
      </w:pPr>
      <w:r>
        <w:t xml:space="preserve">ZDD: not implemented (SEMI M68 reference fit not fixed in v1.6).</w:t>
      </w:r>
    </w:p>
    <w:p>
      <w:pPr>
        <w:numPr>
          <w:ilvl w:val="0"/>
          <w:numId w:val="1007"/>
        </w:numPr>
        <w:pStyle w:val="Compact"/>
      </w:pPr>
      <w:r>
        <w:t xml:space="preserve">PSD band boundary k_low: 0.02 cycles/mm (50 mm, SEMI) or 0.05 cycles/mm (20 mm); bands are read from configuration.</w:t>
      </w:r>
    </w:p>
    <w:bookmarkEnd w:id="28"/>
    <w:bookmarkStart w:id="29" w:name="changes-from-v1"/>
    <w:p>
      <w:pPr>
        <w:pStyle w:val="Heading2"/>
      </w:pPr>
      <w:r>
        <w:t xml:space="preserve">10. Changes from v1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 by circle fit (holes filled, Δ/2 radius correction) instead of a fixed (149, 149); FQA = R ≤ 150 − EE on pixel centres (v1 had an extra −Δ/2 margin).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 value C(z) defined once: mean over R &lt; 1 mm, boundary excluded, not reported if under half valid. The engine used the single nearest pixel until 0.6; changed in engine 0.7.0 (metric change: THK centre −2.7 to −4.2 nm, Bow +2.8 to +3.9 nm on the reference wafer).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Bow sign convention stated.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Partial-site rule uses the full box area;</w:t>
            </w:r>
            <w:r>
              <w:t xml:space="preserve"> </w:t>
            </w:r>
            <w:r>
              <w:t xml:space="preserve">“</w:t>
            </w:r>
            <w:r>
              <w:t xml:space="preserve">half</w:t>
            </w:r>
            <w:r>
              <w:t xml:space="preserve">”</w:t>
            </w:r>
            <w:r>
              <w:t xml:space="preserve"> </w:t>
            </w:r>
            <w:r>
              <w:t xml:space="preserve">renamed</w:t>
            </w:r>
            <w:r>
              <w:t xml:space="preserve"> </w:t>
            </w:r>
            <w:r>
              <w:t xml:space="preserve">“</w:t>
            </w:r>
            <w:r>
              <w:t xml:space="preserve">partial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Clipping counted only as plateaus inside the disc; section marked diagnostic.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Cancels curvature exactly</w:t>
            </w:r>
            <w:r>
              <w:t xml:space="preserve">”</w:t>
            </w:r>
            <w:r>
              <w:t xml:space="preserve"> </w:t>
            </w:r>
            <w:r>
              <w:t xml:space="preserve">limited to the interior; ideal vs truncated transmission noted.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Shrinking-filter distance to the outer FQA edge with holes filled; 11 levels as a recipe setting.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 windows added; window-size rounding and the 2-pixel minimum stated.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Despike and de-grid marked as diagnostics; the 0.05 % result recorded; SQA and avalanche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k_low, ZDD and the shrink-distance question added to the open assumptions.</w:t>
            </w:r>
          </w:p>
        </w:tc>
      </w:tr>
    </w:tbl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Microsoft YaHei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Arial" w:hAnsi="Arial" w:cs="Arial" w:eastAsia="Microsoft YaHei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Arial" w:hAnsi="Arial" w:cs="Arial" w:eastAsia="Microsoft YaHei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Arial" w:hAnsi="Arial" w:cs="Arial" w:eastAsia="Microsoft YaHei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Microsoft YaHei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Microsoft YaHe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Microsoft YaHe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Microsoft YaHei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Microsoft YaHei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Microsoft YaHei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Microsoft YaHei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Microsoft YaHei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Microsoft YaHei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Microsoft YaHei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Microsoft YaHei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Arial" w:hAnsi="Arial" w:cs="Arial" w:eastAsia="Microsoft YaHei"/>
    </w:rPr>
  </w:style>
  <w:style w:customStyle="1" w:styleId="Definition" w:type="paragraph">
    <w:name w:val="Definition"/>
    <w:basedOn w:val="Normal"/>
    <w:rPr>
      <w:rFonts w:ascii="Arial" w:hAnsi="Arial" w:cs="Arial"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hAnsi="Arial" w:cs="Arial" w:eastAsia="Microsoft YaHei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Microsoft YaHei"/>
    </w:rPr>
  </w:style>
  <w:style w:customStyle="1" w:styleId="ImageCaption" w:type="paragraph">
    <w:name w:val="Image Caption"/>
    <w:basedOn w:val="Caption"/>
    <w:rPr>
      <w:rFonts w:ascii="Arial" w:hAnsi="Arial" w:cs="Arial" w:eastAsia="Microsoft YaHei"/>
    </w:rPr>
  </w:style>
  <w:style w:customStyle="1" w:styleId="Figure" w:type="paragraph">
    <w:name w:val="Figure"/>
    <w:basedOn w:val="Normal"/>
    <w:rPr>
      <w:rFonts w:ascii="Arial" w:hAnsi="Arial" w:cs="Arial"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Microsoft YaHei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Microsoft YaHei"/>
    </w:rPr>
  </w:style>
  <w:style w:customStyle="1" w:styleId="VerbatimChar" w:type="character">
    <w:name w:val="Verbatim Char"/>
    <w:basedOn w:val="BodyTextChar"/>
    <w:rPr>
      <w:rFonts w:ascii="Arial" w:hAnsi="Arial" w:cs="Arial" w:eastAsia="Microsoft YaHei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Microsoft YaHei"/>
    </w:rPr>
  </w:style>
  <w:style w:styleId="FootnoteReference" w:type="character">
    <w:name w:val="Footnote Reference"/>
    <w:basedOn w:val="BodyTextChar"/>
    <w:rPr>
      <w:vertAlign w:val="superscript"/>
      <w:rFonts w:ascii="Arial" w:hAnsi="Arial" w:cs="Arial" w:eastAsia="Microsoft YaHei"/>
    </w:rPr>
  </w:style>
  <w:style w:styleId="Hyperlink" w:type="character">
    <w:name w:val="Hyperlink"/>
    <w:basedOn w:val="BodyTextChar"/>
    <w:rPr>
      <w:color w:themeColor="accent1" w:val="4F81BD"/>
      <w:rFonts w:ascii="Arial" w:hAnsi="Arial" w:cs="Arial" w:eastAsia="Microsoft YaHei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Microsoft YaHei"/>
    </w:rPr>
  </w:style>
  <w:style w:type="character" w:customStyle="1" w:styleId="KeywordTok">
    <w:name w:val="KeywordTok"/>
    <w:basedOn w:val="VerbatimChar"/>
    <w:rPr>
      <w:color w:val="007020"/>
      <w:b/>
      <w:rFonts w:ascii="Arial" w:hAnsi="Arial" w:cs="Arial" w:eastAsia="Microsoft YaHei"/>
    </w:rPr>
  </w:style>
  <w:style w:type="character" w:customStyle="1" w:styleId="DataTypeTok">
    <w:name w:val="DataTypeTok"/>
    <w:basedOn w:val="VerbatimChar"/>
    <w:rPr>
      <w:color w:val="902000"/>
      <w:rFonts w:ascii="Arial" w:hAnsi="Arial" w:cs="Arial" w:eastAsia="Microsoft YaHei"/>
    </w:rPr>
  </w:style>
  <w:style w:type="character" w:customStyle="1" w:styleId="DecValTok">
    <w:name w:val="DecValTok"/>
    <w:basedOn w:val="VerbatimChar"/>
    <w:rPr>
      <w:color w:val="40a070"/>
      <w:rFonts w:ascii="Arial" w:hAnsi="Arial" w:cs="Arial" w:eastAsia="Microsoft YaHei"/>
    </w:rPr>
  </w:style>
  <w:style w:type="character" w:customStyle="1" w:styleId="BaseNTok">
    <w:name w:val="BaseNTok"/>
    <w:basedOn w:val="VerbatimChar"/>
    <w:rPr>
      <w:color w:val="40a070"/>
      <w:rFonts w:ascii="Arial" w:hAnsi="Arial" w:cs="Arial" w:eastAsia="Microsoft YaHei"/>
    </w:rPr>
  </w:style>
  <w:style w:type="character" w:customStyle="1" w:styleId="FloatTok">
    <w:name w:val="FloatTok"/>
    <w:basedOn w:val="VerbatimChar"/>
    <w:rPr>
      <w:color w:val="40a070"/>
      <w:rFonts w:ascii="Arial" w:hAnsi="Arial" w:cs="Arial" w:eastAsia="Microsoft YaHei"/>
    </w:rPr>
  </w:style>
  <w:style w:type="character" w:customStyle="1" w:styleId="ConstantTok">
    <w:name w:val="ConstantTok"/>
    <w:basedOn w:val="VerbatimChar"/>
    <w:rPr>
      <w:color w:val="880000"/>
      <w:rFonts w:ascii="Arial" w:hAnsi="Arial" w:cs="Arial" w:eastAsia="Microsoft YaHei"/>
    </w:rPr>
  </w:style>
  <w:style w:type="character" w:customStyle="1" w:styleId="CharTok">
    <w:name w:val="CharTok"/>
    <w:basedOn w:val="VerbatimChar"/>
    <w:rPr>
      <w:color w:val="4070a0"/>
      <w:rFonts w:ascii="Arial" w:hAnsi="Arial" w:cs="Arial" w:eastAsia="Microsoft YaHei"/>
    </w:rPr>
  </w:style>
  <w:style w:type="character" w:customStyle="1" w:styleId="SpecialCharTok">
    <w:name w:val="SpecialCharTok"/>
    <w:basedOn w:val="VerbatimChar"/>
    <w:rPr>
      <w:color w:val="4070a0"/>
      <w:rFonts w:ascii="Arial" w:hAnsi="Arial" w:cs="Arial" w:eastAsia="Microsoft YaHei"/>
    </w:rPr>
  </w:style>
  <w:style w:type="character" w:customStyle="1" w:styleId="StringTok">
    <w:name w:val="StringTok"/>
    <w:basedOn w:val="VerbatimChar"/>
    <w:rPr>
      <w:color w:val="4070a0"/>
      <w:rFonts w:ascii="Arial" w:hAnsi="Arial" w:cs="Arial" w:eastAsia="Microsoft YaHei"/>
    </w:rPr>
  </w:style>
  <w:style w:type="character" w:customStyle="1" w:styleId="VerbatimStringTok">
    <w:name w:val="VerbatimStringTok"/>
    <w:basedOn w:val="VerbatimChar"/>
    <w:rPr>
      <w:color w:val="4070a0"/>
      <w:rFonts w:ascii="Arial" w:hAnsi="Arial" w:cs="Arial" w:eastAsia="Microsoft YaHei"/>
    </w:rPr>
  </w:style>
  <w:style w:type="character" w:customStyle="1" w:styleId="SpecialStringTok">
    <w:name w:val="SpecialStringTok"/>
    <w:basedOn w:val="VerbatimChar"/>
    <w:rPr>
      <w:color w:val="bb6688"/>
      <w:rFonts w:ascii="Arial" w:hAnsi="Arial" w:cs="Arial" w:eastAsia="Microsoft YaHei"/>
    </w:rPr>
  </w:style>
  <w:style w:type="character" w:customStyle="1" w:styleId="ImportTok">
    <w:name w:val="ImportTok"/>
    <w:basedOn w:val="VerbatimChar"/>
    <w:rPr>
      <w:color w:val="008000"/>
      <w:b/>
      <w:rFonts w:ascii="Arial" w:hAnsi="Arial" w:cs="Arial" w:eastAsia="Microsoft YaHei"/>
    </w:rPr>
  </w:style>
  <w:style w:type="character" w:customStyle="1" w:styleId="CommentTok">
    <w:name w:val="CommentTok"/>
    <w:basedOn w:val="VerbatimChar"/>
    <w:rPr>
      <w:color w:val="60a0b0"/>
      <w:i/>
      <w:rFonts w:ascii="Arial" w:hAnsi="Arial" w:cs="Arial" w:eastAsia="Microsoft YaHei"/>
    </w:rPr>
  </w:style>
  <w:style w:type="character" w:customStyle="1" w:styleId="DocumentationTok">
    <w:name w:val="DocumentationTok"/>
    <w:basedOn w:val="VerbatimChar"/>
    <w:rPr>
      <w:color w:val="ba2121"/>
      <w:i/>
      <w:rFonts w:ascii="Arial" w:hAnsi="Arial" w:cs="Arial" w:eastAsia="Microsoft YaHei"/>
    </w:rPr>
  </w:style>
  <w:style w:type="character" w:customStyle="1" w:styleId="AnnotationTok">
    <w:name w:val="AnnotationTok"/>
    <w:basedOn w:val="VerbatimChar"/>
    <w:rPr>
      <w:color w:val="60a0b0"/>
      <w:b/>
      <w:i/>
      <w:rFonts w:ascii="Arial" w:hAnsi="Arial" w:cs="Arial" w:eastAsia="Microsoft YaHei"/>
    </w:rPr>
  </w:style>
  <w:style w:type="character" w:customStyle="1" w:styleId="CommentVarTok">
    <w:name w:val="CommentVarTok"/>
    <w:basedOn w:val="VerbatimChar"/>
    <w:rPr>
      <w:color w:val="60a0b0"/>
      <w:b/>
      <w:i/>
      <w:rFonts w:ascii="Arial" w:hAnsi="Arial" w:cs="Arial" w:eastAsia="Microsoft YaHei"/>
    </w:rPr>
  </w:style>
  <w:style w:type="character" w:customStyle="1" w:styleId="OtherTok">
    <w:name w:val="OtherTok"/>
    <w:basedOn w:val="VerbatimChar"/>
    <w:rPr>
      <w:color w:val="007020"/>
      <w:rFonts w:ascii="Arial" w:hAnsi="Arial" w:cs="Arial" w:eastAsia="Microsoft YaHei"/>
    </w:rPr>
  </w:style>
  <w:style w:type="character" w:customStyle="1" w:styleId="FunctionTok">
    <w:name w:val="FunctionTok"/>
    <w:basedOn w:val="VerbatimChar"/>
    <w:rPr>
      <w:color w:val="06287e"/>
      <w:rFonts w:ascii="Arial" w:hAnsi="Arial" w:cs="Arial" w:eastAsia="Microsoft YaHei"/>
    </w:rPr>
  </w:style>
  <w:style w:type="character" w:customStyle="1" w:styleId="VariableTok">
    <w:name w:val="VariableTok"/>
    <w:basedOn w:val="VerbatimChar"/>
    <w:rPr>
      <w:color w:val="19177c"/>
      <w:rFonts w:ascii="Arial" w:hAnsi="Arial" w:cs="Arial" w:eastAsia="Microsoft YaHei"/>
    </w:rPr>
  </w:style>
  <w:style w:type="character" w:customStyle="1" w:styleId="ControlFlowTok">
    <w:name w:val="ControlFlowTok"/>
    <w:basedOn w:val="VerbatimChar"/>
    <w:rPr>
      <w:color w:val="007020"/>
      <w:b/>
      <w:rFonts w:ascii="Arial" w:hAnsi="Arial" w:cs="Arial" w:eastAsia="Microsoft YaHei"/>
    </w:rPr>
  </w:style>
  <w:style w:type="character" w:customStyle="1" w:styleId="OperatorTok">
    <w:name w:val="OperatorTok"/>
    <w:basedOn w:val="VerbatimChar"/>
    <w:rPr>
      <w:color w:val="666666"/>
      <w:rFonts w:ascii="Arial" w:hAnsi="Arial" w:cs="Arial" w:eastAsia="Microsoft YaHei"/>
    </w:rPr>
  </w:style>
  <w:style w:type="character" w:customStyle="1" w:styleId="BuiltInTok">
    <w:name w:val="BuiltInTok"/>
    <w:basedOn w:val="VerbatimChar"/>
    <w:rPr>
      <w:color w:val="008000"/>
      <w:rFonts w:ascii="Arial" w:hAnsi="Arial" w:cs="Arial" w:eastAsia="Microsoft YaHei"/>
    </w:rPr>
  </w:style>
  <w:style w:type="character" w:customStyle="1" w:styleId="ExtensionTok">
    <w:name w:val="ExtensionTok"/>
    <w:basedOn w:val="VerbatimChar"/>
    <w:rPr>
      <w:rFonts w:ascii="Arial" w:hAnsi="Arial" w:cs="Arial" w:eastAsia="Microsoft YaHei"/>
    </w:rPr>
  </w:style>
  <w:style w:type="character" w:customStyle="1" w:styleId="PreprocessorTok">
    <w:name w:val="PreprocessorTok"/>
    <w:basedOn w:val="VerbatimChar"/>
    <w:rPr>
      <w:color w:val="bc7a00"/>
      <w:rFonts w:ascii="Arial" w:hAnsi="Arial" w:cs="Arial" w:eastAsia="Microsoft YaHei"/>
    </w:rPr>
  </w:style>
  <w:style w:type="character" w:customStyle="1" w:styleId="AttributeTok">
    <w:name w:val="AttributeTok"/>
    <w:basedOn w:val="VerbatimChar"/>
    <w:rPr>
      <w:color w:val="7d9029"/>
      <w:rFonts w:ascii="Arial" w:hAnsi="Arial" w:cs="Arial" w:eastAsia="Microsoft YaHei"/>
    </w:rPr>
  </w:style>
  <w:style w:type="character" w:customStyle="1" w:styleId="RegionMarkerTok">
    <w:name w:val="RegionMarkerTok"/>
    <w:basedOn w:val="VerbatimChar"/>
    <w:rPr>
      <w:rFonts w:ascii="Arial" w:hAnsi="Arial" w:cs="Arial" w:eastAsia="Microsoft YaHei"/>
    </w:rPr>
  </w:style>
  <w:style w:type="character" w:customStyle="1" w:styleId="InformationTok">
    <w:name w:val="InformationTok"/>
    <w:basedOn w:val="VerbatimChar"/>
    <w:rPr>
      <w:color w:val="60a0b0"/>
      <w:b/>
      <w:i/>
      <w:rFonts w:ascii="Arial" w:hAnsi="Arial" w:cs="Arial" w:eastAsia="Microsoft YaHei"/>
    </w:rPr>
  </w:style>
  <w:style w:type="character" w:customStyle="1" w:styleId="WarningTok">
    <w:name w:val="WarningTok"/>
    <w:basedOn w:val="VerbatimChar"/>
    <w:rPr>
      <w:color w:val="60a0b0"/>
      <w:b/>
      <w:i/>
      <w:rFonts w:ascii="Arial" w:hAnsi="Arial" w:cs="Arial" w:eastAsia="Microsoft YaHei"/>
    </w:rPr>
  </w:style>
  <w:style w:type="character" w:customStyle="1" w:styleId="AlertTok">
    <w:name w:val="AlertTok"/>
    <w:basedOn w:val="VerbatimChar"/>
    <w:rPr>
      <w:color w:val="ff0000"/>
      <w:b/>
      <w:rFonts w:ascii="Arial" w:hAnsi="Arial" w:cs="Arial" w:eastAsia="Microsoft YaHei"/>
    </w:rPr>
  </w:style>
  <w:style w:type="character" w:customStyle="1" w:styleId="ErrorTok">
    <w:name w:val="ErrorTok"/>
    <w:basedOn w:val="VerbatimChar"/>
    <w:rPr>
      <w:color w:val="ff0000"/>
      <w:b/>
      <w:rFonts w:ascii="Arial" w:hAnsi="Arial" w:cs="Arial" w:eastAsia="Microsoft YaHei"/>
    </w:rPr>
  </w:style>
  <w:style w:type="character" w:customStyle="1" w:styleId="NormalTok">
    <w:name w:val="NormalTok"/>
    <w:basedOn w:val="VerbatimChar"/>
    <w:rPr>
      <w:rFonts w:ascii="Arial" w:hAnsi="Arial" w:cs="Arial"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Calculation Formulas — v2</dc:title>
  <dc:creator/>
  <cp:keywords/>
  <dcterms:created xsi:type="dcterms:W3CDTF">2026-10-13T11:06:06Z</dcterms:created>
  <dcterms:modified xsi:type="dcterms:W3CDTF">2026-10-13T11:06:06Z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WS2+-class geometry analysis · engine 0.7.0 · project document v1.6 §11 / §13 · 2026-10-13</vt:lpwstr>
  </property>
</Properties>
</file>