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Georgia" w:cs="Georgia" w:eastAsia="Georgia" w:hAnsi="Georgia"/>
          <w:b/>
          <w:bCs/>
          <w:color w:val="1B2A4A"/>
          <w:sz w:val="48"/>
          <w:szCs w:val="48"/>
        </w:rPr>
        <w:t xml:space="preserve">Visual Design &amp; UI/UX Audit</w:t>
      </w:r>
    </w:p>
    <w:p>
      <w:pPr>
        <w:spacing w:after="80"/>
        <w:jc w:val="center"/>
      </w:pPr>
      <w:r>
        <w:rPr>
          <w:rFonts w:ascii="Arial" w:cs="Arial" w:eastAsia="Arial" w:hAnsi="Arial"/>
          <w:color w:val="4A6FA5"/>
          <w:sz w:val="24"/>
          <w:szCs w:val="24"/>
        </w:rPr>
        <w:t xml:space="preserve">devonshireops.com/pe</w:t>
      </w:r>
    </w:p>
    <w:p>
      <w:pPr>
        <w:pBdr>
          <w:bottom w:val="single" w:color="4A6FA5" w:sz="4" w:space="1"/>
        </w:pBdr>
        <w:spacing w:after="600"/>
        <w:jc w:val="center"/>
      </w:pPr>
    </w:p>
    <w:p>
      <w:pPr>
        <w:spacing w:after="80"/>
        <w:jc w:val="center"/>
      </w:pPr>
      <w:r>
        <w:rPr>
          <w:rFonts w:ascii="Arial" w:cs="Arial" w:eastAsia="Arial" w:hAnsi="Arial"/>
          <w:i/>
          <w:iCs/>
          <w:color w:val="6B7B8D"/>
          <w:sz w:val="20"/>
          <w:szCs w:val="20"/>
        </w:rPr>
        <w:t xml:space="preserve">Layout consistency, spacing, typography, color, and visual hierarchy</w:t>
      </w:r>
    </w:p>
    <w:p>
      <w:r>
        <w:br w:type="page"/>
      </w:r>
    </w:p>
    <w:p>
      <w:pPr>
        <w:pStyle w:val="Heading1"/>
        <w:spacing w:after="200" w:before="360"/>
      </w:pPr>
      <w:r>
        <w:rPr>
          <w:rFonts w:ascii="Georgia" w:cs="Georgia" w:eastAsia="Georgia" w:hAnsi="Georgia"/>
          <w:b/>
          <w:bCs/>
          <w:color w:val="1B2A4A"/>
          <w:sz w:val="32"/>
          <w:szCs w:val="32"/>
        </w:rPr>
        <w:t xml:space="preserve">Executive Summary</w:t>
      </w:r>
    </w:p>
    <w:p>
      <w:pPr>
        <w:spacing w:after="160" w:line="300"/>
      </w:pPr>
      <w:r>
        <w:rPr>
          <w:rFonts w:ascii="Arial" w:cs="Arial" w:eastAsia="Arial" w:hAnsi="Arial"/>
          <w:i w:val="false"/>
          <w:iCs w:val="false"/>
          <w:color w:val="1A1A1A"/>
          <w:sz w:val="21"/>
          <w:szCs w:val="21"/>
        </w:rPr>
        <w:t xml:space="preserve">The site’s visual identity is strong at the macro level: the navy/gold/cream palette is premium and appropriate for PE buyers, the EB Garamond + Georgia type pairing feels institutional, and the hero section is well-composed. However, the page suffers from a pattern of micro-inconsistencies that accumulate into a feeling of “almost polished but not quite.” The eye can’t settle into a predictable rhythm because spacing, card treatments, type hierarchy, and color application vary from section to section.</w:t>
      </w:r>
    </w:p>
    <w:p>
      <w:pPr>
        <w:spacing w:after="80"/>
      </w:pPr>
    </w:p>
    <w:p>
      <w:pPr>
        <w:spacing w:after="160" w:line="300"/>
      </w:pPr>
      <w:r>
        <w:rPr>
          <w:rFonts w:ascii="Arial" w:cs="Arial" w:eastAsia="Arial" w:hAnsi="Arial"/>
          <w:i w:val="false"/>
          <w:iCs w:val="false"/>
          <w:color w:val="1A1A1A"/>
          <w:sz w:val="21"/>
          <w:szCs w:val="21"/>
        </w:rPr>
        <w:t xml:space="preserve">The root cause is not a bad design system—it’s the absence of a rigid one. Each section appears to have been built independently with slightly different assumptions about padding, heading size, card borders, and CTA styling. The fixes are mechanical, not creative: establish a strict spacing scale, normalize card treatments, lock heading styles, and enforce consistent CTA hierarchy. The visual identity is already right. It just needs to be applied uniformly.</w:t>
      </w:r>
    </w:p>
    <w:p>
      <w:r>
        <w:br w:type="page"/>
      </w:r>
    </w:p>
    <w:p>
      <w:pPr>
        <w:pStyle w:val="Heading1"/>
        <w:spacing w:after="200" w:before="360"/>
      </w:pPr>
      <w:r>
        <w:rPr>
          <w:rFonts w:ascii="Georgia" w:cs="Georgia" w:eastAsia="Georgia" w:hAnsi="Georgia"/>
          <w:b/>
          <w:bCs/>
          <w:color w:val="1B2A4A"/>
          <w:sz w:val="32"/>
          <w:szCs w:val="32"/>
        </w:rPr>
        <w:t xml:space="preserve">1. Spacing &amp; Vertical Rhythm</w:t>
      </w:r>
    </w:p>
    <w:p>
      <w:pPr>
        <w:spacing w:after="160" w:line="300"/>
      </w:pPr>
      <w:r>
        <w:rPr>
          <w:rFonts w:ascii="Arial" w:cs="Arial" w:eastAsia="Arial" w:hAnsi="Arial"/>
          <w:i w:val="false"/>
          <w:iCs w:val="false"/>
          <w:color w:val="1A1A1A"/>
          <w:sz w:val="21"/>
          <w:szCs w:val="21"/>
        </w:rPr>
        <w:t xml:space="preserve">This is the single largest source of visual inconsistency. When spacing is unpredictable, every section feels like a different page—even if the colors and fonts are identical.</w:t>
      </w:r>
    </w:p>
    <w:p>
      <w:pPr>
        <w:spacing w:after="80"/>
      </w:pPr>
    </w:p>
    <w:p>
      <w:pPr>
        <w:pStyle w:val="Heading2"/>
        <w:spacing w:after="160" w:before="280"/>
      </w:pPr>
      <w:r>
        <w:rPr>
          <w:rFonts w:ascii="Georgia" w:cs="Georgia" w:eastAsia="Georgia" w:hAnsi="Georgia"/>
          <w:b/>
          <w:bCs/>
          <w:color w:val="4A6FA5"/>
          <w:sz w:val="26"/>
          <w:szCs w:val="26"/>
        </w:rPr>
        <w:t xml:space="preserve">1.1 Section Padding Is Inconsistent</w:t>
      </w:r>
    </w:p>
    <w:p>
      <w:pPr>
        <w:spacing w:after="160" w:line="300"/>
      </w:pPr>
      <w:r>
        <w:rPr>
          <w:rFonts w:ascii="Arial" w:cs="Arial" w:eastAsia="Arial" w:hAnsi="Arial"/>
          <w:i w:val="false"/>
          <w:iCs w:val="false"/>
          <w:color w:val="1A1A1A"/>
          <w:sz w:val="21"/>
          <w:szCs w:val="21"/>
        </w:rPr>
        <w:t xml:space="preserve">Measured from the computed CSS across every top-level section on /pe: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93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Padding (T/B/L/R)</w:t>
            </w:r>
          </w:p>
        </w:tc>
        <w:tc>
          <w:tcPr>
            <w:tcW w:type="dxa" w:w="293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Margin Bottom</w:t>
            </w:r>
          </w:p>
        </w:tc>
      </w:tr>
      <w:tr>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Hero</w:t>
            </w:r>
          </w:p>
        </w:tc>
        <w:tc>
          <w:tcPr>
            <w:tcW w:type="dxa" w:w="293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48/44/40/40</w:t>
            </w:r>
          </w:p>
        </w:tc>
        <w:tc>
          <w:tcPr>
            <w:tcW w:type="dxa" w:w="293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0px</w:t>
            </w:r>
          </w:p>
        </w:tc>
      </w:tr>
      <w:tr>
        <w:tc>
          <w:tcPr>
            <w:tcW w:type="dxa" w:w="3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Checkmark bar</w:t>
            </w:r>
          </w:p>
        </w:tc>
        <w:tc>
          <w:tcPr>
            <w:tcW w:type="dxa" w:w="293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16/16/24/24</w:t>
            </w:r>
          </w:p>
        </w:tc>
        <w:tc>
          <w:tcPr>
            <w:tcW w:type="dxa" w:w="293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24px</w:t>
            </w:r>
          </w:p>
        </w:tc>
      </w:tr>
      <w:tr>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Who This Is Built For</w:t>
            </w:r>
          </w:p>
        </w:tc>
        <w:tc>
          <w:tcPr>
            <w:tcW w:type="dxa" w:w="293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32/32/32/32</w:t>
            </w:r>
          </w:p>
        </w:tc>
        <w:tc>
          <w:tcPr>
            <w:tcW w:type="dxa" w:w="293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20px</w:t>
            </w:r>
          </w:p>
        </w:tc>
      </w:tr>
      <w:tr>
        <w:tc>
          <w:tcPr>
            <w:tcW w:type="dxa" w:w="3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20 Levers</w:t>
            </w:r>
          </w:p>
        </w:tc>
        <w:tc>
          <w:tcPr>
            <w:tcW w:type="dxa" w:w="293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0/0/0/0</w:t>
            </w:r>
          </w:p>
        </w:tc>
        <w:tc>
          <w:tcPr>
            <w:tcW w:type="dxa" w:w="293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28px</w:t>
            </w:r>
          </w:p>
        </w:tc>
      </w:tr>
      <w:tr>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Cost of Not Acting</w:t>
            </w:r>
          </w:p>
        </w:tc>
        <w:tc>
          <w:tcPr>
            <w:tcW w:type="dxa" w:w="293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32/32/32/32</w:t>
            </w:r>
          </w:p>
        </w:tc>
        <w:tc>
          <w:tcPr>
            <w:tcW w:type="dxa" w:w="293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20px</w:t>
            </w:r>
          </w:p>
        </w:tc>
      </w:tr>
      <w:tr>
        <w:tc>
          <w:tcPr>
            <w:tcW w:type="dxa" w:w="3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Choose Your Situation</w:t>
            </w:r>
          </w:p>
        </w:tc>
        <w:tc>
          <w:tcPr>
            <w:tcW w:type="dxa" w:w="293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32/32/32/32</w:t>
            </w:r>
          </w:p>
        </w:tc>
        <w:tc>
          <w:tcPr>
            <w:tcW w:type="dxa" w:w="293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20px</w:t>
            </w:r>
          </w:p>
        </w:tc>
      </w:tr>
      <w:tr>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Services &amp; Pricing</w:t>
            </w:r>
          </w:p>
        </w:tc>
        <w:tc>
          <w:tcPr>
            <w:tcW w:type="dxa" w:w="293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32/32/32/32</w:t>
            </w:r>
          </w:p>
        </w:tc>
        <w:tc>
          <w:tcPr>
            <w:tcW w:type="dxa" w:w="293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20px</w:t>
            </w:r>
          </w:p>
        </w:tc>
      </w:tr>
      <w:tr>
        <w:tc>
          <w:tcPr>
            <w:tcW w:type="dxa" w:w="3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 About anchor</w:t>
            </w:r>
          </w:p>
        </w:tc>
        <w:tc>
          <w:tcPr>
            <w:tcW w:type="dxa" w:w="293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24/24/24/24</w:t>
            </w:r>
          </w:p>
        </w:tc>
        <w:tc>
          <w:tcPr>
            <w:tcW w:type="dxa" w:w="293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20px</w:t>
            </w:r>
          </w:p>
        </w:tc>
      </w:tr>
    </w:tbl>
    <w:p>
      <w:pPr>
        <w:spacing w:after="80"/>
      </w:pPr>
    </w:p>
    <w:p>
      <w:pPr>
        <w:spacing w:after="140" w:line="300"/>
      </w:pPr>
      <w:r>
        <w:rPr>
          <w:rFonts w:ascii="Arial" w:cs="Arial" w:eastAsia="Arial" w:hAnsi="Arial"/>
          <w:b/>
          <w:bCs/>
          <w:color w:val="C0392B"/>
          <w:sz w:val="20"/>
          <w:szCs w:val="20"/>
        </w:rPr>
        <w:t xml:space="preserve">[CRITICAL] </w:t>
      </w:r>
      <w:r>
        <w:rPr>
          <w:rFonts w:ascii="Arial" w:cs="Arial" w:eastAsia="Arial" w:hAnsi="Arial"/>
          <w:color w:val="1A1A1A"/>
          <w:sz w:val="21"/>
          <w:szCs w:val="21"/>
        </w:rPr>
        <w:t xml:space="preserve">Five different padding values (0, 16, 24, 32, 48) and three different margin-bottom values (0, 20, 24, 28) across 8 sections. This is the mechanical root cause of the visual asymmetry you’re feeling. Sections that should look like structural peers have different breathing room.</w:t>
      </w:r>
    </w:p>
    <w:p>
      <w:pPr>
        <w:spacing w:after="80"/>
      </w:pPr>
    </w:p>
    <w:p>
      <w:pPr>
        <w:spacing w:after="120" w:before="200"/>
      </w:pPr>
      <w:r>
        <w:rPr>
          <w:rFonts w:ascii="Arial" w:cs="Arial" w:eastAsia="Arial" w:hAnsi="Arial"/>
          <w:b/>
          <w:bCs/>
          <w:color w:val="1B2A4A"/>
          <w:sz w:val="22"/>
          <w:szCs w:val="22"/>
        </w:rPr>
        <w:t xml:space="preserve">Fix: Establish a Strict Spacing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4A6FA5" w:sz="12"/>
              <w:bottom w:val="single" w:color="D0D5DD" w:sz="1"/>
              <w:right w:val="single" w:color="D0D5DD" w:sz="1"/>
            </w:tcBorders>
            <w:shd w:fill="F0F4F8" w:val="clear"/>
            <w:tcMar>
              <w:top w:type="dxa" w:w="120"/>
              <w:left w:type="dxa" w:w="200"/>
              <w:bottom w:type="dxa" w:w="120"/>
              <w:right w:type="dxa" w:w="200"/>
            </w:tcMar>
          </w:tcPr>
          <w:p>
            <w:pPr>
              <w:spacing w:after="80" w:line="280"/>
            </w:pPr>
            <w:r>
              <w:rPr>
                <w:rFonts w:ascii="Arial" w:cs="Arial" w:eastAsia="Arial" w:hAnsi="Arial"/>
                <w:b/>
                <w:bCs/>
                <w:color w:val="1B2A4A"/>
                <w:sz w:val="20"/>
                <w:szCs w:val="20"/>
              </w:rPr>
              <w:t xml:space="preserve">Recommended spacing tokens:</w:t>
            </w:r>
          </w:p>
          <w:p>
            <w:pPr>
              <w:spacing w:after="80" w:line="280"/>
            </w:pPr>
            <w:r>
              <w:rPr>
                <w:rFonts w:ascii="Arial" w:cs="Arial" w:eastAsia="Arial" w:hAnsi="Arial"/>
                <w:color w:val="1A1A1A"/>
                <w:sz w:val="20"/>
                <w:szCs w:val="20"/>
              </w:rPr>
              <w:t xml:space="preserve">Section padding: 40px top/bottom, 32px left/right (all sections, no exceptions)</w:t>
            </w:r>
          </w:p>
          <w:p>
            <w:pPr>
              <w:spacing w:after="80" w:line="280"/>
            </w:pPr>
            <w:r>
              <w:rPr>
                <w:rFonts w:ascii="Arial" w:cs="Arial" w:eastAsia="Arial" w:hAnsi="Arial"/>
                <w:color w:val="1A1A1A"/>
                <w:sz w:val="20"/>
                <w:szCs w:val="20"/>
              </w:rPr>
              <w:t xml:space="preserve">Section gap (margin-bottom between sections): 24px (uniform)</w:t>
            </w:r>
          </w:p>
          <w:p>
            <w:pPr>
              <w:spacing w:after="80" w:line="280"/>
            </w:pPr>
            <w:r>
              <w:rPr>
                <w:rFonts w:ascii="Arial" w:cs="Arial" w:eastAsia="Arial" w:hAnsi="Arial"/>
                <w:color w:val="1A1A1A"/>
                <w:sz w:val="20"/>
                <w:szCs w:val="20"/>
              </w:rPr>
              <w:t xml:space="preserve">Intra-section spacing (heading to body): 16px</w:t>
            </w:r>
          </w:p>
          <w:p>
            <w:pPr>
              <w:spacing w:after="80" w:line="280"/>
            </w:pPr>
            <w:r>
              <w:rPr>
                <w:rFonts w:ascii="Arial" w:cs="Arial" w:eastAsia="Arial" w:hAnsi="Arial"/>
                <w:color w:val="1A1A1A"/>
                <w:sz w:val="20"/>
                <w:szCs w:val="20"/>
              </w:rPr>
              <w:t xml:space="preserve">Card internal padding: 24px (all cards, all sections)</w:t>
            </w:r>
          </w:p>
          <w:p>
            <w:pPr>
              <w:spacing w:after="80" w:line="280"/>
            </w:pPr>
            <w:r>
              <w:rPr>
                <w:rFonts w:ascii="Arial" w:cs="Arial" w:eastAsia="Arial" w:hAnsi="Arial"/>
                <w:color w:val="1A1A1A"/>
                <w:sz w:val="20"/>
                <w:szCs w:val="20"/>
              </w:rPr>
              <w:t xml:space="preserve">Only use 8, 16, 24, 32, 40, 48 — no other values</w:t>
            </w:r>
          </w:p>
        </w:tc>
      </w:tr>
    </w:tbl>
    <w:p>
      <w:r>
        <w:br w:type="page"/>
      </w:r>
    </w:p>
    <w:p>
      <w:pPr>
        <w:pStyle w:val="Heading1"/>
        <w:spacing w:after="200" w:before="360"/>
      </w:pPr>
      <w:r>
        <w:rPr>
          <w:rFonts w:ascii="Georgia" w:cs="Georgia" w:eastAsia="Georgia" w:hAnsi="Georgia"/>
          <w:b/>
          <w:bCs/>
          <w:color w:val="1B2A4A"/>
          <w:sz w:val="32"/>
          <w:szCs w:val="32"/>
        </w:rPr>
        <w:t xml:space="preserve">2. Card &amp; Container Treatments</w:t>
      </w:r>
    </w:p>
    <w:p>
      <w:pPr>
        <w:spacing w:after="160" w:line="300"/>
      </w:pPr>
      <w:r>
        <w:rPr>
          <w:rFonts w:ascii="Arial" w:cs="Arial" w:eastAsia="Arial" w:hAnsi="Arial"/>
          <w:i w:val="false"/>
          <w:iCs w:val="false"/>
          <w:color w:val="1A1A1A"/>
          <w:sz w:val="21"/>
          <w:szCs w:val="21"/>
        </w:rPr>
        <w:t xml:space="preserve">The site uses cards/containers in at least 5 sections, but each section treats its cards differently. This is the second-biggest visual consistency problem.</w:t>
      </w:r>
    </w:p>
    <w:p>
      <w:pPr>
        <w:spacing w:after="80"/>
      </w:pPr>
    </w:p>
    <w:p>
      <w:pPr>
        <w:pStyle w:val="Heading2"/>
        <w:spacing w:after="160" w:before="280"/>
      </w:pPr>
      <w:r>
        <w:rPr>
          <w:rFonts w:ascii="Georgia" w:cs="Georgia" w:eastAsia="Georgia" w:hAnsi="Georgia"/>
          <w:b/>
          <w:bCs/>
          <w:color w:val="4A6FA5"/>
          <w:sz w:val="26"/>
          <w:szCs w:val="26"/>
        </w:rPr>
        <w:t xml:space="preserve">2.1 Card Border Styles Are Inconsistent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Border Style</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Top Accent</w:t>
            </w:r>
          </w:p>
        </w:tc>
        <w:tc>
          <w:tcPr>
            <w:tcW w:type="dxa" w:w="2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Who This Is Built For</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Light gray, rounded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Colored top bar (navy/steel/gold)</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White</w:t>
            </w:r>
          </w:p>
        </w:tc>
      </w:tr>
      <w:tr>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Cost of Not Acting</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Pink/red tint rounded</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Red top border</w:t>
            </w:r>
          </w:p>
        </w:tc>
        <w:tc>
          <w:tcPr>
            <w:tcW w:type="dxa" w:w="2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Light pink wash</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Choose Your Situation</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Rounded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Gold left stripe (left) / none (right)</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Navy (left) / cream (right)</w:t>
            </w:r>
          </w:p>
        </w:tc>
      </w:tr>
      <w:tr>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Services &amp; Pricing</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Light gray, rounded</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Colored top bar</w:t>
            </w:r>
          </w:p>
        </w:tc>
        <w:tc>
          <w:tcPr>
            <w:tcW w:type="dxa" w:w="2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White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Proof blocks</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Left accent bar</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N/A — left bar style</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Cream/transparent</w:t>
            </w:r>
          </w:p>
        </w:tc>
      </w:tr>
    </w:tbl>
    <w:p>
      <w:pPr>
        <w:spacing w:after="80"/>
      </w:pPr>
    </w:p>
    <w:p>
      <w:pPr>
        <w:spacing w:after="140" w:line="300"/>
      </w:pPr>
      <w:r>
        <w:rPr>
          <w:rFonts w:ascii="Arial" w:cs="Arial" w:eastAsia="Arial" w:hAnsi="Arial"/>
          <w:b/>
          <w:bCs/>
          <w:color w:val="C0392B"/>
          <w:sz w:val="20"/>
          <w:szCs w:val="20"/>
        </w:rPr>
        <w:t xml:space="preserve">[CRITICAL] </w:t>
      </w:r>
      <w:r>
        <w:rPr>
          <w:rFonts w:ascii="Arial" w:cs="Arial" w:eastAsia="Arial" w:hAnsi="Arial"/>
          <w:color w:val="1A1A1A"/>
          <w:sz w:val="21"/>
          <w:szCs w:val="21"/>
        </w:rPr>
        <w:t xml:space="preserve">Five different card vocabularies on one page. The “Who This Is Built For” cards use a top-accent color bar. The “Cost of Not Acting” cards use a completely different style—red-pink wash with red borders. The “Choose Your Situation” split panel introduces a navy/cream asymmetric layout found nowhere else. The pricing cards return to the top-accent style but aren’t identical to the first set. The proof blocks use a left-accent bar found nowhere else. Each card style is individually fine, but together they create visual discord.</w:t>
      </w:r>
    </w:p>
    <w:p>
      <w:pPr>
        <w:spacing w:after="80"/>
      </w:pPr>
    </w:p>
    <w:p>
      <w:pPr>
        <w:spacing w:after="120" w:before="200"/>
      </w:pPr>
      <w:r>
        <w:rPr>
          <w:rFonts w:ascii="Arial" w:cs="Arial" w:eastAsia="Arial" w:hAnsi="Arial"/>
          <w:b/>
          <w:bCs/>
          <w:color w:val="1B2A4A"/>
          <w:sz w:val="22"/>
          <w:szCs w:val="22"/>
        </w:rPr>
        <w:t xml:space="preserve">Fix: Define 2 Card Variants Maximum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4A6FA5" w:sz="12"/>
              <w:bottom w:val="single" w:color="D0D5DD" w:sz="1"/>
              <w:right w:val="single" w:color="D0D5DD" w:sz="1"/>
            </w:tcBorders>
            <w:shd w:fill="F0F4F8" w:val="clear"/>
            <w:tcMar>
              <w:top w:type="dxa" w:w="120"/>
              <w:left w:type="dxa" w:w="200"/>
              <w:bottom w:type="dxa" w:w="120"/>
              <w:right w:type="dxa" w:w="200"/>
            </w:tcMar>
          </w:tcPr>
          <w:p>
            <w:pPr>
              <w:spacing w:after="80" w:line="280"/>
            </w:pPr>
            <w:r>
              <w:rPr>
                <w:rFonts w:ascii="Arial" w:cs="Arial" w:eastAsia="Arial" w:hAnsi="Arial"/>
                <w:b/>
                <w:bCs/>
                <w:color w:val="1B2A4A"/>
                <w:sz w:val="20"/>
                <w:szCs w:val="20"/>
              </w:rPr>
              <w:t xml:space="preserve">Recommended card system:</w:t>
            </w:r>
          </w:p>
          <w:p>
            <w:pPr>
              <w:spacing w:after="80" w:line="280"/>
            </w:pPr>
            <w:r>
              <w:rPr>
                <w:rFonts w:ascii="Arial" w:cs="Arial" w:eastAsia="Arial" w:hAnsi="Arial"/>
                <w:color w:val="1A1A1A"/>
                <w:sz w:val="20"/>
                <w:szCs w:val="20"/>
              </w:rPr>
              <w:t xml:space="preserve">Standard card: 1px gray border, 8px border-radius, 24px padding, white background, optional colored top-accent bar (4px, segment color)</w:t>
            </w:r>
          </w:p>
          <w:p>
            <w:pPr>
              <w:spacing w:after="80" w:line="280"/>
            </w:pPr>
            <w:r>
              <w:rPr>
                <w:rFonts w:ascii="Arial" w:cs="Arial" w:eastAsia="Arial" w:hAnsi="Arial"/>
                <w:color w:val="1A1A1A"/>
                <w:sz w:val="20"/>
                <w:szCs w:val="20"/>
              </w:rPr>
              <w:t xml:space="preserve">Emphasis card: Same as standard but with light cream/gold background wash for highlighted content</w:t>
            </w:r>
          </w:p>
          <w:p>
            <w:pPr>
              <w:spacing w:after="80" w:line="280"/>
            </w:pPr>
            <w:r>
              <w:rPr>
                <w:rFonts w:ascii="Arial" w:cs="Arial" w:eastAsia="Arial" w:hAnsi="Arial"/>
                <w:color w:val="1A1A1A"/>
                <w:sz w:val="20"/>
                <w:szCs w:val="20"/>
              </w:rPr>
              <w:t xml:space="preserve">Eliminate: pink/red card backgrounds (Cost of Not Acting), navy/cream split panels (Choose Your Situation), left-bar accent style. Convert all to the standard card with content-level color differentiation instead of container-level.</w:t>
            </w:r>
          </w:p>
        </w:tc>
      </w:tr>
    </w:tbl>
    <w:p>
      <w:r>
        <w:br w:type="page"/>
      </w:r>
    </w:p>
    <w:p>
      <w:pPr>
        <w:pStyle w:val="Heading1"/>
        <w:spacing w:after="200" w:before="360"/>
      </w:pPr>
      <w:r>
        <w:rPr>
          <w:rFonts w:ascii="Georgia" w:cs="Georgia" w:eastAsia="Georgia" w:hAnsi="Georgia"/>
          <w:b/>
          <w:bCs/>
          <w:color w:val="1B2A4A"/>
          <w:sz w:val="32"/>
          <w:szCs w:val="32"/>
        </w:rPr>
        <w:t xml:space="preserve">3. Typography Hierarchy</w:t>
      </w:r>
    </w:p>
    <w:p>
      <w:pPr>
        <w:spacing w:after="160" w:line="300"/>
      </w:pPr>
      <w:r>
        <w:rPr>
          <w:rFonts w:ascii="Arial" w:cs="Arial" w:eastAsia="Arial" w:hAnsi="Arial"/>
          <w:i w:val="false"/>
          <w:iCs w:val="false"/>
          <w:color w:val="1A1A1A"/>
          <w:sz w:val="21"/>
          <w:szCs w:val="21"/>
        </w:rPr>
        <w:t xml:space="preserve">The site currently uses 22 distinct font sizes (from 14.4px to 48px). A professional B2B consulting site should use 5–7. The type scale feels like it was built incrementally—each section chosen independently—rather than from a unified system.</w:t>
      </w:r>
    </w:p>
    <w:p>
      <w:pPr>
        <w:spacing w:after="80"/>
      </w:pPr>
    </w:p>
    <w:p>
      <w:pPr>
        <w:pStyle w:val="Heading2"/>
        <w:spacing w:after="160" w:before="280"/>
      </w:pPr>
      <w:r>
        <w:rPr>
          <w:rFonts w:ascii="Georgia" w:cs="Georgia" w:eastAsia="Georgia" w:hAnsi="Georgia"/>
          <w:b/>
          <w:bCs/>
          <w:color w:val="4A6FA5"/>
          <w:sz w:val="26"/>
          <w:szCs w:val="26"/>
        </w:rPr>
        <w:t xml:space="preserve">3.1 Heading Inconsistency</w:t>
      </w:r>
    </w:p>
    <w:p>
      <w:pPr>
        <w:spacing w:after="160" w:line="300"/>
      </w:pPr>
      <w:r>
        <w:rPr>
          <w:rFonts w:ascii="Arial" w:cs="Arial" w:eastAsia="Arial" w:hAnsi="Arial"/>
          <w:i w:val="false"/>
          <w:iCs w:val="false"/>
          <w:color w:val="1A1A1A"/>
          <w:sz w:val="21"/>
          <w:szCs w:val="21"/>
        </w:rPr>
        <w:t xml:space="preserve">Measured H2 elements across the page: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560"/>
      </w:tblGrid>
      <w:tr>
        <w:tc>
          <w:tcPr>
            <w:tcW w:type="dxa" w:w="3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H2 Text</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Transform</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Who This Is Built For</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EB Garamond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28px</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700</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Navy</w:t>
            </w:r>
          </w:p>
        </w:tc>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r>
      <w:tr>
        <w:tc>
          <w:tcPr>
            <w:tcW w:type="dxa" w:w="3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20 Operational Value...</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EB Garamond</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28px</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700</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Navy</w:t>
            </w:r>
          </w:p>
        </w:tc>
        <w:tc>
          <w:tcPr>
            <w:tcW w:type="dxa" w:w="15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The Cost of Not Acting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EB Garamond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28px</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700</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Navy</w:t>
            </w:r>
          </w:p>
        </w:tc>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r>
      <w:tr>
        <w:tc>
          <w:tcPr>
            <w:tcW w:type="dxa" w:w="3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Services &amp; Pricing</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EB Garamond</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28px</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700</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Navy</w:t>
            </w:r>
          </w:p>
        </w:tc>
        <w:tc>
          <w:tcPr>
            <w:tcW w:type="dxa" w:w="15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r>
    </w:tbl>
    <w:p>
      <w:pPr>
        <w:spacing w:after="80"/>
      </w:pPr>
    </w:p>
    <w:p>
      <w:pPr>
        <w:spacing w:after="160" w:line="300"/>
      </w:pPr>
      <w:r>
        <w:rPr>
          <w:rFonts w:ascii="Arial" w:cs="Arial" w:eastAsia="Arial" w:hAnsi="Arial"/>
          <w:i w:val="false"/>
          <w:iCs w:val="false"/>
          <w:color w:val="1A1A1A"/>
          <w:sz w:val="21"/>
          <w:szCs w:val="21"/>
        </w:rPr>
        <w:t xml:space="preserve">The H2s are actually fairly consistent (EB Garamond, 28px, 700, navy). The bigger issue is below H2 level:</w:t>
      </w:r>
    </w:p>
    <w:p>
      <w:pPr>
        <w:spacing w:after="80"/>
      </w:pP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Sub-headings within cards use at least 3 different styles. The “Who This Is Built For” cards use bold dark serif headings (“Independent Sponsors”). The “Cost of Not Acting” cards use dark red/crimson serif (“No incident governance post-close”). The “Services &amp; Pricing” card sub-labels use uppercase gold tracking (“INDEPENDENT SPONSORS · PRE-CLOSE”). Each is doing something different when they should all follow one H3/H4 convention.</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Body text sizes vary between 16px, 17px, 17.6px, 18px, and 19px across sections. The variation is small enough to be unconscious but large enough for the eye to sense inconsistency. Lock body text to one size: 17px or 18px.</w:t>
      </w:r>
    </w:p>
    <w:p>
      <w:pPr>
        <w:spacing w:after="80"/>
      </w:pPr>
    </w:p>
    <w:p>
      <w:pPr>
        <w:spacing w:after="120" w:before="200"/>
      </w:pPr>
      <w:r>
        <w:rPr>
          <w:rFonts w:ascii="Arial" w:cs="Arial" w:eastAsia="Arial" w:hAnsi="Arial"/>
          <w:b/>
          <w:bCs/>
          <w:color w:val="1B2A4A"/>
          <w:sz w:val="22"/>
          <w:szCs w:val="22"/>
        </w:rPr>
        <w:t xml:space="preserve">Fix: Lock the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4A6FA5" w:sz="12"/>
              <w:bottom w:val="single" w:color="D0D5DD" w:sz="1"/>
              <w:right w:val="single" w:color="D0D5DD" w:sz="1"/>
            </w:tcBorders>
            <w:shd w:fill="F0F4F8" w:val="clear"/>
            <w:tcMar>
              <w:top w:type="dxa" w:w="120"/>
              <w:left w:type="dxa" w:w="200"/>
              <w:bottom w:type="dxa" w:w="120"/>
              <w:right w:type="dxa" w:w="200"/>
            </w:tcMar>
          </w:tcPr>
          <w:p>
            <w:pPr>
              <w:spacing w:after="80" w:line="280"/>
            </w:pPr>
            <w:r>
              <w:rPr>
                <w:rFonts w:ascii="Arial" w:cs="Arial" w:eastAsia="Arial" w:hAnsi="Arial"/>
                <w:b/>
                <w:bCs/>
                <w:color w:val="1B2A4A"/>
                <w:sz w:val="20"/>
                <w:szCs w:val="20"/>
              </w:rPr>
              <w:t xml:space="preserve">Recommended type scale (7 sizes only):</w:t>
            </w:r>
          </w:p>
          <w:p>
            <w:pPr>
              <w:spacing w:after="80" w:line="280"/>
            </w:pPr>
            <w:r>
              <w:rPr>
                <w:rFonts w:ascii="Arial" w:cs="Arial" w:eastAsia="Arial" w:hAnsi="Arial"/>
                <w:color w:val="1A1A1A"/>
                <w:sz w:val="20"/>
                <w:szCs w:val="20"/>
              </w:rPr>
              <w:t xml:space="preserve">H1 (hero only): 48px EB Garamond, 700, white-on-navy</w:t>
            </w:r>
          </w:p>
          <w:p>
            <w:pPr>
              <w:spacing w:after="80" w:line="280"/>
            </w:pPr>
            <w:r>
              <w:rPr>
                <w:rFonts w:ascii="Arial" w:cs="Arial" w:eastAsia="Arial" w:hAnsi="Arial"/>
                <w:color w:val="1A1A1A"/>
                <w:sz w:val="20"/>
                <w:szCs w:val="20"/>
              </w:rPr>
              <w:t xml:space="preserve">H2 (section titles): 28px EB Garamond, 700, navy — already consistent, keep</w:t>
            </w:r>
          </w:p>
          <w:p>
            <w:pPr>
              <w:spacing w:after="80" w:line="280"/>
            </w:pPr>
            <w:r>
              <w:rPr>
                <w:rFonts w:ascii="Arial" w:cs="Arial" w:eastAsia="Arial" w:hAnsi="Arial"/>
                <w:color w:val="1A1A1A"/>
                <w:sz w:val="20"/>
                <w:szCs w:val="20"/>
              </w:rPr>
              <w:t xml:space="preserve">H3 (card headings): 20px EB Garamond, 700, navy — standardize this</w:t>
            </w:r>
          </w:p>
          <w:p>
            <w:pPr>
              <w:spacing w:after="80" w:line="280"/>
            </w:pPr>
            <w:r>
              <w:rPr>
                <w:rFonts w:ascii="Arial" w:cs="Arial" w:eastAsia="Arial" w:hAnsi="Arial"/>
                <w:color w:val="1A1A1A"/>
                <w:sz w:val="20"/>
                <w:szCs w:val="20"/>
              </w:rPr>
              <w:t xml:space="preserve">Label (card sub-labels): 13px Arial, 600, uppercase, gold, tracking 1.5px — standardize</w:t>
            </w:r>
          </w:p>
          <w:p>
            <w:pPr>
              <w:spacing w:after="80" w:line="280"/>
            </w:pPr>
            <w:r>
              <w:rPr>
                <w:rFonts w:ascii="Arial" w:cs="Arial" w:eastAsia="Arial" w:hAnsi="Arial"/>
                <w:color w:val="1A1A1A"/>
                <w:sz w:val="20"/>
                <w:szCs w:val="20"/>
              </w:rPr>
              <w:t xml:space="preserve">Body: 17px EB Garamond, 400, dark gray (rgb(31,41,55)) — one size, no exceptions</w:t>
            </w:r>
          </w:p>
          <w:p>
            <w:pPr>
              <w:spacing w:after="80" w:line="280"/>
            </w:pPr>
            <w:r>
              <w:rPr>
                <w:rFonts w:ascii="Arial" w:cs="Arial" w:eastAsia="Arial" w:hAnsi="Arial"/>
                <w:color w:val="1A1A1A"/>
                <w:sz w:val="20"/>
                <w:szCs w:val="20"/>
              </w:rPr>
              <w:t xml:space="preserve">Small/meta: 14px Arial, 400, gray — captions, footnotes only</w:t>
            </w:r>
          </w:p>
          <w:p>
            <w:pPr>
              <w:spacing w:after="80" w:line="280"/>
            </w:pPr>
            <w:r>
              <w:rPr>
                <w:rFonts w:ascii="Arial" w:cs="Arial" w:eastAsia="Arial" w:hAnsi="Arial"/>
                <w:color w:val="1A1A1A"/>
                <w:sz w:val="20"/>
                <w:szCs w:val="20"/>
              </w:rPr>
              <w:t xml:space="preserve">CTA text: 17px Arial, 600 — all buttons uniform</w:t>
            </w:r>
          </w:p>
        </w:tc>
      </w:tr>
    </w:tbl>
    <w:p>
      <w:r>
        <w:br w:type="page"/>
      </w:r>
    </w:p>
    <w:p>
      <w:pPr>
        <w:pStyle w:val="Heading1"/>
        <w:spacing w:after="200" w:before="360"/>
      </w:pPr>
      <w:r>
        <w:rPr>
          <w:rFonts w:ascii="Georgia" w:cs="Georgia" w:eastAsia="Georgia" w:hAnsi="Georgia"/>
          <w:b/>
          <w:bCs/>
          <w:color w:val="1B2A4A"/>
          <w:sz w:val="32"/>
          <w:szCs w:val="32"/>
        </w:rPr>
        <w:t xml:space="preserve">4. Color Application</w:t>
      </w:r>
    </w:p>
    <w:p>
      <w:pPr>
        <w:spacing w:after="160" w:line="300"/>
      </w:pPr>
      <w:r>
        <w:rPr>
          <w:rFonts w:ascii="Arial" w:cs="Arial" w:eastAsia="Arial" w:hAnsi="Arial"/>
          <w:i w:val="false"/>
          <w:iCs w:val="false"/>
          <w:color w:val="1A1A1A"/>
          <w:sz w:val="21"/>
          <w:szCs w:val="21"/>
        </w:rPr>
        <w:t xml:space="preserve">The palette itself is excellent: navy (rgb(20,33,61)), gold (rgb(184,134,11)), cream (rgb(252,252,252)), and supporting grays. This reads as institutional and premium. But the application is inconsistent.</w:t>
      </w:r>
    </w:p>
    <w:p>
      <w:pPr>
        <w:spacing w:after="80"/>
      </w:pP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The “Cost of Not Acting” section introduces a completely new color—a red/crimson (rgb(155,44,44) and rgb(197,48,48))—that doesn’t appear anywhere else on the site. The red-pink card backgrounds and red headings create a visual register break. Red is semantically appropriate for “danger/risk” content, but the execution—pink card wash, red borders, crimson headings—feels like a different design system. The “PE CONSEQUENCE” sub-cards with red-left-bar borders on pink backgrounds are the most visually dissonant element on the entire page.</w:t>
      </w:r>
    </w:p>
    <w:p>
      <w:pPr>
        <w:spacing w:after="80"/>
      </w:pPr>
    </w:p>
    <w:p>
      <w:pPr>
        <w:spacing w:after="120" w:before="200"/>
      </w:pPr>
      <w:r>
        <w:rPr>
          <w:rFonts w:ascii="Arial" w:cs="Arial" w:eastAsia="Arial" w:hAnsi="Arial"/>
          <w:b/>
          <w:bCs/>
          <w:color w:val="1B2A4A"/>
          <w:sz w:val="22"/>
          <w:szCs w:val="22"/>
        </w:rPr>
        <w:t xml:space="preserve">Fix</w:t>
      </w:r>
    </w:p>
    <w:p>
      <w:pPr>
        <w:spacing w:after="160" w:line="300"/>
      </w:pPr>
      <w:r>
        <w:rPr>
          <w:rFonts w:ascii="Arial" w:cs="Arial" w:eastAsia="Arial" w:hAnsi="Arial"/>
          <w:i w:val="false"/>
          <w:iCs w:val="false"/>
          <w:color w:val="1A1A1A"/>
          <w:sz w:val="21"/>
          <w:szCs w:val="21"/>
        </w:rPr>
        <w:t xml:space="preserve">If you want to signal danger/risk for the “Cost of Not Acting” section, do it through content and iconography, not through container-level color changes. Keep the cards in the standard card system (gray border, white background) and use a small red indicator—like a red dot, a red severity label, or red bold text on the heading—rather than painting the entire card red. This preserves visual consistency while still communicating urgency.</w:t>
      </w:r>
    </w:p>
    <w:p>
      <w:pPr>
        <w:spacing w:after="80"/>
      </w:pPr>
    </w:p>
    <w:p>
      <w:pPr>
        <w:spacing w:after="140" w:line="300"/>
      </w:pPr>
      <w:r>
        <w:rPr>
          <w:rFonts w:ascii="Arial" w:cs="Arial" w:eastAsia="Arial" w:hAnsi="Arial"/>
          <w:b/>
          <w:bCs/>
          <w:color w:val="4A6FA5"/>
          <w:sz w:val="20"/>
          <w:szCs w:val="20"/>
        </w:rPr>
        <w:t xml:space="preserve">[MEDIUM] </w:t>
      </w:r>
      <w:r>
        <w:rPr>
          <w:rFonts w:ascii="Arial" w:cs="Arial" w:eastAsia="Arial" w:hAnsi="Arial"/>
          <w:color w:val="1A1A1A"/>
          <w:sz w:val="21"/>
          <w:szCs w:val="21"/>
        </w:rPr>
        <w:t xml:space="preserve">The domain code pills (IM, CG, VP, AC, KO, OP) in the 20 Levers section each use a different color: red, orange, amber, green, blue, purple. This rainbow effect is visually noisy and draws disproportionate attention to a taxonomic element. Consider using a single muted color (steel gray or navy at 30% opacity) for all domain pills, or removing the colored pills entirely and relying on the text labels.</w:t>
      </w:r>
    </w:p>
    <w:p>
      <w:r>
        <w:br w:type="page"/>
      </w:r>
    </w:p>
    <w:p>
      <w:pPr>
        <w:pStyle w:val="Heading1"/>
        <w:spacing w:after="200" w:before="360"/>
      </w:pPr>
      <w:r>
        <w:rPr>
          <w:rFonts w:ascii="Georgia" w:cs="Georgia" w:eastAsia="Georgia" w:hAnsi="Georgia"/>
          <w:b/>
          <w:bCs/>
          <w:color w:val="1B2A4A"/>
          <w:sz w:val="32"/>
          <w:szCs w:val="32"/>
        </w:rPr>
        <w:t xml:space="preserve">5. CTA Button Consistency</w:t>
      </w:r>
    </w:p>
    <w:p>
      <w:pPr>
        <w:spacing w:after="160" w:line="300"/>
      </w:pPr>
      <w:r>
        <w:rPr>
          <w:rFonts w:ascii="Arial" w:cs="Arial" w:eastAsia="Arial" w:hAnsi="Arial"/>
          <w:i w:val="false"/>
          <w:iCs w:val="false"/>
          <w:color w:val="1A1A1A"/>
          <w:sz w:val="21"/>
          <w:szCs w:val="21"/>
        </w:rPr>
        <w:t xml:space="preserve">The site uses buttons in at least 6 locations. Their styling varies: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660"/>
        <w:gridCol w:w="1700"/>
      </w:tblGrid>
      <w:tr>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Button Text</w:t>
            </w:r>
          </w:p>
        </w:tc>
        <w:tc>
          <w:tcPr>
            <w:tcW w:type="dxa" w:w="17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17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BG Color</w:t>
            </w:r>
          </w:p>
        </w:tc>
        <w:tc>
          <w:tcPr>
            <w:tcW w:type="dxa" w:w="16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Border</w:t>
            </w:r>
          </w:p>
        </w:tc>
        <w:tc>
          <w:tcPr>
            <w:tcW w:type="dxa" w:w="17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Book a 15-Min Fit Check</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Solid</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Gold</w:t>
            </w:r>
          </w:p>
        </w:tc>
        <w:tc>
          <w:tcPr>
            <w:tcW w:type="dxa" w:w="16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Hero</w:t>
            </w:r>
          </w:p>
        </w:tc>
      </w:tr>
      <w:tr>
        <w:tc>
          <w:tcPr>
            <w:tcW w:type="dxa" w:w="2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the Ops Scorer →</w:t>
            </w:r>
          </w:p>
        </w:tc>
        <w:tc>
          <w:tcPr>
            <w:tcW w:type="dxa" w:w="17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Outline</w:t>
            </w:r>
          </w:p>
        </w:tc>
        <w:tc>
          <w:tcPr>
            <w:tcW w:type="dxa" w:w="17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Transparent</w:t>
            </w:r>
          </w:p>
        </w:tc>
        <w:tc>
          <w:tcPr>
            <w:tcW w:type="dxa" w:w="16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Gold 1px</w:t>
            </w:r>
          </w:p>
        </w:tc>
        <w:tc>
          <w:tcPr>
            <w:tcW w:type="dxa" w:w="17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Hero</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Score Your Deal →</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Outline</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Navy</w:t>
            </w:r>
          </w:p>
        </w:tc>
        <w:tc>
          <w:tcPr>
            <w:tcW w:type="dxa" w:w="16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Navy 2px</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Segment cards</w:t>
            </w:r>
          </w:p>
        </w:tc>
      </w:tr>
      <w:tr>
        <w:tc>
          <w:tcPr>
            <w:tcW w:type="dxa" w:w="2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Book a Fit Check →</w:t>
            </w:r>
          </w:p>
        </w:tc>
        <w:tc>
          <w:tcPr>
            <w:tcW w:type="dxa" w:w="17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Solid</w:t>
            </w:r>
          </w:p>
        </w:tc>
        <w:tc>
          <w:tcPr>
            <w:tcW w:type="dxa" w:w="17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Gold</w:t>
            </w:r>
          </w:p>
        </w:tc>
        <w:tc>
          <w:tcPr>
            <w:tcW w:type="dxa" w:w="16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c>
          <w:tcPr>
            <w:tcW w:type="dxa" w:w="17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Segment cards</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15-Minute Fit Check</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Solid</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Gold</w:t>
            </w:r>
          </w:p>
        </w:tc>
        <w:tc>
          <w:tcPr>
            <w:tcW w:type="dxa" w:w="16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After split</w:t>
            </w:r>
          </w:p>
        </w:tc>
      </w:tr>
      <w:tr>
        <w:tc>
          <w:tcPr>
            <w:tcW w:type="dxa" w:w="2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the Ops Scorer</w:t>
            </w:r>
          </w:p>
        </w:tc>
        <w:tc>
          <w:tcPr>
            <w:tcW w:type="dxa" w:w="17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Outline</w:t>
            </w:r>
          </w:p>
        </w:tc>
        <w:tc>
          <w:tcPr>
            <w:tcW w:type="dxa" w:w="17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White</w:t>
            </w:r>
          </w:p>
        </w:tc>
        <w:tc>
          <w:tcPr>
            <w:tcW w:type="dxa" w:w="16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Navy 2px</w:t>
            </w:r>
          </w:p>
        </w:tc>
        <w:tc>
          <w:tcPr>
            <w:tcW w:type="dxa" w:w="17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After split</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Book a Fit Check</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Solid</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Red/gold</w:t>
            </w:r>
          </w:p>
        </w:tc>
        <w:tc>
          <w:tcPr>
            <w:tcW w:type="dxa" w:w="16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 Levers</w:t>
            </w:r>
          </w:p>
        </w:tc>
      </w:tr>
      <w:tr>
        <w:tc>
          <w:tcPr>
            <w:tcW w:type="dxa" w:w="2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Browse All 20 Levers →</w:t>
            </w:r>
          </w:p>
        </w:tc>
        <w:tc>
          <w:tcPr>
            <w:tcW w:type="dxa" w:w="17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Outline</w:t>
            </w:r>
          </w:p>
        </w:tc>
        <w:tc>
          <w:tcPr>
            <w:tcW w:type="dxa" w:w="17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White</w:t>
            </w:r>
          </w:p>
        </w:tc>
        <w:tc>
          <w:tcPr>
            <w:tcW w:type="dxa" w:w="16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Navy 2px</w:t>
            </w:r>
          </w:p>
        </w:tc>
        <w:tc>
          <w:tcPr>
            <w:tcW w:type="dxa" w:w="17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20 Levers</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15-Minute Fit Check (nav)</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Solid</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Gold</w:t>
            </w:r>
          </w:p>
        </w:tc>
        <w:tc>
          <w:tcPr>
            <w:tcW w:type="dxa" w:w="16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Top nav</w:t>
            </w:r>
          </w:p>
        </w:tc>
      </w:tr>
    </w:tbl>
    <w:p>
      <w:pPr>
        <w:spacing w:after="80"/>
      </w:pP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The primary CTA (“Book a Fit Check”) appears in at least 5 different visual treatments. Sometimes it’s “Book a 15-Min Fit Check,” sometimes “Book a Fit Check →,” sometimes “15-Minute Fit Check.” The label inconsistency is compounded by size and styling variation. The secondary CTA (“Run the Ops Scorer”) similarly appears as “Score Your Deal →,” “Use the Ops Scorer,” and “Browse All 20 Levers →.”</w:t>
      </w:r>
    </w:p>
    <w:p>
      <w:pPr>
        <w:spacing w:after="80"/>
      </w:pPr>
    </w:p>
    <w:p>
      <w:pPr>
        <w:spacing w:after="120" w:before="200"/>
      </w:pPr>
      <w:r>
        <w:rPr>
          <w:rFonts w:ascii="Arial" w:cs="Arial" w:eastAsia="Arial" w:hAnsi="Arial"/>
          <w:b/>
          <w:bCs/>
          <w:color w:val="1B2A4A"/>
          <w:sz w:val="22"/>
          <w:szCs w:val="22"/>
        </w:rPr>
        <w:t xml:space="preserve">Fix: 2 Button Styles, 2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4A6FA5" w:sz="12"/>
              <w:bottom w:val="single" w:color="D0D5DD" w:sz="1"/>
              <w:right w:val="single" w:color="D0D5DD" w:sz="1"/>
            </w:tcBorders>
            <w:shd w:fill="F0F4F8" w:val="clear"/>
            <w:tcMar>
              <w:top w:type="dxa" w:w="120"/>
              <w:left w:type="dxa" w:w="200"/>
              <w:bottom w:type="dxa" w:w="120"/>
              <w:right w:type="dxa" w:w="200"/>
            </w:tcMar>
          </w:tcPr>
          <w:p>
            <w:pPr>
              <w:spacing w:after="80" w:line="280"/>
            </w:pPr>
            <w:r>
              <w:rPr>
                <w:rFonts w:ascii="Arial" w:cs="Arial" w:eastAsia="Arial" w:hAnsi="Arial"/>
                <w:b/>
                <w:bCs/>
                <w:color w:val="1B2A4A"/>
                <w:sz w:val="20"/>
                <w:szCs w:val="20"/>
              </w:rPr>
              <w:t xml:space="preserve">Button system:</w:t>
            </w:r>
          </w:p>
          <w:p>
            <w:pPr>
              <w:spacing w:after="80" w:line="280"/>
            </w:pPr>
            <w:r>
              <w:rPr>
                <w:rFonts w:ascii="Arial" w:cs="Arial" w:eastAsia="Arial" w:hAnsi="Arial"/>
                <w:color w:val="1A1A1A"/>
                <w:sz w:val="20"/>
                <w:szCs w:val="20"/>
              </w:rPr>
              <w:t xml:space="preserve">Primary: Solid gold background, white text, 12px/24px padding, 6px radius. Label: “Book a Fit Check” (exact, everywhere)</w:t>
            </w:r>
          </w:p>
          <w:p>
            <w:pPr>
              <w:spacing w:after="80" w:line="280"/>
            </w:pPr>
            <w:r>
              <w:rPr>
                <w:rFonts w:ascii="Arial" w:cs="Arial" w:eastAsia="Arial" w:hAnsi="Arial"/>
                <w:color w:val="1A1A1A"/>
                <w:sz w:val="20"/>
                <w:szCs w:val="20"/>
              </w:rPr>
              <w:t xml:space="preserve">Secondary: White/transparent background, navy text, 1px navy border, same padding/radius. Label: “Score Your Deal →” or “View Services →” (exact, everywhere)</w:t>
            </w:r>
          </w:p>
          <w:p>
            <w:pPr>
              <w:spacing w:after="80" w:line="280"/>
            </w:pPr>
            <w:r>
              <w:rPr>
                <w:rFonts w:ascii="Arial" w:cs="Arial" w:eastAsia="Arial" w:hAnsi="Arial"/>
                <w:color w:val="1A1A1A"/>
                <w:sz w:val="20"/>
                <w:szCs w:val="20"/>
              </w:rPr>
              <w:t xml:space="preserve">No other button styles. No red buttons. No mixed outline weights. No arrows on some but not others.</w:t>
            </w:r>
          </w:p>
        </w:tc>
      </w:tr>
    </w:tbl>
    <w:p>
      <w:r>
        <w:br w:type="page"/>
      </w:r>
    </w:p>
    <w:p>
      <w:pPr>
        <w:pStyle w:val="Heading1"/>
        <w:spacing w:after="200" w:before="360"/>
      </w:pPr>
      <w:r>
        <w:rPr>
          <w:rFonts w:ascii="Georgia" w:cs="Georgia" w:eastAsia="Georgia" w:hAnsi="Georgia"/>
          <w:b/>
          <w:bCs/>
          <w:color w:val="1B2A4A"/>
          <w:sz w:val="32"/>
          <w:szCs w:val="32"/>
        </w:rPr>
        <w:t xml:space="preserve">6. Layout Symmetry Issues</w:t>
      </w:r>
    </w:p>
    <w:p>
      <w:pPr>
        <w:pStyle w:val="Heading2"/>
        <w:spacing w:after="160" w:before="280"/>
      </w:pPr>
      <w:r>
        <w:rPr>
          <w:rFonts w:ascii="Georgia" w:cs="Georgia" w:eastAsia="Georgia" w:hAnsi="Georgia"/>
          <w:b/>
          <w:bCs/>
          <w:color w:val="4A6FA5"/>
          <w:sz w:val="26"/>
          <w:szCs w:val="26"/>
        </w:rPr>
        <w:t xml:space="preserve">6.1 Three-Column Card Grids</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The “Who This Is Built For” section (3 segment cards) and the “Services &amp; Pricing” section (3 pricing cards) both use 3-column layouts but the cards within each grid are not equal height. Visible in screenshots: the IS card in “Who This Is Built For” appears shorter than the FO card because the content lengths differ and the cards aren’t flexed to equal height. The proof-block quotes below each card also have different heights, pushing the CTAs to different vertical positions. This is the most visible asymmetry on the page.</w:t>
      </w:r>
    </w:p>
    <w:p>
      <w:pPr>
        <w:spacing w:after="80"/>
      </w:pPr>
    </w:p>
    <w:p>
      <w:pPr>
        <w:spacing w:after="120" w:before="200"/>
      </w:pPr>
      <w:r>
        <w:rPr>
          <w:rFonts w:ascii="Arial" w:cs="Arial" w:eastAsia="Arial" w:hAnsi="Arial"/>
          <w:b/>
          <w:bCs/>
          <w:color w:val="1B2A4A"/>
          <w:sz w:val="22"/>
          <w:szCs w:val="22"/>
        </w:rPr>
        <w:t xml:space="preserve">Fix</w:t>
      </w:r>
    </w:p>
    <w:p>
      <w:pPr>
        <w:pStyle w:val="ListParagraph"/>
        <w:numPr>
          <w:ilvl w:val="0"/>
          <w:numId w:val="2"/>
        </w:numPr>
        <w:spacing w:after="80" w:line="300"/>
      </w:pPr>
      <w:r>
        <w:rPr>
          <w:rFonts w:ascii="Arial" w:cs="Arial" w:eastAsia="Arial" w:hAnsi="Arial"/>
          <w:color w:val="1A1A1A"/>
          <w:sz w:val="21"/>
          <w:szCs w:val="21"/>
        </w:rPr>
        <w:t xml:space="preserve">Set all card containers to display: flex; flex-direction: column with flex-grow: 1 on the content area and margin-top: auto on the CTA button. This forces all cards in a row to the same height with CTAs aligned at the bottom.</w:t>
      </w:r>
    </w:p>
    <w:p>
      <w:pPr>
        <w:pStyle w:val="ListParagraph"/>
        <w:numPr>
          <w:ilvl w:val="0"/>
          <w:numId w:val="2"/>
        </w:numPr>
        <w:spacing w:after="80" w:line="300"/>
      </w:pPr>
      <w:r>
        <w:rPr>
          <w:rFonts w:ascii="Arial" w:cs="Arial" w:eastAsia="Arial" w:hAnsi="Arial"/>
          <w:color w:val="1A1A1A"/>
          <w:sz w:val="21"/>
          <w:szCs w:val="21"/>
        </w:rPr>
        <w:t xml:space="preserve">If content length varies significantly between cards, consider equalizing the text (shorter descriptions for longer card names, or vice versa). Alternatively, use min-height on the card body.</w:t>
      </w:r>
    </w:p>
    <w:p>
      <w:pPr>
        <w:spacing w:after="80"/>
      </w:pPr>
    </w:p>
    <w:p>
      <w:pPr>
        <w:pStyle w:val="Heading2"/>
        <w:spacing w:after="160" w:before="280"/>
      </w:pPr>
      <w:r>
        <w:rPr>
          <w:rFonts w:ascii="Georgia" w:cs="Georgia" w:eastAsia="Georgia" w:hAnsi="Georgia"/>
          <w:b/>
          <w:bCs/>
          <w:color w:val="4A6FA5"/>
          <w:sz w:val="26"/>
          <w:szCs w:val="26"/>
        </w:rPr>
        <w:t xml:space="preserve">6.2 “Choose Your Situation” Split Panel</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This 50/50 split panel is the most visually jarring element on the page. The left panel is navy with gold heading; the right panel is cream/white with navy heading. They’re structurally identical (both have a heading, description, bullet list, and a footer tagline) but visually they look like they belong to different websites. The gold “Gold” outline border on the right side’s tagline doesn’t match any other border style on the page.</w:t>
      </w:r>
    </w:p>
    <w:p>
      <w:pPr>
        <w:spacing w:after="80"/>
      </w:pPr>
    </w:p>
    <w:p>
      <w:pPr>
        <w:spacing w:after="120" w:before="200"/>
      </w:pPr>
      <w:r>
        <w:rPr>
          <w:rFonts w:ascii="Arial" w:cs="Arial" w:eastAsia="Arial" w:hAnsi="Arial"/>
          <w:b/>
          <w:bCs/>
          <w:color w:val="1B2A4A"/>
          <w:sz w:val="22"/>
          <w:szCs w:val="22"/>
        </w:rPr>
        <w:t xml:space="preserve">Fix</w:t>
      </w:r>
    </w:p>
    <w:p>
      <w:pPr>
        <w:spacing w:after="160" w:line="300"/>
      </w:pPr>
      <w:r>
        <w:rPr>
          <w:rFonts w:ascii="Arial" w:cs="Arial" w:eastAsia="Arial" w:hAnsi="Arial"/>
          <w:i w:val="false"/>
          <w:iCs w:val="false"/>
          <w:color w:val="1A1A1A"/>
          <w:sz w:val="21"/>
          <w:szCs w:val="21"/>
        </w:rPr>
        <w:t xml:space="preserve">Convert to two standard cards side by side with identical styling. Both should use the standard card system (gray border, white background, colored top-accent bar). Differentiate by content, not by container color. The navy-vs-cream asymmetry is a design choice that creates more visual complexity than the information hierarchy requires.</w:t>
      </w:r>
    </w:p>
    <w:p>
      <w:pPr>
        <w:spacing w:after="80"/>
      </w:pPr>
    </w:p>
    <w:p>
      <w:pPr>
        <w:pStyle w:val="Heading2"/>
        <w:spacing w:after="160" w:before="280"/>
      </w:pPr>
      <w:r>
        <w:rPr>
          <w:rFonts w:ascii="Georgia" w:cs="Georgia" w:eastAsia="Georgia" w:hAnsi="Georgia"/>
          <w:b/>
          <w:bCs/>
          <w:color w:val="4A6FA5"/>
          <w:sz w:val="26"/>
          <w:szCs w:val="26"/>
        </w:rPr>
        <w:t xml:space="preserve">6.3 Section Container Borders</w:t>
      </w:r>
    </w:p>
    <w:p>
      <w:pPr>
        <w:spacing w:after="140" w:line="300"/>
      </w:pPr>
      <w:r>
        <w:rPr>
          <w:rFonts w:ascii="Arial" w:cs="Arial" w:eastAsia="Arial" w:hAnsi="Arial"/>
          <w:b/>
          <w:bCs/>
          <w:color w:val="4A6FA5"/>
          <w:sz w:val="20"/>
          <w:szCs w:val="20"/>
        </w:rPr>
        <w:t xml:space="preserve">[MEDIUM] </w:t>
      </w:r>
      <w:r>
        <w:rPr>
          <w:rFonts w:ascii="Arial" w:cs="Arial" w:eastAsia="Arial" w:hAnsi="Arial"/>
          <w:color w:val="1A1A1A"/>
          <w:sz w:val="21"/>
          <w:szCs w:val="21"/>
        </w:rPr>
        <w:t xml:space="preserve">Some sections have a visible light-gray container border (rounded rectangle around the entire section), while others have no container border at all. “Who This Is Built For,” “Cost of Not Acting,” “Choose Your Situation,” and “Services &amp; Pricing” all have section-level borders. The “20 Levers” section and the checkmark bar do not. Either all content sections get a container border, or none do. Mixing creates a rhythm break.</w:t>
      </w:r>
    </w:p>
    <w:p>
      <w:r>
        <w:br w:type="page"/>
      </w:r>
    </w:p>
    <w:p>
      <w:pPr>
        <w:pStyle w:val="Heading1"/>
        <w:spacing w:after="200" w:before="360"/>
      </w:pPr>
      <w:r>
        <w:rPr>
          <w:rFonts w:ascii="Georgia" w:cs="Georgia" w:eastAsia="Georgia" w:hAnsi="Georgia"/>
          <w:b/>
          <w:bCs/>
          <w:color w:val="1B2A4A"/>
          <w:sz w:val="32"/>
          <w:szCs w:val="32"/>
        </w:rPr>
        <w:t xml:space="preserve">7. Navigation Bar</w:t>
      </w:r>
    </w:p>
    <w:p>
      <w:pPr>
        <w:spacing w:after="140" w:line="300"/>
      </w:pPr>
      <w:r>
        <w:rPr>
          <w:rFonts w:ascii="Arial" w:cs="Arial" w:eastAsia="Arial" w:hAnsi="Arial"/>
          <w:b/>
          <w:bCs/>
          <w:color w:val="4A6FA5"/>
          <w:sz w:val="20"/>
          <w:szCs w:val="20"/>
        </w:rPr>
        <w:t xml:space="preserve">[MEDIUM] </w:t>
      </w:r>
      <w:r>
        <w:rPr>
          <w:rFonts w:ascii="Arial" w:cs="Arial" w:eastAsia="Arial" w:hAnsi="Arial"/>
          <w:color w:val="1A1A1A"/>
          <w:sz w:val="21"/>
          <w:szCs w:val="21"/>
        </w:rPr>
        <w:t xml:space="preserve">The nav has 5 items (Operational Gaps, Services, Score Your Deal, About, Resources) plus the gold “15-Minute Fit Check” CTA on the far right. The “Operational Gaps” item has a gold background pill treatment while the others are plain text. This implies “Operational Gaps” is the active page—which is correct—but the pill style introduces a visual element (gold background pill) that doesn’t appear in the nav on other pages, and competes visually with the gold CTA on the right. Consider a subtler active state: bold text, underline, or navy text color rather than a gold background that mirrors the CTA.</w:t>
      </w:r>
    </w:p>
    <w:p>
      <w:pPr>
        <w:spacing w:after="80"/>
      </w:pPr>
    </w:p>
    <w:p>
      <w:pPr>
        <w:pStyle w:val="Heading1"/>
        <w:spacing w:after="200" w:before="360"/>
      </w:pPr>
      <w:r>
        <w:rPr>
          <w:rFonts w:ascii="Georgia" w:cs="Georgia" w:eastAsia="Georgia" w:hAnsi="Georgia"/>
          <w:b/>
          <w:bCs/>
          <w:color w:val="1B2A4A"/>
          <w:sz w:val="32"/>
          <w:szCs w:val="32"/>
        </w:rPr>
        <w:t xml:space="preserve">8. Proof Block Styling</w:t>
      </w:r>
    </w:p>
    <w:p>
      <w:pPr>
        <w:spacing w:after="160" w:line="300"/>
      </w:pPr>
      <w:r>
        <w:rPr>
          <w:rFonts w:ascii="Arial" w:cs="Arial" w:eastAsia="Arial" w:hAnsi="Arial"/>
          <w:i w:val="false"/>
          <w:iCs w:val="false"/>
          <w:color w:val="1A1A1A"/>
          <w:sz w:val="21"/>
          <w:szCs w:val="21"/>
        </w:rPr>
        <w:t xml:space="preserve">The segment-specific proof quotes (visible in Image 3) use a left-bar accent style. This is clean and differentiating, but:</w:t>
      </w:r>
    </w:p>
    <w:p>
      <w:pPr>
        <w:spacing w:after="80"/>
      </w:pPr>
    </w:p>
    <w:p>
      <w:pPr>
        <w:spacing w:after="140" w:line="300"/>
      </w:pPr>
      <w:r>
        <w:rPr>
          <w:rFonts w:ascii="Arial" w:cs="Arial" w:eastAsia="Arial" w:hAnsi="Arial"/>
          <w:b/>
          <w:bCs/>
          <w:color w:val="4A6FA5"/>
          <w:sz w:val="20"/>
          <w:szCs w:val="20"/>
        </w:rPr>
        <w:t xml:space="preserve">[MEDIUM] </w:t>
      </w:r>
      <w:r>
        <w:rPr>
          <w:rFonts w:ascii="Arial" w:cs="Arial" w:eastAsia="Arial" w:hAnsi="Arial"/>
          <w:color w:val="1A1A1A"/>
          <w:sz w:val="21"/>
          <w:szCs w:val="21"/>
        </w:rPr>
        <w:t xml:space="preserve">The left-bar accent is a visual vocabulary that only appears in the proof blocks. It’s not used by any other component on the page. This makes the proof quotes feel like they were ported in from a different design system. Consider converting the proof quotes to a standard blockquote style that uses the gold accent (matching the “Evaluating a Target” left stripe) or integrating them inside the segment cards as a footer element, so they don’t introduce yet another container pattern.</w:t>
      </w:r>
    </w:p>
    <w:p>
      <w:pPr>
        <w:spacing w:after="80"/>
      </w:pPr>
    </w:p>
    <w:p>
      <w:pPr>
        <w:pStyle w:val="Heading1"/>
        <w:spacing w:after="200" w:before="360"/>
      </w:pPr>
      <w:r>
        <w:rPr>
          <w:rFonts w:ascii="Georgia" w:cs="Georgia" w:eastAsia="Georgia" w:hAnsi="Georgia"/>
          <w:b/>
          <w:bCs/>
          <w:color w:val="1B2A4A"/>
          <w:sz w:val="32"/>
          <w:szCs w:val="32"/>
        </w:rPr>
        <w:t xml:space="preserve">9. Reducing Page Length &amp; Scroll Count</w:t>
      </w:r>
    </w:p>
    <w:p>
      <w:pPr>
        <w:spacing w:after="160" w:line="300"/>
      </w:pPr>
      <w:r>
        <w:rPr>
          <w:rFonts w:ascii="Arial" w:cs="Arial" w:eastAsia="Arial" w:hAnsi="Arial"/>
          <w:i w:val="false"/>
          <w:iCs w:val="false"/>
          <w:color w:val="1A1A1A"/>
          <w:sz w:val="21"/>
          <w:szCs w:val="21"/>
        </w:rPr>
        <w:t xml:space="preserve">The /pe page currently requires approximately 16 full viewport scrolls to read completely. The root cause is twofold: the content container is narrow (960px max-width on a 1512px viewport, wasting 41% of horizontal screen as empty white margins), and content-heavy sections are fully expanded by default with no progressive disclosure.</w:t>
      </w:r>
    </w:p>
    <w:p>
      <w:pPr>
        <w:spacing w:after="80"/>
      </w:pPr>
    </w:p>
    <w:p>
      <w:pPr>
        <w:spacing w:after="120" w:before="200"/>
      </w:pPr>
      <w:r>
        <w:rPr>
          <w:rFonts w:ascii="Arial" w:cs="Arial" w:eastAsia="Arial" w:hAnsi="Arial"/>
          <w:b/>
          <w:bCs/>
          <w:color w:val="1B2A4A"/>
          <w:sz w:val="22"/>
          <w:szCs w:val="22"/>
        </w:rPr>
        <w:t xml:space="preserve">Current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4A6FA5" w:sz="12"/>
              <w:bottom w:val="single" w:color="D0D5DD" w:sz="1"/>
              <w:right w:val="single" w:color="D0D5DD" w:sz="1"/>
            </w:tcBorders>
            <w:shd w:fill="F0F4F8" w:val="clear"/>
            <w:tcMar>
              <w:top w:type="dxa" w:w="120"/>
              <w:left w:type="dxa" w:w="200"/>
              <w:bottom w:type="dxa" w:w="120"/>
              <w:right w:type="dxa" w:w="200"/>
            </w:tcMar>
          </w:tcPr>
          <w:p>
            <w:pPr>
              <w:spacing w:after="80" w:line="280"/>
            </w:pPr>
            <w:r>
              <w:rPr>
                <w:rFonts w:ascii="Arial" w:cs="Arial" w:eastAsia="Arial" w:hAnsi="Arial"/>
                <w:b/>
                <w:bCs/>
                <w:color w:val="1B2A4A"/>
                <w:sz w:val="20"/>
                <w:szCs w:val="20"/>
              </w:rPr>
              <w:t xml:space="preserve">Viewport width: </w:t>
            </w:r>
            <w:r>
              <w:rPr>
                <w:rFonts w:ascii="Arial" w:cs="Arial" w:eastAsia="Arial" w:hAnsi="Arial"/>
                <w:sz w:val="20"/>
                <w:szCs w:val="20"/>
              </w:rPr>
              <w:t xml:space="preserve">1512px</w:t>
            </w:r>
          </w:p>
          <w:p>
            <w:pPr>
              <w:spacing w:after="80" w:line="280"/>
            </w:pPr>
            <w:r>
              <w:rPr>
                <w:rFonts w:ascii="Arial" w:cs="Arial" w:eastAsia="Arial" w:hAnsi="Arial"/>
                <w:b/>
                <w:bCs/>
                <w:color w:val="1B2A4A"/>
                <w:sz w:val="20"/>
                <w:szCs w:val="20"/>
              </w:rPr>
              <w:t xml:space="preserve">Content container max-width: </w:t>
            </w:r>
            <w:r>
              <w:rPr>
                <w:rFonts w:ascii="Arial" w:cs="Arial" w:eastAsia="Arial" w:hAnsi="Arial"/>
                <w:sz w:val="20"/>
                <w:szCs w:val="20"/>
              </w:rPr>
              <w:t xml:space="preserve">960px (set on main.main-container)</w:t>
            </w:r>
          </w:p>
          <w:p>
            <w:pPr>
              <w:spacing w:after="80" w:line="280"/>
            </w:pPr>
            <w:r>
              <w:rPr>
                <w:rFonts w:ascii="Arial" w:cs="Arial" w:eastAsia="Arial" w:hAnsi="Arial"/>
                <w:b/>
                <w:bCs/>
                <w:color w:val="1B2A4A"/>
                <w:sz w:val="20"/>
                <w:szCs w:val="20"/>
              </w:rPr>
              <w:t xml:space="preserve">Wasted horizontal space: </w:t>
            </w:r>
            <w:r>
              <w:rPr>
                <w:rFonts w:ascii="Arial" w:cs="Arial" w:eastAsia="Arial" w:hAnsi="Arial"/>
                <w:sz w:val="20"/>
                <w:szCs w:val="20"/>
              </w:rPr>
              <w:t xml:space="preserve">616px (305px left + 311px right) = 41% of viewport</w:t>
            </w:r>
          </w:p>
          <w:p>
            <w:pPr>
              <w:spacing w:after="80" w:line="280"/>
            </w:pPr>
            <w:r>
              <w:rPr>
                <w:rFonts w:ascii="Arial" w:cs="Arial" w:eastAsia="Arial" w:hAnsi="Arial"/>
                <w:b/>
                <w:bCs/>
                <w:color w:val="1B2A4A"/>
                <w:sz w:val="20"/>
                <w:szCs w:val="20"/>
              </w:rPr>
              <w:t xml:space="preserve">Total page height: </w:t>
            </w:r>
            <w:r>
              <w:rPr>
                <w:rFonts w:ascii="Arial" w:cs="Arial" w:eastAsia="Arial" w:hAnsi="Arial"/>
                <w:sz w:val="20"/>
                <w:szCs w:val="20"/>
              </w:rPr>
              <w:t xml:space="preserve">~10,576px = ~16 scrolls</w:t>
            </w:r>
          </w:p>
        </w:tc>
      </w:tr>
    </w:tbl>
    <w:p>
      <w:pPr>
        <w:spacing w:after="80"/>
      </w:pPr>
    </w:p>
    <w:p>
      <w:pPr>
        <w:pStyle w:val="Heading2"/>
        <w:spacing w:after="160" w:before="280"/>
      </w:pPr>
      <w:r>
        <w:rPr>
          <w:rFonts w:ascii="Georgia" w:cs="Georgia" w:eastAsia="Georgia" w:hAnsi="Georgia"/>
          <w:b/>
          <w:bCs/>
          <w:color w:val="4A6FA5"/>
          <w:sz w:val="26"/>
          <w:szCs w:val="26"/>
        </w:rPr>
        <w:t xml:space="preserve">9.1 Widen the Content Container</w:t>
      </w:r>
    </w:p>
    <w:p>
      <w:pPr>
        <w:spacing w:after="140" w:line="300"/>
      </w:pPr>
      <w:r>
        <w:rPr>
          <w:rFonts w:ascii="Arial" w:cs="Arial" w:eastAsia="Arial" w:hAnsi="Arial"/>
          <w:b/>
          <w:bCs/>
          <w:color w:val="C0392B"/>
          <w:sz w:val="20"/>
          <w:szCs w:val="20"/>
        </w:rPr>
        <w:t xml:space="preserve">[CRITICAL] </w:t>
      </w:r>
      <w:r>
        <w:rPr>
          <w:rFonts w:ascii="Arial" w:cs="Arial" w:eastAsia="Arial" w:hAnsi="Arial"/>
          <w:color w:val="1A1A1A"/>
          <w:sz w:val="21"/>
          <w:szCs w:val="21"/>
        </w:rPr>
        <w:t xml:space="preserve">Increase max-width from 960px to 1140–1200px. This is the single highest-impact change for scroll reduction. It buys ~25% more horizontal space: text wraps less, 3-column card grids get more room (reducing card height), and tables/lists become more compact vertically. Estimated scroll reduction: 16 → 12–13 scrolls.</w:t>
      </w:r>
    </w:p>
    <w:p>
      <w:pPr>
        <w:spacing w:after="80"/>
      </w:pPr>
    </w:p>
    <w:p>
      <w:pPr>
        <w:spacing w:after="160" w:line="300"/>
      </w:pPr>
      <w:r>
        <w:rPr>
          <w:rFonts w:ascii="Arial" w:cs="Arial" w:eastAsia="Arial" w:hAnsi="Arial"/>
          <w:i w:val="false"/>
          <w:iCs w:val="false"/>
          <w:color w:val="1A1A1A"/>
          <w:sz w:val="21"/>
          <w:szCs w:val="21"/>
        </w:rPr>
        <w:t xml:space="preserve">Be careful not to exceed 1200px — body text becomes hard to read when line lengths exceed ~75 characters. For text-heavy sections, keep a narrower inner column (720–800px) inside the wider container. Cards, tables, and multi-column layouts can use the full width.</w:t>
      </w:r>
    </w:p>
    <w:p>
      <w:pPr>
        <w:spacing w:after="80"/>
      </w:pPr>
    </w:p>
    <w:p>
      <w:pPr>
        <w:pStyle w:val="Heading2"/>
        <w:spacing w:after="160" w:before="280"/>
      </w:pPr>
      <w:r>
        <w:rPr>
          <w:rFonts w:ascii="Georgia" w:cs="Georgia" w:eastAsia="Georgia" w:hAnsi="Georgia"/>
          <w:b/>
          <w:bCs/>
          <w:color w:val="4A6FA5"/>
          <w:sz w:val="26"/>
          <w:szCs w:val="26"/>
        </w:rPr>
        <w:t xml:space="preserve">9.2 Full-Bleed Structural Sections</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Some sections don’t need to be constrained to the content column at all. The hero already breaks out to full width — do the same for the checkmark bar, the “Choose Your Situation” split panel, and the McKinsey quote blockquote. These are visual dividers, not reading content. Letting them span edge-to-edge breaks up vertical monotony and creates horizontal breathing that the narrow column currently prevents.</w:t>
      </w:r>
    </w:p>
    <w:p>
      <w:pPr>
        <w:spacing w:after="80"/>
      </w:pPr>
    </w:p>
    <w:p>
      <w:pPr>
        <w:pStyle w:val="Heading2"/>
        <w:spacing w:after="160" w:before="280"/>
      </w:pPr>
      <w:r>
        <w:rPr>
          <w:rFonts w:ascii="Georgia" w:cs="Georgia" w:eastAsia="Georgia" w:hAnsi="Georgia"/>
          <w:b/>
          <w:bCs/>
          <w:color w:val="4A6FA5"/>
          <w:sz w:val="26"/>
          <w:szCs w:val="26"/>
        </w:rPr>
        <w:t xml:space="preserve">9.3 Collapse Secondary Content by Default</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Several content-heavy sections should use in-page accordion-style collapse/expand (click to toggle, content reveals in place — no page navigation). The visitor stays in their scroll position; content slides open below the trigger element with a chevron indicator (▸ collapsed, ▾ expanded) and smooth height transition.</w:t>
      </w:r>
    </w:p>
    <w:p>
      <w:pPr>
        <w:spacing w:after="80"/>
      </w:pPr>
    </w:p>
    <w:p>
      <w:pPr>
        <w:spacing w:after="160" w:line="300"/>
      </w:pPr>
      <w:r>
        <w:rPr>
          <w:rFonts w:ascii="Arial" w:cs="Arial" w:eastAsia="Arial" w:hAnsi="Arial"/>
          <w:i w:val="false"/>
          <w:iCs w:val="false"/>
          <w:color w:val="1A1A1A"/>
          <w:sz w:val="21"/>
          <w:szCs w:val="21"/>
        </w:rPr>
        <w:t xml:space="preserve">Sections to collapse by default:</w:t>
      </w:r>
    </w:p>
    <w:p>
      <w:pPr>
        <w:pStyle w:val="ListParagraph"/>
        <w:numPr>
          <w:ilvl w:val="0"/>
          <w:numId w:val="3"/>
        </w:numPr>
        <w:spacing w:after="80" w:line="300"/>
      </w:pPr>
      <w:r>
        <w:rPr>
          <w:rFonts w:ascii="Arial" w:cs="Arial" w:eastAsia="Arial" w:hAnsi="Arial"/>
          <w:color w:val="1A1A1A"/>
          <w:sz w:val="21"/>
          <w:szCs w:val="21"/>
        </w:rPr>
        <w:t xml:space="preserve">Representative Outcomes — show heading + one-line summary (“Anonymized results from $10B+ institutional operating roles ▸”), expand on click</w:t>
      </w:r>
    </w:p>
    <w:p>
      <w:pPr>
        <w:pStyle w:val="ListParagraph"/>
        <w:numPr>
          <w:ilvl w:val="0"/>
          <w:numId w:val="3"/>
        </w:numPr>
        <w:spacing w:after="80" w:line="300"/>
      </w:pPr>
      <w:r>
        <w:rPr>
          <w:rFonts w:ascii="Arial" w:cs="Arial" w:eastAsia="Arial" w:hAnsi="Arial"/>
          <w:color w:val="1A1A1A"/>
          <w:sz w:val="21"/>
          <w:szCs w:val="21"/>
        </w:rPr>
        <w:t xml:space="preserve">Sample Deliverables — show heading + download links only, collapse the excerpts/previews</w:t>
      </w:r>
    </w:p>
    <w:p>
      <w:pPr>
        <w:pStyle w:val="ListParagraph"/>
        <w:numPr>
          <w:ilvl w:val="0"/>
          <w:numId w:val="3"/>
        </w:numPr>
        <w:spacing w:after="80" w:line="300"/>
      </w:pPr>
      <w:r>
        <w:rPr>
          <w:rFonts w:ascii="Arial" w:cs="Arial" w:eastAsia="Arial" w:hAnsi="Arial"/>
          <w:color w:val="1A1A1A"/>
          <w:sz w:val="21"/>
          <w:szCs w:val="21"/>
        </w:rPr>
        <w:t xml:space="preserve">FAQ — already partially accordion-style; ensure all answers are collapsed by default with only the question visible</w:t>
      </w:r>
    </w:p>
    <w:p>
      <w:pPr>
        <w:pStyle w:val="ListParagraph"/>
        <w:numPr>
          <w:ilvl w:val="0"/>
          <w:numId w:val="3"/>
        </w:numPr>
        <w:spacing w:after="80" w:line="300"/>
      </w:pPr>
      <w:r>
        <w:rPr>
          <w:rFonts w:ascii="Arial" w:cs="Arial" w:eastAsia="Arial" w:hAnsi="Arial"/>
          <w:color w:val="1A1A1A"/>
          <w:sz w:val="21"/>
          <w:szCs w:val="21"/>
        </w:rPr>
        <w:t xml:space="preserve">Detailed rubric table (on /pe/services) — show summary row, expand for full criteria</w:t>
      </w:r>
    </w:p>
    <w:p>
      <w:pPr>
        <w:spacing w:after="80"/>
      </w:pPr>
    </w:p>
    <w:p>
      <w:pPr>
        <w:spacing w:after="160" w:line="300"/>
      </w:pPr>
      <w:r>
        <w:rPr>
          <w:rFonts w:ascii="Arial" w:cs="Arial" w:eastAsia="Arial" w:hAnsi="Arial"/>
          <w:i w:val="false"/>
          <w:iCs w:val="false"/>
          <w:color w:val="1A1A1A"/>
          <w:sz w:val="21"/>
          <w:szCs w:val="21"/>
        </w:rPr>
        <w:t xml:space="preserve">Key UX principle: the collapsed state must show enough to communicate what’s inside, so the visitor can decide whether to expand without guessing. For example, not just “Representative Outcomes ▸” but “Representative Outcomes — anonymized results from $10B+ institutional operating roles ▸”.</w:t>
      </w:r>
    </w:p>
    <w:p>
      <w:pPr>
        <w:spacing w:after="80"/>
      </w:pPr>
    </w:p>
    <w:p>
      <w:pPr>
        <w:pStyle w:val="Heading2"/>
        <w:spacing w:after="160" w:before="280"/>
      </w:pPr>
      <w:r>
        <w:rPr>
          <w:rFonts w:ascii="Georgia" w:cs="Georgia" w:eastAsia="Georgia" w:hAnsi="Georgia"/>
          <w:b/>
          <w:bCs/>
          <w:color w:val="4A6FA5"/>
          <w:sz w:val="26"/>
          <w:szCs w:val="26"/>
        </w:rPr>
        <w:t xml:space="preserve">9.4 Convert Vertical Stacks to Horizontal Layouts</w:t>
      </w:r>
    </w:p>
    <w:p>
      <w:pPr>
        <w:spacing w:after="140" w:line="300"/>
      </w:pPr>
      <w:r>
        <w:rPr>
          <w:rFonts w:ascii="Arial" w:cs="Arial" w:eastAsia="Arial" w:hAnsi="Arial"/>
          <w:b/>
          <w:bCs/>
          <w:color w:val="4A6FA5"/>
          <w:sz w:val="20"/>
          <w:szCs w:val="20"/>
        </w:rPr>
        <w:t xml:space="preserve">[MEDIUM] </w:t>
      </w:r>
      <w:r>
        <w:rPr>
          <w:rFonts w:ascii="Arial" w:cs="Arial" w:eastAsia="Arial" w:hAnsi="Arial"/>
          <w:color w:val="1A1A1A"/>
          <w:sz w:val="21"/>
          <w:szCs w:val="21"/>
        </w:rPr>
        <w:t xml:space="preserve">Several sections that are currently stacked vertically could be laid out as 2-column side-by-side layouts at wider viewports, reducing their vertical footprint:</w:t>
      </w:r>
    </w:p>
    <w:p>
      <w:pPr>
        <w:pStyle w:val="ListParagraph"/>
        <w:numPr>
          <w:ilvl w:val="0"/>
          <w:numId w:val="4"/>
        </w:numPr>
        <w:spacing w:after="80" w:line="300"/>
      </w:pPr>
      <w:r>
        <w:rPr>
          <w:rFonts w:ascii="Arial" w:cs="Arial" w:eastAsia="Arial" w:hAnsi="Arial"/>
          <w:color w:val="1A1A1A"/>
          <w:sz w:val="21"/>
          <w:szCs w:val="21"/>
        </w:rPr>
        <w:t xml:space="preserve">“Risks We Surface” / “Value We Unlock” — natural 2-column split (currently sequential)</w:t>
      </w:r>
    </w:p>
    <w:p>
      <w:pPr>
        <w:pStyle w:val="ListParagraph"/>
        <w:numPr>
          <w:ilvl w:val="0"/>
          <w:numId w:val="4"/>
        </w:numPr>
        <w:spacing w:after="80" w:line="300"/>
      </w:pPr>
      <w:r>
        <w:rPr>
          <w:rFonts w:ascii="Arial" w:cs="Arial" w:eastAsia="Arial" w:hAnsi="Arial"/>
          <w:color w:val="1A1A1A"/>
          <w:sz w:val="21"/>
          <w:szCs w:val="21"/>
        </w:rPr>
        <w:t xml:space="preserve">“How It Works” 4-step process — can be a horizontal stepper or 2×2 grid instead of a vertical stack</w:t>
      </w:r>
    </w:p>
    <w:p>
      <w:pPr>
        <w:pStyle w:val="ListParagraph"/>
        <w:numPr>
          <w:ilvl w:val="0"/>
          <w:numId w:val="4"/>
        </w:numPr>
        <w:spacing w:after="80" w:line="300"/>
      </w:pPr>
      <w:r>
        <w:rPr>
          <w:rFonts w:ascii="Arial" w:cs="Arial" w:eastAsia="Arial" w:hAnsi="Arial"/>
          <w:color w:val="1A1A1A"/>
          <w:sz w:val="21"/>
          <w:szCs w:val="21"/>
        </w:rPr>
        <w:t xml:space="preserve">Proof blocks — the two case vignettes (Platform Stabilization + Vendor Optimization) could sit side by side instead of stacked</w:t>
      </w:r>
    </w:p>
    <w:p>
      <w:pPr>
        <w:spacing w:after="80"/>
      </w:pPr>
    </w:p>
    <w:p>
      <w:pPr>
        <w:pStyle w:val="Heading2"/>
        <w:spacing w:after="160" w:before="280"/>
      </w:pPr>
      <w:r>
        <w:rPr>
          <w:rFonts w:ascii="Georgia" w:cs="Georgia" w:eastAsia="Georgia" w:hAnsi="Georgia"/>
          <w:b/>
          <w:bCs/>
          <w:color w:val="4A6FA5"/>
          <w:sz w:val="26"/>
          <w:szCs w:val="26"/>
        </w:rPr>
        <w:t xml:space="preserve">9.5 Reduce Section Padding (If Compression Is a Priority)</w:t>
      </w:r>
    </w:p>
    <w:p>
      <w:pPr>
        <w:spacing w:after="140" w:line="300"/>
      </w:pPr>
      <w:r>
        <w:rPr>
          <w:rFonts w:ascii="Arial" w:cs="Arial" w:eastAsia="Arial" w:hAnsi="Arial"/>
          <w:b/>
          <w:bCs/>
          <w:color w:val="4A6FA5"/>
          <w:sz w:val="20"/>
          <w:szCs w:val="20"/>
        </w:rPr>
        <w:t xml:space="preserve">[LOW] </w:t>
      </w:r>
      <w:r>
        <w:rPr>
          <w:rFonts w:ascii="Arial" w:cs="Arial" w:eastAsia="Arial" w:hAnsi="Arial"/>
          <w:color w:val="1A1A1A"/>
          <w:sz w:val="21"/>
          <w:szCs w:val="21"/>
        </w:rPr>
        <w:t xml:space="preserve">The 40px top/bottom padding recommended in Section 1 is for visual rhythm. If vertical compression is more important, 32px top/bottom is still professional and saves ~160px across 10+ sections — roughly one fewer scroll.</w:t>
      </w:r>
    </w:p>
    <w:p>
      <w:pPr>
        <w:spacing w:after="80"/>
      </w:pPr>
    </w:p>
    <w:p>
      <w:pPr>
        <w:spacing w:after="120" w:before="200"/>
      </w:pPr>
      <w:r>
        <w:rPr>
          <w:rFonts w:ascii="Arial" w:cs="Arial" w:eastAsia="Arial" w:hAnsi="Arial"/>
          <w:b/>
          <w:bCs/>
          <w:color w:val="1B2A4A"/>
          <w:sz w:val="22"/>
          <w:szCs w:val="22"/>
        </w:rPr>
        <w:t xml:space="preserve">Estimated Combined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4A6FA5" w:sz="12"/>
              <w:bottom w:val="single" w:color="D0D5DD" w:sz="1"/>
              <w:right w:val="single" w:color="D0D5DD" w:sz="1"/>
            </w:tcBorders>
            <w:shd w:fill="F0F4F8" w:val="clear"/>
            <w:tcMar>
              <w:top w:type="dxa" w:w="120"/>
              <w:left w:type="dxa" w:w="200"/>
              <w:bottom w:type="dxa" w:w="120"/>
              <w:right w:type="dxa" w:w="200"/>
            </w:tcMar>
          </w:tcPr>
          <w:p>
            <w:pPr>
              <w:spacing w:after="80" w:line="280"/>
            </w:pPr>
            <w:r>
              <w:rPr>
                <w:rFonts w:ascii="Arial" w:cs="Arial" w:eastAsia="Arial" w:hAnsi="Arial"/>
                <w:b/>
                <w:bCs/>
                <w:color w:val="1B2A4A"/>
                <w:sz w:val="20"/>
                <w:szCs w:val="20"/>
              </w:rPr>
              <w:t xml:space="preserve">Technique</w:t>
            </w:r>
            <w:r>
              <w:rPr>
                <w:rFonts w:ascii="Arial" w:cs="Arial" w:eastAsia="Arial" w:hAnsi="Arial"/>
                <w:b/>
                <w:bCs/>
                <w:color w:val="1B2A4A"/>
                <w:sz w:val="20"/>
                <w:szCs w:val="20"/>
              </w:rPr>
              <w:t xml:space="preserve">                                        Scroll savings</w:t>
            </w:r>
          </w:p>
          <w:p>
            <w:pPr>
              <w:spacing w:after="80" w:line="280"/>
            </w:pPr>
            <w:r>
              <w:rPr>
                <w:rFonts w:ascii="Arial" w:cs="Arial" w:eastAsia="Arial" w:hAnsi="Arial"/>
                <w:color w:val="1A1A1A"/>
                <w:sz w:val="20"/>
                <w:szCs w:val="20"/>
              </w:rPr>
              <w:t xml:space="preserve">Widen to 1200px                                         ~3 scrolls</w:t>
            </w:r>
          </w:p>
          <w:p>
            <w:pPr>
              <w:spacing w:after="80" w:line="280"/>
            </w:pPr>
            <w:r>
              <w:rPr>
                <w:rFonts w:ascii="Arial" w:cs="Arial" w:eastAsia="Arial" w:hAnsi="Arial"/>
                <w:color w:val="1A1A1A"/>
                <w:sz w:val="20"/>
                <w:szCs w:val="20"/>
              </w:rPr>
              <w:t xml:space="preserve">Collapse secondary content                              ~2–3 scrolls</w:t>
            </w:r>
          </w:p>
          <w:p>
            <w:pPr>
              <w:spacing w:after="80" w:line="280"/>
            </w:pPr>
            <w:r>
              <w:rPr>
                <w:rFonts w:ascii="Arial" w:cs="Arial" w:eastAsia="Arial" w:hAnsi="Arial"/>
                <w:color w:val="1A1A1A"/>
                <w:sz w:val="20"/>
                <w:szCs w:val="20"/>
              </w:rPr>
              <w:t xml:space="preserve">Vertical-to-horizontal conversions                      ~1 scroll</w:t>
            </w:r>
          </w:p>
          <w:p>
            <w:pPr>
              <w:spacing w:after="80" w:line="280"/>
            </w:pPr>
            <w:r>
              <w:rPr>
                <w:rFonts w:ascii="Arial" w:cs="Arial" w:eastAsia="Arial" w:hAnsi="Arial"/>
                <w:color w:val="1A1A1A"/>
                <w:sz w:val="20"/>
                <w:szCs w:val="20"/>
              </w:rPr>
              <w:t xml:space="preserve">Full-bleed structural sections                          ~0.5 scroll</w:t>
            </w:r>
          </w:p>
          <w:p>
            <w:pPr>
              <w:spacing w:after="80" w:line="280"/>
            </w:pPr>
            <w:r>
              <w:rPr>
                <w:rFonts w:ascii="Arial" w:cs="Arial" w:eastAsia="Arial" w:hAnsi="Arial"/>
                <w:color w:val="1A1A1A"/>
                <w:sz w:val="20"/>
                <w:szCs w:val="20"/>
              </w:rPr>
              <w:t xml:space="preserve">Reduced padding (optional)                              ~0.5 scroll</w:t>
            </w:r>
          </w:p>
          <w:p>
            <w:pPr>
              <w:spacing w:after="80" w:line="280"/>
            </w:pPr>
            <w:r>
              <w:rPr>
                <w:rFonts w:ascii="Arial" w:cs="Arial" w:eastAsia="Arial" w:hAnsi="Arial"/>
                <w:b/>
                <w:bCs/>
                <w:color w:val="27AE60"/>
                <w:sz w:val="20"/>
                <w:szCs w:val="20"/>
              </w:rPr>
              <w:t xml:space="preserve">Total estimated reduction: 16 → 10–11 scrolls (~35% reduction)</w:t>
            </w:r>
          </w:p>
        </w:tc>
      </w:tr>
    </w:tbl>
    <w:p>
      <w:r>
        <w:br w:type="page"/>
      </w:r>
    </w:p>
    <w:p>
      <w:pPr>
        <w:pStyle w:val="Heading1"/>
        <w:spacing w:after="200" w:before="360"/>
      </w:pPr>
      <w:r>
        <w:rPr>
          <w:rFonts w:ascii="Georgia" w:cs="Georgia" w:eastAsia="Georgia" w:hAnsi="Georgia"/>
          <w:b/>
          <w:bCs/>
          <w:color w:val="1B2A4A"/>
          <w:sz w:val="32"/>
          <w:szCs w:val="32"/>
        </w:rPr>
        <w:t xml:space="preserve">10. Prioritized Fixes</w:t>
      </w:r>
    </w:p>
    <w:p>
      <w:pPr>
        <w:spacing w:after="160" w:line="300"/>
      </w:pPr>
      <w:r>
        <w:rPr>
          <w:rFonts w:ascii="Arial" w:cs="Arial" w:eastAsia="Arial" w:hAnsi="Arial"/>
          <w:i w:val="false"/>
          <w:iCs w:val="false"/>
          <w:color w:val="1A1A1A"/>
          <w:sz w:val="21"/>
          <w:szCs w:val="21"/>
        </w:rPr>
        <w:t xml:space="preserve">Ranked by visual impact and implementation effort. Includes both consistency fixes (Sections 1–8) and scroll reduction techniques (Section 9).</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500"/>
        <w:gridCol w:w="1500"/>
        <w:gridCol w:w="2060"/>
      </w:tblGrid>
      <w:tr>
        <w:tc>
          <w:tcPr>
            <w:tcW w:type="dxa" w:w="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0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1</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Widen content container from 960px to 1140–1200px max-width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C0392B"/>
                <w:sz w:val="20"/>
                <w:szCs w:val="20"/>
              </w:rPr>
              <w:t xml:space="preserve">Very 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9.1 Scroll</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2</w:t>
            </w:r>
          </w:p>
        </w:tc>
        <w:tc>
          <w:tcPr>
            <w:tcW w:type="dxa" w:w="3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Normalize section padding: 40px T/B, 32px L/R for all sections. 24px gap between all sections.</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C0392B"/>
                <w:sz w:val="20"/>
                <w:szCs w:val="20"/>
              </w:rPr>
              <w:t xml:space="preserve">Very High</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 Spacing</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3</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Define 1 card style (gray border, white bg, optional colored top accent) and apply to all card grids</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C0392B"/>
                <w:sz w:val="20"/>
                <w:szCs w:val="20"/>
              </w:rPr>
              <w:t xml:space="preserve">Very 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 Cards</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4</w:t>
            </w:r>
          </w:p>
        </w:tc>
        <w:tc>
          <w:tcPr>
            <w:tcW w:type="dxa" w:w="3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Equal-height cards: flex layout with bottom-aligned CTAs in all 3-column grids</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C0392B"/>
                <w:sz w:val="20"/>
                <w:szCs w:val="20"/>
              </w:rPr>
              <w:t xml:space="preserve">Very High</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6.1 Layout</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5</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Collapse secondary content by default (Representative Outcomes, Samples, FAQ) with in-page accordion expand</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9.3 Scroll</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6</w:t>
            </w:r>
          </w:p>
        </w:tc>
        <w:tc>
          <w:tcPr>
            <w:tcW w:type="dxa" w:w="3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Lock type scale to 7 sizes. Standardize body text to 17px. Standardize card H3 to 20px.</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0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3. Typography</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7</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Standardize CTAs: 1 primary style (solid gold), 1 secondary style (outline navy). Same label everywhere.</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 CTAs</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8</w:t>
            </w:r>
          </w:p>
        </w:tc>
        <w:tc>
          <w:tcPr>
            <w:tcW w:type="dxa" w:w="3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Restyle “Cost of Not Acting” cards: remove red/pink wash, use standard card with red text indicators only</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4. Color</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9</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Convert “Choose Your Situation” from navy/cream split to two standard cards side by side</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6.2 Layout</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10</w:t>
            </w:r>
          </w:p>
        </w:tc>
        <w:tc>
          <w:tcPr>
            <w:tcW w:type="dxa" w:w="3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Full-bleed structural sections (checkmark bar, quote block, split panel)</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0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9.2 Scroll</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11</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Convert vertical stacks to horizontal layouts (Risks/Value, How It Works, Proof blocks)</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9.4 Scroll</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12</w:t>
            </w:r>
          </w:p>
        </w:tc>
        <w:tc>
          <w:tcPr>
            <w:tcW w:type="dxa" w:w="3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Unify section container borders: either all sections get the rounded-rect border or none do</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6.3 Layout</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13</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Mute domain code pills to single color (gray or navy at 30%) instead of 6-color rainbow</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 Color</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14</w:t>
            </w:r>
          </w:p>
        </w:tc>
        <w:tc>
          <w:tcPr>
            <w:tcW w:type="dxa" w:w="3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Soften nav active state: replace gold pill with underline or bold treatment</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4A6FA5"/>
                <w:sz w:val="20"/>
                <w:szCs w:val="20"/>
              </w:rPr>
              <w:t xml:space="preserve">Low</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7. Nav</w:t>
            </w:r>
          </w:p>
        </w:tc>
      </w:tr>
    </w:tbl>
    <w:p>
      <w:r>
        <w:br w:type="page"/>
      </w:r>
    </w:p>
    <w:p>
      <w:pPr>
        <w:pStyle w:val="Heading1"/>
        <w:spacing w:after="200" w:before="360"/>
      </w:pPr>
      <w:r>
        <w:rPr>
          <w:rFonts w:ascii="Georgia" w:cs="Georgia" w:eastAsia="Georgia" w:hAnsi="Georgia"/>
          <w:b/>
          <w:bCs/>
          <w:color w:val="1B2A4A"/>
          <w:sz w:val="32"/>
          <w:szCs w:val="32"/>
        </w:rPr>
        <w:t xml:space="preserve">11. Recommended Design System Summary</w:t>
      </w:r>
    </w:p>
    <w:p>
      <w:pPr>
        <w:spacing w:after="160" w:line="300"/>
      </w:pPr>
      <w:r>
        <w:rPr>
          <w:rFonts w:ascii="Arial" w:cs="Arial" w:eastAsia="Arial" w:hAnsi="Arial"/>
          <w:i w:val="false"/>
          <w:iCs w:val="false"/>
          <w:color w:val="1A1A1A"/>
          <w:sz w:val="21"/>
          <w:szCs w:val="21"/>
        </w:rPr>
        <w:t xml:space="preserve">If you implement nothing else, implement this one-page spec. It’s the CSS equivalent of governance — enforce it and every new section you add will look like it belongs.</w:t>
      </w:r>
    </w:p>
    <w:p>
      <w:pPr>
        <w:spacing w:after="80"/>
      </w:pPr>
    </w:p>
    <w:p>
      <w:pPr>
        <w:spacing w:after="120" w:before="200"/>
      </w:pPr>
      <w:r>
        <w:rPr>
          <w:rFonts w:ascii="Arial" w:cs="Arial" w:eastAsia="Arial" w:hAnsi="Arial"/>
          <w:b/>
          <w:bCs/>
          <w:color w:val="1B2A4A"/>
          <w:sz w:val="22"/>
          <w:szCs w:val="22"/>
        </w:rPr>
        <w:t xml:space="preserve">Spacing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4A6FA5" w:sz="12"/>
              <w:bottom w:val="single" w:color="D0D5DD" w:sz="1"/>
              <w:right w:val="single" w:color="D0D5DD" w:sz="1"/>
            </w:tcBorders>
            <w:shd w:fill="F0F4F8" w:val="clear"/>
            <w:tcMar>
              <w:top w:type="dxa" w:w="120"/>
              <w:left w:type="dxa" w:w="200"/>
              <w:bottom w:type="dxa" w:w="120"/>
              <w:right w:type="dxa" w:w="200"/>
            </w:tcMar>
          </w:tcPr>
          <w:p>
            <w:pPr>
              <w:spacing w:after="80" w:line="280"/>
            </w:pPr>
            <w:r>
              <w:rPr>
                <w:rFonts w:ascii="Arial" w:cs="Arial" w:eastAsia="Arial" w:hAnsi="Arial"/>
                <w:color w:val="1A1A1A"/>
                <w:sz w:val="20"/>
                <w:szCs w:val="20"/>
              </w:rPr>
              <w:t xml:space="preserve">Section padding: 40px 32px (T/B L/R)</w:t>
            </w:r>
          </w:p>
          <w:p>
            <w:pPr>
              <w:spacing w:after="80" w:line="280"/>
            </w:pPr>
            <w:r>
              <w:rPr>
                <w:rFonts w:ascii="Arial" w:cs="Arial" w:eastAsia="Arial" w:hAnsi="Arial"/>
                <w:color w:val="1A1A1A"/>
                <w:sz w:val="20"/>
                <w:szCs w:val="20"/>
              </w:rPr>
              <w:t xml:space="preserve">Section gap: 24px</w:t>
            </w:r>
          </w:p>
          <w:p>
            <w:pPr>
              <w:spacing w:after="80" w:line="280"/>
            </w:pPr>
            <w:r>
              <w:rPr>
                <w:rFonts w:ascii="Arial" w:cs="Arial" w:eastAsia="Arial" w:hAnsi="Arial"/>
                <w:color w:val="1A1A1A"/>
                <w:sz w:val="20"/>
                <w:szCs w:val="20"/>
              </w:rPr>
              <w:t xml:space="preserve">Heading-to-body: 16px</w:t>
            </w:r>
          </w:p>
          <w:p>
            <w:pPr>
              <w:spacing w:after="80" w:line="280"/>
            </w:pPr>
            <w:r>
              <w:rPr>
                <w:rFonts w:ascii="Arial" w:cs="Arial" w:eastAsia="Arial" w:hAnsi="Arial"/>
                <w:color w:val="1A1A1A"/>
                <w:sz w:val="20"/>
                <w:szCs w:val="20"/>
              </w:rPr>
              <w:t xml:space="preserve">Card internal padding: 24px</w:t>
            </w:r>
          </w:p>
          <w:p>
            <w:pPr>
              <w:spacing w:after="80" w:line="280"/>
            </w:pPr>
            <w:r>
              <w:rPr>
                <w:rFonts w:ascii="Arial" w:cs="Arial" w:eastAsia="Arial" w:hAnsi="Arial"/>
                <w:color w:val="1A1A1A"/>
                <w:sz w:val="20"/>
                <w:szCs w:val="20"/>
              </w:rPr>
              <w:t xml:space="preserve">Scale: 8 | 16 | 24 | 32 | 40 | 48 only</w:t>
            </w:r>
          </w:p>
        </w:tc>
      </w:tr>
    </w:tbl>
    <w:p>
      <w:pPr>
        <w:spacing w:after="80"/>
      </w:pPr>
    </w:p>
    <w:p>
      <w:pPr>
        <w:spacing w:after="120" w:before="200"/>
      </w:pPr>
      <w:r>
        <w:rPr>
          <w:rFonts w:ascii="Arial" w:cs="Arial" w:eastAsia="Arial" w:hAnsi="Arial"/>
          <w:b/>
          <w:bCs/>
          <w:color w:val="1B2A4A"/>
          <w:sz w:val="22"/>
          <w:szCs w:val="22"/>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4A6FA5" w:sz="12"/>
              <w:bottom w:val="single" w:color="D0D5DD" w:sz="1"/>
              <w:right w:val="single" w:color="D0D5DD" w:sz="1"/>
            </w:tcBorders>
            <w:shd w:fill="F0F4F8" w:val="clear"/>
            <w:tcMar>
              <w:top w:type="dxa" w:w="120"/>
              <w:left w:type="dxa" w:w="200"/>
              <w:bottom w:type="dxa" w:w="120"/>
              <w:right w:type="dxa" w:w="200"/>
            </w:tcMar>
          </w:tcPr>
          <w:p>
            <w:pPr>
              <w:spacing w:after="80" w:line="280"/>
            </w:pPr>
            <w:r>
              <w:rPr>
                <w:rFonts w:ascii="Arial" w:cs="Arial" w:eastAsia="Arial" w:hAnsi="Arial"/>
                <w:color w:val="1A1A1A"/>
                <w:sz w:val="20"/>
                <w:szCs w:val="20"/>
              </w:rPr>
              <w:t xml:space="preserve">Display (H1): 48px EB Garamond 700</w:t>
            </w:r>
          </w:p>
          <w:p>
            <w:pPr>
              <w:spacing w:after="80" w:line="280"/>
            </w:pPr>
            <w:r>
              <w:rPr>
                <w:rFonts w:ascii="Arial" w:cs="Arial" w:eastAsia="Arial" w:hAnsi="Arial"/>
                <w:color w:val="1A1A1A"/>
                <w:sz w:val="20"/>
                <w:szCs w:val="20"/>
              </w:rPr>
              <w:t xml:space="preserve">Section heading (H2): 28px EB Garamond 700 navy</w:t>
            </w:r>
          </w:p>
          <w:p>
            <w:pPr>
              <w:spacing w:after="80" w:line="280"/>
            </w:pPr>
            <w:r>
              <w:rPr>
                <w:rFonts w:ascii="Arial" w:cs="Arial" w:eastAsia="Arial" w:hAnsi="Arial"/>
                <w:color w:val="1A1A1A"/>
                <w:sz w:val="20"/>
                <w:szCs w:val="20"/>
              </w:rPr>
              <w:t xml:space="preserve">Card heading (H3): 20px EB Garamond 700 navy</w:t>
            </w:r>
          </w:p>
          <w:p>
            <w:pPr>
              <w:spacing w:after="80" w:line="280"/>
            </w:pPr>
            <w:r>
              <w:rPr>
                <w:rFonts w:ascii="Arial" w:cs="Arial" w:eastAsia="Arial" w:hAnsi="Arial"/>
                <w:color w:val="1A1A1A"/>
                <w:sz w:val="20"/>
                <w:szCs w:val="20"/>
              </w:rPr>
              <w:t xml:space="preserve">Label: 13px Arial 600 uppercase gold ls:1.5px</w:t>
            </w:r>
          </w:p>
          <w:p>
            <w:pPr>
              <w:spacing w:after="80" w:line="280"/>
            </w:pPr>
            <w:r>
              <w:rPr>
                <w:rFonts w:ascii="Arial" w:cs="Arial" w:eastAsia="Arial" w:hAnsi="Arial"/>
                <w:color w:val="1A1A1A"/>
                <w:sz w:val="20"/>
                <w:szCs w:val="20"/>
              </w:rPr>
              <w:t xml:space="preserve">Body: 17px EB Garamond 400 rgb(31,41,55)</w:t>
            </w:r>
          </w:p>
          <w:p>
            <w:pPr>
              <w:spacing w:after="80" w:line="280"/>
            </w:pPr>
            <w:r>
              <w:rPr>
                <w:rFonts w:ascii="Arial" w:cs="Arial" w:eastAsia="Arial" w:hAnsi="Arial"/>
                <w:color w:val="1A1A1A"/>
                <w:sz w:val="20"/>
                <w:szCs w:val="20"/>
              </w:rPr>
              <w:t xml:space="preserve">Small: 14px Arial 400 gray</w:t>
            </w:r>
          </w:p>
          <w:p>
            <w:pPr>
              <w:spacing w:after="80" w:line="280"/>
            </w:pPr>
            <w:r>
              <w:rPr>
                <w:rFonts w:ascii="Arial" w:cs="Arial" w:eastAsia="Arial" w:hAnsi="Arial"/>
                <w:color w:val="1A1A1A"/>
                <w:sz w:val="20"/>
                <w:szCs w:val="20"/>
              </w:rPr>
              <w:t xml:space="preserve">CTA: 17px Arial 600</w:t>
            </w:r>
          </w:p>
        </w:tc>
      </w:tr>
    </w:tbl>
    <w:p>
      <w:pPr>
        <w:spacing w:after="80"/>
      </w:pPr>
    </w:p>
    <w:p>
      <w:pPr>
        <w:spacing w:after="120" w:before="200"/>
      </w:pPr>
      <w:r>
        <w:rPr>
          <w:rFonts w:ascii="Arial" w:cs="Arial" w:eastAsia="Arial" w:hAnsi="Arial"/>
          <w:b/>
          <w:bCs/>
          <w:color w:val="1B2A4A"/>
          <w:sz w:val="22"/>
          <w:szCs w:val="22"/>
        </w:rPr>
        <w:t xml:space="preserve">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4A6FA5" w:sz="12"/>
              <w:bottom w:val="single" w:color="D0D5DD" w:sz="1"/>
              <w:right w:val="single" w:color="D0D5DD" w:sz="1"/>
            </w:tcBorders>
            <w:shd w:fill="F0F4F8" w:val="clear"/>
            <w:tcMar>
              <w:top w:type="dxa" w:w="120"/>
              <w:left w:type="dxa" w:w="200"/>
              <w:bottom w:type="dxa" w:w="120"/>
              <w:right w:type="dxa" w:w="200"/>
            </w:tcMar>
          </w:tcPr>
          <w:p>
            <w:pPr>
              <w:spacing w:after="80" w:line="280"/>
            </w:pPr>
            <w:r>
              <w:rPr>
                <w:rFonts w:ascii="Arial" w:cs="Arial" w:eastAsia="Arial" w:hAnsi="Arial"/>
                <w:color w:val="1A1A1A"/>
                <w:sz w:val="20"/>
                <w:szCs w:val="20"/>
              </w:rPr>
              <w:t xml:space="preserve">Primary: navy rgb(20,33,61)</w:t>
            </w:r>
          </w:p>
          <w:p>
            <w:pPr>
              <w:spacing w:after="80" w:line="280"/>
            </w:pPr>
            <w:r>
              <w:rPr>
                <w:rFonts w:ascii="Arial" w:cs="Arial" w:eastAsia="Arial" w:hAnsi="Arial"/>
                <w:color w:val="1A1A1A"/>
                <w:sz w:val="20"/>
                <w:szCs w:val="20"/>
              </w:rPr>
              <w:t xml:space="preserve">Accent: gold rgb(184,134,11)</w:t>
            </w:r>
          </w:p>
          <w:p>
            <w:pPr>
              <w:spacing w:after="80" w:line="280"/>
            </w:pPr>
            <w:r>
              <w:rPr>
                <w:rFonts w:ascii="Arial" w:cs="Arial" w:eastAsia="Arial" w:hAnsi="Arial"/>
                <w:color w:val="1A1A1A"/>
                <w:sz w:val="20"/>
                <w:szCs w:val="20"/>
              </w:rPr>
              <w:t xml:space="preserve">Background: cream rgb(252,252,252)</w:t>
            </w:r>
          </w:p>
          <w:p>
            <w:pPr>
              <w:spacing w:after="80" w:line="280"/>
            </w:pPr>
            <w:r>
              <w:rPr>
                <w:rFonts w:ascii="Arial" w:cs="Arial" w:eastAsia="Arial" w:hAnsi="Arial"/>
                <w:color w:val="1A1A1A"/>
                <w:sz w:val="20"/>
                <w:szCs w:val="20"/>
              </w:rPr>
              <w:t xml:space="preserve">Text: dark rgb(31,41,55)</w:t>
            </w:r>
          </w:p>
          <w:p>
            <w:pPr>
              <w:spacing w:after="80" w:line="280"/>
            </w:pPr>
            <w:r>
              <w:rPr>
                <w:rFonts w:ascii="Arial" w:cs="Arial" w:eastAsia="Arial" w:hAnsi="Arial"/>
                <w:color w:val="1A1A1A"/>
                <w:sz w:val="20"/>
                <w:szCs w:val="20"/>
              </w:rPr>
              <w:t xml:space="preserve">Muted: gray rgb(107,114,128)</w:t>
            </w:r>
          </w:p>
          <w:p>
            <w:pPr>
              <w:spacing w:after="80" w:line="280"/>
            </w:pPr>
            <w:r>
              <w:rPr>
                <w:rFonts w:ascii="Arial" w:cs="Arial" w:eastAsia="Arial" w:hAnsi="Arial"/>
                <w:color w:val="1A1A1A"/>
                <w:sz w:val="20"/>
                <w:szCs w:val="20"/>
              </w:rPr>
              <w:t xml:space="preserve">Border: rgb(226,232,240)</w:t>
            </w:r>
          </w:p>
          <w:p>
            <w:pPr>
              <w:spacing w:after="80" w:line="280"/>
            </w:pPr>
            <w:r>
              <w:rPr>
                <w:rFonts w:ascii="Arial" w:cs="Arial" w:eastAsia="Arial" w:hAnsi="Arial"/>
                <w:color w:val="1A1A1A"/>
                <w:sz w:val="20"/>
                <w:szCs w:val="20"/>
              </w:rPr>
              <w:t xml:space="preserve">Red (danger, sparingly): rgb(197,48,48) — text only, never backgrounds</w:t>
            </w:r>
          </w:p>
        </w:tc>
      </w:tr>
    </w:tbl>
    <w:p>
      <w:pPr>
        <w:spacing w:after="80"/>
      </w:pPr>
    </w:p>
    <w:p>
      <w:pPr>
        <w:spacing w:after="120" w:before="200"/>
      </w:pPr>
      <w:r>
        <w:rPr>
          <w:rFonts w:ascii="Arial" w:cs="Arial" w:eastAsia="Arial" w:hAnsi="Arial"/>
          <w:b/>
          <w:bCs/>
          <w:color w:val="1B2A4A"/>
          <w:sz w:val="22"/>
          <w:szCs w:val="22"/>
        </w:rPr>
        <w:t xml:space="preserve">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4A6FA5" w:sz="12"/>
              <w:bottom w:val="single" w:color="D0D5DD" w:sz="1"/>
              <w:right w:val="single" w:color="D0D5DD" w:sz="1"/>
            </w:tcBorders>
            <w:shd w:fill="F0F4F8" w:val="clear"/>
            <w:tcMar>
              <w:top w:type="dxa" w:w="120"/>
              <w:left w:type="dxa" w:w="200"/>
              <w:bottom w:type="dxa" w:w="120"/>
              <w:right w:type="dxa" w:w="200"/>
            </w:tcMar>
          </w:tcPr>
          <w:p>
            <w:pPr>
              <w:spacing w:after="80" w:line="280"/>
            </w:pPr>
            <w:r>
              <w:rPr>
                <w:rFonts w:ascii="Arial" w:cs="Arial" w:eastAsia="Arial" w:hAnsi="Arial"/>
                <w:color w:val="1A1A1A"/>
                <w:sz w:val="20"/>
                <w:szCs w:val="20"/>
              </w:rPr>
              <w:t xml:space="preserve">Border: 1px rgb(226,232,240) solid</w:t>
            </w:r>
          </w:p>
          <w:p>
            <w:pPr>
              <w:spacing w:after="80" w:line="280"/>
            </w:pPr>
            <w:r>
              <w:rPr>
                <w:rFonts w:ascii="Arial" w:cs="Arial" w:eastAsia="Arial" w:hAnsi="Arial"/>
                <w:color w:val="1A1A1A"/>
                <w:sz w:val="20"/>
                <w:szCs w:val="20"/>
              </w:rPr>
              <w:t xml:space="preserve">Radius: 8px</w:t>
            </w:r>
          </w:p>
          <w:p>
            <w:pPr>
              <w:spacing w:after="80" w:line="280"/>
            </w:pPr>
            <w:r>
              <w:rPr>
                <w:rFonts w:ascii="Arial" w:cs="Arial" w:eastAsia="Arial" w:hAnsi="Arial"/>
                <w:color w:val="1A1A1A"/>
                <w:sz w:val="20"/>
                <w:szCs w:val="20"/>
              </w:rPr>
              <w:t xml:space="preserve">Padding: 24px</w:t>
            </w:r>
          </w:p>
          <w:p>
            <w:pPr>
              <w:spacing w:after="80" w:line="280"/>
            </w:pPr>
            <w:r>
              <w:rPr>
                <w:rFonts w:ascii="Arial" w:cs="Arial" w:eastAsia="Arial" w:hAnsi="Arial"/>
                <w:color w:val="1A1A1A"/>
                <w:sz w:val="20"/>
                <w:szCs w:val="20"/>
              </w:rPr>
              <w:t xml:space="preserve">Background: white</w:t>
            </w:r>
          </w:p>
          <w:p>
            <w:pPr>
              <w:spacing w:after="80" w:line="280"/>
            </w:pPr>
            <w:r>
              <w:rPr>
                <w:rFonts w:ascii="Arial" w:cs="Arial" w:eastAsia="Arial" w:hAnsi="Arial"/>
                <w:color w:val="1A1A1A"/>
                <w:sz w:val="20"/>
                <w:szCs w:val="20"/>
              </w:rPr>
              <w:t xml:space="preserve">Optional: 4px colored top-accent bar (navy, steel, gold per segment)</w:t>
            </w:r>
          </w:p>
          <w:p>
            <w:pPr>
              <w:spacing w:after="80" w:line="280"/>
            </w:pPr>
            <w:r>
              <w:rPr>
                <w:rFonts w:ascii="Arial" w:cs="Arial" w:eastAsia="Arial" w:hAnsi="Arial"/>
                <w:color w:val="1A1A1A"/>
                <w:sz w:val="20"/>
                <w:szCs w:val="20"/>
              </w:rPr>
              <w:t xml:space="preserve">Equal height in grids (flex + margin-top: auto on CTA)</w:t>
            </w:r>
          </w:p>
        </w:tc>
      </w:tr>
    </w:tbl>
    <w:p>
      <w:pPr>
        <w:spacing w:after="80"/>
      </w:pPr>
    </w:p>
    <w:p>
      <w:pPr>
        <w:spacing w:after="120" w:before="200"/>
      </w:pPr>
      <w:r>
        <w:rPr>
          <w:rFonts w:ascii="Arial" w:cs="Arial" w:eastAsia="Arial" w:hAnsi="Arial"/>
          <w:b/>
          <w:bCs/>
          <w:color w:val="1B2A4A"/>
          <w:sz w:val="22"/>
          <w:szCs w:val="22"/>
        </w:rP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4A6FA5" w:sz="12"/>
              <w:bottom w:val="single" w:color="D0D5DD" w:sz="1"/>
              <w:right w:val="single" w:color="D0D5DD" w:sz="1"/>
            </w:tcBorders>
            <w:shd w:fill="F0F4F8" w:val="clear"/>
            <w:tcMar>
              <w:top w:type="dxa" w:w="120"/>
              <w:left w:type="dxa" w:w="200"/>
              <w:bottom w:type="dxa" w:w="120"/>
              <w:right w:type="dxa" w:w="200"/>
            </w:tcMar>
          </w:tcPr>
          <w:p>
            <w:pPr>
              <w:spacing w:after="80" w:line="280"/>
            </w:pPr>
            <w:r>
              <w:rPr>
                <w:rFonts w:ascii="Arial" w:cs="Arial" w:eastAsia="Arial" w:hAnsi="Arial"/>
                <w:color w:val="1A1A1A"/>
                <w:sz w:val="20"/>
                <w:szCs w:val="20"/>
              </w:rPr>
              <w:t xml:space="preserve">Primary: gold bg, white text, 12px 24px padding, 6px radius</w:t>
            </w:r>
          </w:p>
          <w:p>
            <w:pPr>
              <w:spacing w:after="80" w:line="280"/>
            </w:pPr>
            <w:r>
              <w:rPr>
                <w:rFonts w:ascii="Arial" w:cs="Arial" w:eastAsia="Arial" w:hAnsi="Arial"/>
                <w:color w:val="1A1A1A"/>
                <w:sz w:val="20"/>
                <w:szCs w:val="20"/>
              </w:rPr>
              <w:t xml:space="preserve">Secondary: transparent bg, navy text, 1px navy border, same padding/radius</w:t>
            </w:r>
          </w:p>
          <w:p>
            <w:pPr>
              <w:spacing w:after="80" w:line="280"/>
            </w:pPr>
            <w:r>
              <w:rPr>
                <w:rFonts w:ascii="Arial" w:cs="Arial" w:eastAsia="Arial" w:hAnsi="Arial"/>
                <w:color w:val="1A1A1A"/>
                <w:sz w:val="20"/>
                <w:szCs w:val="20"/>
              </w:rPr>
              <w:t xml:space="preserve">No other variants. No red. No mixed arrow usage.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2" w:space="1"/>
      </w:pBdr>
      <w:spacing w:before="200"/>
      <w:jc w:val="center"/>
    </w:pPr>
    <w:r>
      <w:rPr>
        <w:rFonts w:ascii="Arial" w:cs="Arial" w:eastAsia="Arial" w:hAnsi="Arial"/>
        <w:color w:val="6B7B8D"/>
        <w:sz w:val="16"/>
        <w:szCs w:val="16"/>
      </w:rPr>
      <w:t xml:space="preserve">Confidential | Page </w:t>
    </w:r>
    <w:r>
      <w:rPr>
        <w:rFonts w:ascii="Arial" w:cs="Arial" w:eastAsia="Arial" w:hAnsi="Arial"/>
        <w:color w:val="6B7B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FA5" w:sz="4" w:space="1"/>
      </w:pBdr>
      <w:spacing w:after="200"/>
      <w:jc w:val="right"/>
    </w:pPr>
    <w:r>
      <w:rPr>
        <w:rFonts w:ascii="Georgia" w:cs="Georgia" w:eastAsia="Georgia" w:hAnsi="Georgia"/>
        <w:color w:val="4A6FA5"/>
        <w:sz w:val="18"/>
        <w:szCs w:val="18"/>
      </w:rPr>
      <w:t xml:space="preserve">Devonshire Ops </w:t>
    </w:r>
    <w:r>
      <w:rPr>
        <w:rFonts w:ascii="Arial" w:cs="Arial" w:eastAsia="Arial" w:hAnsi="Arial"/>
        <w:color w:val="6B7B8D"/>
        <w:sz w:val="18"/>
        <w:szCs w:val="18"/>
      </w:rPr>
      <w:t xml:space="preserve">| Visual Design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2026-03-21T19:28:06.293Z</dcterms:created>
  <dcterms:modified xsi:type="dcterms:W3CDTF">2026-03-21T19:28:06.294Z</dcterms:modified>
</cp:coreProperties>
</file>

<file path=docProps/custom.xml><?xml version="1.0" encoding="utf-8"?>
<Properties xmlns="http://schemas.openxmlformats.org/officeDocument/2006/custom-properties" xmlns:vt="http://schemas.openxmlformats.org/officeDocument/2006/docPropsVTypes"/>
</file>