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color w:val="4A6FA5"/>
          <w:spacing w:val="200"/>
          <w:sz w:val="24"/>
          <w:szCs w:val="24"/>
        </w:rPr>
        <w:t xml:space="preserve">DEVONSHIRE OPS</w:t>
      </w:r>
    </w:p>
    <w:p>
      <w:pPr>
        <w:spacing w:after="120"/>
        <w:jc w:val="center"/>
      </w:pPr>
      <w:r>
        <w:rPr>
          <w:rFonts w:ascii="Georgia" w:cs="Georgia" w:eastAsia="Georgia" w:hAnsi="Georgia"/>
          <w:b/>
          <w:bCs/>
          <w:color w:val="1B2A4A"/>
          <w:sz w:val="52"/>
          <w:szCs w:val="52"/>
        </w:rPr>
        <w:t xml:space="preserve">Website Conversion Audit</w:t>
      </w:r>
    </w:p>
    <w:p>
      <w:pPr>
        <w:spacing w:after="80"/>
        <w:jc w:val="center"/>
      </w:pPr>
      <w:r>
        <w:rPr>
          <w:rFonts w:ascii="Arial" w:cs="Arial" w:eastAsia="Arial" w:hAnsi="Arial"/>
          <w:color w:val="4A6FA5"/>
          <w:sz w:val="24"/>
          <w:szCs w:val="24"/>
        </w:rPr>
        <w:t xml:space="preserve">devonshireops.com/pe</w:t>
      </w:r>
    </w:p>
    <w:p>
      <w:pPr>
        <w:pBdr>
          <w:bottom w:val="single" w:color="4A6FA5" w:sz="6" w:space="1"/>
        </w:pBdr>
        <w:spacing w:after="600"/>
        <w:jc w:val="center"/>
      </w:pPr>
    </w:p>
    <w:p>
      <w:pPr>
        <w:spacing w:after="80"/>
        <w:jc w:val="center"/>
      </w:pPr>
      <w:r>
        <w:rPr>
          <w:rFonts w:ascii="Arial" w:cs="Arial" w:eastAsia="Arial" w:hAnsi="Arial"/>
          <w:color w:val="6B7B8D"/>
          <w:sz w:val="22"/>
          <w:szCs w:val="22"/>
        </w:rPr>
        <w:t xml:space="preserve">Prepared for Hassan Tariq</w:t>
      </w:r>
    </w:p>
    <w:p>
      <w:pPr>
        <w:spacing w:after="80"/>
        <w:jc w:val="center"/>
      </w:pPr>
      <w:r>
        <w:rPr>
          <w:rFonts w:ascii="Arial" w:cs="Arial" w:eastAsia="Arial" w:hAnsi="Arial"/>
          <w:color w:val="6B7B8D"/>
          <w:sz w:val="22"/>
          <w:szCs w:val="22"/>
        </w:rPr>
        <w:t xml:space="preserve">March 2026</w:t>
      </w:r>
    </w:p>
    <w:p>
      <w:pPr>
        <w:spacing w:after="80"/>
        <w:jc w:val="center"/>
      </w:pPr>
      <w:r>
        <w:rPr>
          <w:rFonts w:ascii="Arial" w:cs="Arial" w:eastAsia="Arial" w:hAnsi="Arial"/>
          <w:i/>
          <w:iCs/>
          <w:color w:val="6B7B8D"/>
          <w:sz w:val="20"/>
          <w:szCs w:val="20"/>
        </w:rPr>
        <w:t xml:space="preserve">Comprehensive Copy, UX &amp; Conversion Analysis</w:t>
      </w:r>
    </w:p>
    <w:p>
      <w:r>
        <w:br w:type="page"/>
      </w:r>
    </w:p>
    <w:p>
      <w:pPr>
        <w:pStyle w:val="Heading1"/>
        <w:spacing w:after="200" w:before="360"/>
      </w:pPr>
      <w:r>
        <w:rPr>
          <w:rFonts w:ascii="Georgia" w:cs="Georgia" w:eastAsia="Georgia" w:hAnsi="Georgia"/>
          <w:b/>
          <w:bCs/>
          <w:color w:val="1B2A4A"/>
          <w:sz w:val="32"/>
          <w:szCs w:val="32"/>
        </w:rPr>
        <w:t xml:space="preserve">Executive Summary</w:t>
      </w:r>
    </w:p>
    <w:p>
      <w:pPr>
        <w:spacing w:after="160" w:line="300"/>
      </w:pPr>
      <w:r>
        <w:rPr>
          <w:rFonts w:ascii="Arial" w:cs="Arial" w:eastAsia="Arial" w:hAnsi="Arial"/>
          <w:color w:val="1A1A1A"/>
          <w:sz w:val="21"/>
          <w:szCs w:val="21"/>
        </w:rPr>
        <w:t xml:space="preserve">This audit reviews devonshireops.com/pe across three dimensions: copy effectiveness, UI/UX design, and conversion architecture. The site was evaluated against your three buyer personas (independent sponsors, LMM PE funds, and family offices) and their specific deal-stage pain points.</w:t>
      </w:r>
    </w:p>
    <w:p>
      <w:pPr>
        <w:spacing w:after="80"/>
      </w:pPr>
    </w:p>
    <w:p>
      <w:pPr>
        <w:spacing w:after="160" w:line="300"/>
      </w:pPr>
      <w:r>
        <w:rPr>
          <w:rFonts w:ascii="Arial" w:cs="Arial" w:eastAsia="Arial" w:hAnsi="Arial"/>
          <w:b/>
          <w:bCs/>
          <w:color w:val="1B2A4A"/>
          <w:sz w:val="21"/>
          <w:szCs w:val="21"/>
        </w:rPr>
        <w:t xml:space="preserve">Overall assessment: </w:t>
      </w:r>
      <w:r>
        <w:rPr>
          <w:rFonts w:ascii="Arial" w:cs="Arial" w:eastAsia="Arial" w:hAnsi="Arial"/>
          <w:color w:val="1A1A1A"/>
          <w:sz w:val="21"/>
          <w:szCs w:val="21"/>
        </w:rPr>
        <w:t xml:space="preserve">The site is exceptionally well-built for a solo consulting practice. The 20-lever framework is genuinely differentiated, the pricing is transparent, and the deliverable samples add credibility. However, the site currently speaks one language—institutional PE operations—when it needs to speak three. The copy is optimized for the most sophisticated buyer (LMM PE funds) but misses the emotional triggers that drive independent sponsors and family offices to act. The biggest conversion leak is that the site tells prospects what you do without showing them what happens if they don’t act.</w:t>
      </w:r>
    </w:p>
    <w:p>
      <w:pPr>
        <w:spacing w:after="80"/>
      </w:pPr>
    </w:p>
    <w:p>
      <w:pPr>
        <w:spacing w:after="120" w:before="200"/>
      </w:pPr>
      <w:r>
        <w:rPr>
          <w:rFonts w:ascii="Arial" w:cs="Arial" w:eastAsia="Arial" w:hAnsi="Arial"/>
          <w:b/>
          <w:bCs/>
          <w:color w:val="1B2A4A"/>
          <w:sz w:val="22"/>
          <w:szCs w:val="22"/>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Gap</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Copy / Messaging</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Speaks to one buyer, not three</w:t>
            </w:r>
          </w:p>
        </w:tc>
      </w:tr>
      <w:tr>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UI / UX / Layout</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27AE60"/>
                <w:sz w:val="20"/>
                <w:szCs w:val="20"/>
              </w:rPr>
              <w:t xml:space="preserve">A–</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 but too long; weak mobile CTA visibility</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Conversion Architecture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 segment-specific entry point; single funnel for 3 buyers</w:t>
            </w:r>
          </w:p>
        </w:tc>
      </w:tr>
      <w:tr>
        <w:tc>
          <w:tcPr>
            <w:tcW w:type="dxa" w:w="3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 &amp; Credibility</w:t>
            </w:r>
          </w:p>
        </w:tc>
        <w:tc>
          <w:tcPr>
            <w:tcW w:type="dxa" w:w="18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B+</w:t>
            </w:r>
          </w:p>
        </w:tc>
        <w:tc>
          <w:tcPr>
            <w:tcW w:type="dxa" w:w="37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 About page exists but not surfaced on /pe; no client social proof yet</w:t>
            </w:r>
          </w:p>
        </w:tc>
      </w:tr>
      <w:tr>
        <w:tc>
          <w:tcPr>
            <w:tcW w:type="dxa" w:w="3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Differentiation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27AE60"/>
                <w:sz w:val="20"/>
                <w:szCs w:val="20"/>
              </w:rPr>
              <w:t xml:space="preserve">A</w:t>
            </w:r>
          </w:p>
        </w:tc>
        <w:tc>
          <w:tcPr>
            <w:tcW w:type="dxa" w:w="3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20-lever framework is genuinely unique</w:t>
            </w:r>
          </w:p>
        </w:tc>
      </w:tr>
    </w:tbl>
    <w:p>
      <w:r>
        <w:br w:type="page"/>
      </w:r>
    </w:p>
    <w:p>
      <w:pPr>
        <w:pStyle w:val="Heading1"/>
        <w:spacing w:after="200" w:before="360"/>
      </w:pPr>
      <w:r>
        <w:rPr>
          <w:rFonts w:ascii="Georgia" w:cs="Georgia" w:eastAsia="Georgia" w:hAnsi="Georgia"/>
          <w:b/>
          <w:bCs/>
          <w:color w:val="1B2A4A"/>
          <w:sz w:val="32"/>
          <w:szCs w:val="32"/>
        </w:rPr>
        <w:t xml:space="preserve">1. Copy &amp; Messaging Audit</w:t>
      </w:r>
    </w:p>
    <w:p>
      <w:pPr>
        <w:spacing w:after="160" w:line="300"/>
      </w:pPr>
      <w:r>
        <w:rPr>
          <w:rFonts w:ascii="Arial" w:cs="Arial" w:eastAsia="Arial" w:hAnsi="Arial"/>
          <w:color w:val="1A1A1A"/>
          <w:sz w:val="21"/>
          <w:szCs w:val="21"/>
        </w:rPr>
        <w:t xml:space="preserve">The copy is technically strong—clean, specific, and avoids consulting jargon. But it has a fundamental structural problem: it speaks to one composite buyer when your three segments have very different emotional triggers, vocabulary, and decision-making dynamics.</w:t>
      </w:r>
    </w:p>
    <w:p>
      <w:pPr>
        <w:pStyle w:val="Heading2"/>
        <w:spacing w:after="160" w:before="280"/>
      </w:pPr>
      <w:r>
        <w:rPr>
          <w:rFonts w:ascii="Georgia" w:cs="Georgia" w:eastAsia="Georgia" w:hAnsi="Georgia"/>
          <w:b/>
          <w:bCs/>
          <w:color w:val="4A6FA5"/>
          <w:sz w:val="26"/>
          <w:szCs w:val="26"/>
        </w:rPr>
        <w:t xml:space="preserve">1.1 Hero Section</w:t>
      </w:r>
    </w:p>
    <w:p>
      <w:pPr>
        <w:spacing w:after="120" w:before="200"/>
      </w:pPr>
      <w:r>
        <w:rPr>
          <w:rFonts w:ascii="Arial" w:cs="Arial" w:eastAsia="Arial" w:hAnsi="Arial"/>
          <w:b/>
          <w:bCs/>
          <w:color w:val="1B2A4A"/>
          <w:sz w:val="22"/>
          <w:szCs w:val="22"/>
        </w:rPr>
        <w:t xml:space="preserve">Current</w:t>
      </w:r>
    </w:p>
    <w:p>
      <w:pPr>
        <w:spacing w:after="160" w:line="300"/>
      </w:pPr>
      <w:r>
        <w:rPr>
          <w:rFonts w:ascii="Arial" w:cs="Arial" w:eastAsia="Arial" w:hAnsi="Arial"/>
          <w:color w:val="6B7B8D"/>
          <w:sz w:val="21"/>
          <w:szCs w:val="21"/>
        </w:rPr>
        <w:t xml:space="preserve">“Operational gaps are your biggest value creation lever. We find them before close and convert them into alpha.”</w:t>
      </w: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The word “alpha” is PE fund language. Independent sponsors don’t think in alpha—they think in “don’t lose my capital partner’s money.” Family offices think in “protect my family’s wealth.” Using fund-manager vocabulary in the hero immediately signals this site isn’t for the other two segments.</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hero promises a benefit (“convert gaps into alpha”) without surfacing pain. B2B consulting sites convert when they articulate the problem the buyer is already feeling. Your SMYKM email templates do this brilliantly—the site should match that energy.</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“We find them”—who is “we”? You are a solo practitioner and the site elsewhere says “I.” The pronoun inconsistency creates a credibility question: is this a firm or a person? Pick one voice and commit. Recommendation: first person singular. “I” is your advantage—it signals the buyer gets you, not a junior associate.</w:t>
      </w:r>
    </w:p>
    <w:p>
      <w:pPr>
        <w:spacing w:after="80"/>
      </w:pPr>
    </w:p>
    <w:p>
      <w:pPr>
        <w:spacing w:after="120" w:before="200"/>
      </w:pPr>
      <w:r>
        <w:rPr>
          <w:rFonts w:ascii="Arial" w:cs="Arial" w:eastAsia="Arial" w:hAnsi="Arial"/>
          <w:b/>
          <w:bCs/>
          <w:color w:val="1B2A4A"/>
          <w:sz w:val="22"/>
          <w:szCs w:val="22"/>
        </w:rPr>
        <w:t xml:space="preserve">Recommended Rewrite</w:t>
      </w:r>
    </w:p>
    <w:p>
      <w:pPr>
        <w:spacing w:after="160" w:line="300"/>
      </w:pPr>
      <w:r>
        <w:rPr>
          <w:rFonts w:ascii="Arial" w:cs="Arial" w:eastAsia="Arial" w:hAnsi="Arial"/>
          <w:color w:val="4A6FA5"/>
          <w:sz w:val="21"/>
          <w:szCs w:val="21"/>
        </w:rPr>
        <w:t xml:space="preserve">“Your deal team handles the financials. Who’s stress-testing the operations?”</w:t>
      </w:r>
    </w:p>
    <w:p>
      <w:pPr>
        <w:spacing w:after="160" w:line="300"/>
      </w:pPr>
      <w:r>
        <w:rPr>
          <w:rFonts w:ascii="Arial" w:cs="Arial" w:eastAsia="Arial" w:hAnsi="Arial"/>
          <w:color w:val="1A1A1A"/>
          <w:sz w:val="21"/>
          <w:szCs w:val="21"/>
        </w:rPr>
        <w:t xml:space="preserve">This rewrite works because: (a) it’s a question, which forces the reader to self-diagnose, (b) it’s segment-neutral—independent sponsors, PE funds, and family offices all recognize the gap, and (c) it positions you as the missing workstream rather than making a claim about alpha.</w:t>
      </w:r>
    </w:p>
    <w:p>
      <w:pPr>
        <w:spacing w:after="80"/>
      </w:pPr>
    </w:p>
    <w:p>
      <w:pPr>
        <w:spacing w:after="120" w:before="200"/>
      </w:pPr>
      <w:r>
        <w:rPr>
          <w:rFonts w:ascii="Arial" w:cs="Arial" w:eastAsia="Arial" w:hAnsi="Arial"/>
          <w:b/>
          <w:bCs/>
          <w:color w:val="1B2A4A"/>
          <w:sz w:val="22"/>
          <w:szCs w:val="22"/>
        </w:rPr>
        <w:t xml:space="preserve">Subhead Rewrite</w:t>
      </w:r>
    </w:p>
    <w:p>
      <w:pPr>
        <w:spacing w:after="160" w:line="300"/>
      </w:pPr>
      <w:r>
        <w:rPr>
          <w:rFonts w:ascii="Arial" w:cs="Arial" w:eastAsia="Arial" w:hAnsi="Arial"/>
          <w:b/>
          <w:bCs/>
          <w:color w:val="1B2A4A"/>
          <w:sz w:val="21"/>
          <w:szCs w:val="21"/>
        </w:rPr>
        <w:t xml:space="preserve">Current: </w:t>
      </w:r>
      <w:r>
        <w:rPr>
          <w:rFonts w:ascii="Arial" w:cs="Arial" w:eastAsia="Arial" w:hAnsi="Arial"/>
          <w:color w:val="1A1A1A"/>
          <w:sz w:val="21"/>
          <w:szCs w:val="21"/>
        </w:rPr>
        <w:t xml:space="preserve">“15+ years at JPM, Barclays, BofA, Lazard. $10B+ in assets. I surface the operational friction PE funds miss...”</w:t>
      </w:r>
    </w:p>
    <w:p>
      <w:pPr>
        <w:spacing w:after="160" w:line="300"/>
      </w:pPr>
      <w:r>
        <w:rPr>
          <w:rFonts w:ascii="Arial" w:cs="Arial" w:eastAsia="Arial" w:hAnsi="Arial"/>
          <w:b/>
          <w:bCs/>
          <w:color w:val="1B2A4A"/>
          <w:sz w:val="21"/>
          <w:szCs w:val="21"/>
        </w:rPr>
        <w:t xml:space="preserve">Problem: </w:t>
      </w:r>
      <w:r>
        <w:rPr>
          <w:rFonts w:ascii="Arial" w:cs="Arial" w:eastAsia="Arial" w:hAnsi="Arial"/>
          <w:color w:val="1A1A1A"/>
          <w:sz w:val="21"/>
          <w:szCs w:val="21"/>
        </w:rPr>
        <w:t xml:space="preserve">Leads with credentials instead of outcome. The credential dump works as proof, not as a hook. Also, “PE funds” excludes independent sponsors and family offices by name.</w:t>
      </w:r>
    </w:p>
    <w:p>
      <w:pPr>
        <w:spacing w:after="160" w:line="300"/>
      </w:pPr>
      <w:r>
        <w:rPr>
          <w:rFonts w:ascii="Arial" w:cs="Arial" w:eastAsia="Arial" w:hAnsi="Arial"/>
          <w:b/>
          <w:bCs/>
          <w:color w:val="1B2A4A"/>
          <w:sz w:val="21"/>
          <w:szCs w:val="21"/>
        </w:rPr>
        <w:t xml:space="preserve">Recommended: </w:t>
      </w:r>
      <w:r>
        <w:rPr>
          <w:rFonts w:ascii="Arial" w:cs="Arial" w:eastAsia="Arial" w:hAnsi="Arial"/>
          <w:color w:val="1A1A1A"/>
          <w:sz w:val="21"/>
          <w:szCs w:val="21"/>
        </w:rPr>
        <w:t xml:space="preserve">“I run pre-close ops diligence and 100-day post-close execution for PE funds, independent sponsors, and family offices. 15 years building and fixing operations at JPM, Barclays, Lazard, and BofA. I find what financial diligence misses—and build the plan that converts it into EBITDA improvement in 100 days.”</w:t>
      </w:r>
    </w:p>
    <w:p>
      <w:pPr>
        <w:spacing w:after="80"/>
      </w:pPr>
    </w:p>
    <w:p>
      <w:pPr>
        <w:pStyle w:val="Heading2"/>
        <w:spacing w:after="160" w:before="280"/>
      </w:pPr>
      <w:r>
        <w:rPr>
          <w:rFonts w:ascii="Georgia" w:cs="Georgia" w:eastAsia="Georgia" w:hAnsi="Georgia"/>
          <w:b/>
          <w:bCs/>
          <w:color w:val="4A6FA5"/>
          <w:sz w:val="26"/>
          <w:szCs w:val="26"/>
        </w:rPr>
        <w:t xml:space="preserve">1.2 “Common Situations” Section</w:t>
      </w: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This section uses the same language for all three deal stages but doesn’t address any buyer segment by name. The independent sponsor reading this section should feel like you wrote it for them specifically. Right now, they feel like they’re reading a generic consulting brochure.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“Diligence uncovered incident patterns with unclear root cause”—this is operator language, not buyer language. The independent sponsor doesn’t know what “incident patterns” means in this context. They know: “the business keeps having the same problems and nobody can tell me why.”</w:t>
      </w:r>
    </w:p>
    <w:p>
      <w:pPr>
        <w:spacing w:after="80"/>
      </w:pPr>
    </w:p>
    <w:p>
      <w:pPr>
        <w:spacing w:after="120" w:before="200"/>
      </w:pPr>
      <w:r>
        <w:rPr>
          <w:rFonts w:ascii="Arial" w:cs="Arial" w:eastAsia="Arial" w:hAnsi="Arial"/>
          <w:b/>
          <w:bCs/>
          <w:color w:val="1B2A4A"/>
          <w:sz w:val="22"/>
          <w:szCs w:val="22"/>
        </w:rPr>
        <w:t xml:space="preserve">Recommended Structure</w:t>
      </w:r>
    </w:p>
    <w:p>
      <w:pPr>
        <w:spacing w:after="160" w:line="300"/>
      </w:pPr>
      <w:r>
        <w:rPr>
          <w:rFonts w:ascii="Arial" w:cs="Arial" w:eastAsia="Arial" w:hAnsi="Arial"/>
          <w:color w:val="1A1A1A"/>
          <w:sz w:val="21"/>
          <w:szCs w:val="21"/>
        </w:rPr>
        <w:t xml:space="preserve">Replace the three generic scenario boxes with three segment-specific entry points. Each box should name the buyer, describe their specific pain in their language, and link to a segment-specific landing section or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Headline</w:t>
            </w:r>
          </w:p>
        </w:tc>
        <w:tc>
          <w:tcPr>
            <w:tcW w:type="dxa" w:w="35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Supporting Copy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Independent Sponsors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You’re sourcing, closing, and diligencing—all at once.</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Most IS operators handle ops DD themselves. That means it either gets done at 60% depth or gets skipped entirely. I run it in parallel so you walk into close knowing exactly what’s broken.</w:t>
            </w:r>
          </w:p>
        </w:tc>
      </w:tr>
      <w:tr>
        <w:tc>
          <w:tcPr>
            <w:tcW w:type="dxa" w:w="22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LMM PE Funds</w:t>
            </w:r>
          </w:p>
        </w:tc>
        <w:tc>
          <w:tcPr>
            <w:tcW w:type="dxa" w:w="35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deal team is stretched across 3 live deals. Ops DD is getting the leftovers.</w:t>
            </w:r>
          </w:p>
        </w:tc>
        <w:tc>
          <w:tcPr>
            <w:tcW w:type="dxa" w:w="358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Your operating partner—if you have one—is splitting time across the portfolio. I run a dedicated ops diligence workstream so nothing falls through the cracks.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Family Offices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Financial DD won’t catch what’s actually broken inside the business.</w:t>
            </w:r>
          </w:p>
        </w:tc>
        <w:tc>
          <w:tcPr>
            <w:tcW w:type="dxa" w:w="35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Customer concentration, key-person risk, and process gaps don’t show up on a balance sheet. I run the ops diligence your financial and legal advisors can’t.</w:t>
            </w:r>
          </w:p>
        </w:tc>
      </w:tr>
    </w:tbl>
    <w:p>
      <w:r>
        <w:br w:type="page"/>
      </w:r>
    </w:p>
    <w:p>
      <w:pPr>
        <w:pStyle w:val="Heading1"/>
        <w:spacing w:after="200" w:before="360"/>
      </w:pPr>
      <w:r>
        <w:rPr>
          <w:rFonts w:ascii="Georgia" w:cs="Georgia" w:eastAsia="Georgia" w:hAnsi="Georgia"/>
          <w:b/>
          <w:bCs/>
          <w:color w:val="1B2A4A"/>
          <w:sz w:val="32"/>
          <w:szCs w:val="32"/>
        </w:rPr>
        <w:t xml:space="preserve">2. The 20 Operational Levers Section</w:t>
      </w:r>
    </w:p>
    <w:p>
      <w:pPr>
        <w:spacing w:after="160" w:line="300"/>
      </w:pPr>
      <w:r>
        <w:rPr>
          <w:rFonts w:ascii="Arial" w:cs="Arial" w:eastAsia="Arial" w:hAnsi="Arial"/>
          <w:color w:val="1A1A1A"/>
          <w:sz w:val="21"/>
          <w:szCs w:val="21"/>
        </w:rPr>
        <w:t xml:space="preserve">This is the strongest section on the site and genuinely differentiates you from every other ops consultant in the PE space. The filtering by domain, timing, and severity is excellent UX. However, the section has issues that limit its conversion power.</w:t>
      </w:r>
    </w:p>
    <w:p>
      <w:pPr>
        <w:spacing w:after="80"/>
      </w:pP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levers are all infrastructure/technology-operations focused: incident management, change governance, vendor oversight, audit &amp; compliance, KPIs, and organizational process. This is your core expertise—but it positions you narrowly as an IT/technology operations specialist rather than a broad operational diligence advisor. For an independent sponsor buying a plumbing company or a family office investing in a food distributor, “No Formal Incident Command Structure” and “No Change Advisory Board” may not resonate. Consider whether the lever descriptions need industry-neutral translations for non-tech portfolio companies.</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domain codes (IM, CG, VP, AC, KO, OP) are internal taxonomy. Prospects don’t think in domain codes. Consider labeling by outcome instead: “Things That Break Repeatedly,” “Things Nobody Owns,” “Things That Won’t Survive Buyer DD.” This makes the levers self-diagnostic.</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20 levers is a lot to process. The visitor who clicks through from your cold email has 90 seconds of attention. Consider showing 5–6 “most common” levers by default with a “Show all 20” expand, rather than presenting all 20 immediately. The paradox of choice applies: showing everything reduces engagement with anything.</w:t>
      </w:r>
    </w:p>
    <w:p>
      <w:pPr>
        <w:spacing w:after="80"/>
      </w:pPr>
    </w:p>
    <w:p>
      <w:pPr>
        <w:pStyle w:val="Heading1"/>
        <w:spacing w:after="200" w:before="360"/>
      </w:pPr>
      <w:r>
        <w:rPr>
          <w:rFonts w:ascii="Georgia" w:cs="Georgia" w:eastAsia="Georgia" w:hAnsi="Georgia"/>
          <w:b/>
          <w:bCs/>
          <w:color w:val="1B2A4A"/>
          <w:sz w:val="32"/>
          <w:szCs w:val="32"/>
        </w:rPr>
        <w:t xml:space="preserve">3. Pricing &amp; Services Section</w:t>
      </w:r>
    </w:p>
    <w:p>
      <w:pPr>
        <w:spacing w:after="160" w:line="300"/>
      </w:pPr>
      <w:r>
        <w:rPr>
          <w:rFonts w:ascii="Arial" w:cs="Arial" w:eastAsia="Arial" w:hAnsi="Arial"/>
          <w:color w:val="1A1A1A"/>
          <w:sz w:val="21"/>
          <w:szCs w:val="21"/>
        </w:rPr>
        <w:t xml:space="preserve">Pricing transparency is a major competitive advantage—most PE ops consultants hide pricing behind a sales call. Your willingness to show prices builds trust. However, the pricing architecture has issues.</w:t>
      </w:r>
    </w:p>
    <w:p>
      <w:pPr>
        <w:spacing w:after="80"/>
      </w:pPr>
    </w:p>
    <w:p>
      <w:pPr>
        <w:spacing w:after="120" w:before="200"/>
      </w:pPr>
      <w:r>
        <w:rPr>
          <w:rFonts w:ascii="Arial" w:cs="Arial" w:eastAsia="Arial" w:hAnsi="Arial"/>
          <w:b/>
          <w:bCs/>
          <w:color w:val="1B2A4A"/>
          <w:sz w:val="22"/>
          <w:szCs w:val="22"/>
        </w:rPr>
        <w:t xml:space="preserve">Issues</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The $15K Ops Diligence Report and the $25K–$35K Bundle are presented side-by-side as equals. This creates a decision problem for the buyer. The $15K standalone should be positioned as a “starter” or “assess-only” option with a visible nudge toward the bundle. Right now, a price-sensitive independent sponsor will choose $15K every time—even when the bundle would be better for them—because the copy doesn’t explain what they lose by choosing standalone.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$7,500/month Control Tower Retainer is the natural family office product (you identified this in your buyer analysis—FOs prefer retainers because they lack fund lifecycle pressure). But the retainer isn’t framed as the family office option. Label it: “Most popular with family offices and long-hold sponsors.” Segment-specific social proof on pricing tiers dramatically increases conversion.</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“Currently accepting 1–2 new engagements” is good scarcity signaling. But it appears 7+ times across the site. By the third time a prospect sees it, it reads as a template, not a signal. Use it once in the hero and once near the CTA. Replace other instances with different urgency language: “Engagements typically book 2–3 weeks out” or “Q2 availability is limited.”</w:t>
      </w:r>
    </w:p>
    <w:p>
      <w:pPr>
        <w:spacing w:after="80"/>
      </w:pPr>
    </w:p>
    <w:p>
      <w:pPr>
        <w:spacing w:after="120" w:before="200"/>
      </w:pPr>
      <w:r>
        <w:rPr>
          <w:rFonts w:ascii="Arial" w:cs="Arial" w:eastAsia="Arial" w:hAnsi="Arial"/>
          <w:b/>
          <w:bCs/>
          <w:color w:val="1B2A4A"/>
          <w:sz w:val="22"/>
          <w:szCs w:val="22"/>
        </w:rPr>
        <w:t xml:space="preserve">Recommended Pricing Reframe</w:t>
      </w:r>
    </w:p>
    <w:p>
      <w:pPr>
        <w:spacing w:after="160" w:line="300"/>
      </w:pPr>
      <w:r>
        <w:rPr>
          <w:rFonts w:ascii="Arial" w:cs="Arial" w:eastAsia="Arial" w:hAnsi="Arial"/>
          <w:color w:val="1A1A1A"/>
          <w:sz w:val="21"/>
          <w:szCs w:val="21"/>
        </w:rPr>
        <w:t xml:space="preserve">Restructure the three tiers with buyer-segment anchoring: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 + Execute</w:t>
            </w:r>
          </w:p>
        </w:tc>
        <w:tc>
          <w:tcPr>
            <w:tcW w:type="dxa" w:w="234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Ongoing</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Price</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$15K</w:t>
            </w:r>
          </w:p>
        </w:tc>
        <w:tc>
          <w:tcPr>
            <w:tcW w:type="dxa" w:w="2340"/>
            <w:tcBorders>
              <w:top w:val="single" w:color="D0D5DD" w:sz="1"/>
              <w:left w:val="single" w:color="D0D5DD" w:sz="1"/>
              <w:bottom w:val="single" w:color="D0D5DD" w:sz="1"/>
              <w:right w:val="single" w:color="D0D5DD" w:sz="1"/>
            </w:tcBorders>
            <w:shd w:fill="E8F4E8" w:val="clear"/>
            <w:tcMar>
              <w:top w:type="dxa" w:w="80"/>
              <w:left w:type="dxa" w:w="120"/>
              <w:bottom w:type="dxa" w:w="80"/>
              <w:right w:type="dxa" w:w="120"/>
            </w:tcMar>
          </w:tcPr>
          <w:p>
            <w:r>
              <w:rPr>
                <w:rFonts w:ascii="Arial" w:cs="Arial" w:eastAsia="Arial" w:hAnsi="Arial"/>
                <w:b w:val="false"/>
                <w:bCs w:val="false"/>
                <w:color w:val="1A1A1A"/>
                <w:sz w:val="20"/>
                <w:szCs w:val="20"/>
              </w:rPr>
              <w:t xml:space="preserve">$25K–$35K</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$7,500/mo</w:t>
            </w:r>
          </w:p>
        </w:tc>
      </w:tr>
      <w:tr>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Best for</w:t>
            </w:r>
          </w:p>
        </w:tc>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Pre-close diligence only (IS buyers evaluating a deal)</w:t>
            </w:r>
          </w:p>
        </w:tc>
        <w:tc>
          <w:tcPr>
            <w:tcW w:type="dxa" w:w="2340"/>
            <w:tcBorders>
              <w:top w:val="single" w:color="D0D5DD" w:sz="1"/>
              <w:left w:val="single" w:color="D0D5DD" w:sz="1"/>
              <w:bottom w:val="single" w:color="D0D5DD" w:sz="1"/>
              <w:right w:val="single" w:color="D0D5DD" w:sz="1"/>
            </w:tcBorders>
            <w:shd w:fill="D6EDCB" w:val="clear"/>
            <w:tcMar>
              <w:top w:type="dxa" w:w="80"/>
              <w:left w:type="dxa" w:w="120"/>
              <w:bottom w:type="dxa" w:w="80"/>
              <w:right w:type="dxa" w:w="120"/>
            </w:tcMar>
          </w:tcPr>
          <w:p>
            <w:r>
              <w:rPr>
                <w:rFonts w:ascii="Arial" w:cs="Arial" w:eastAsia="Arial" w:hAnsi="Arial"/>
                <w:b w:val="false"/>
                <w:bCs w:val="false"/>
                <w:color w:val="1A1A1A"/>
                <w:sz w:val="20"/>
                <w:szCs w:val="20"/>
              </w:rPr>
              <w:t xml:space="preserve">Pre-close + 100-day execution (PE funds, IS closing)</w:t>
            </w:r>
          </w:p>
        </w:tc>
        <w:tc>
          <w:tcPr>
            <w:tcW w:type="dxa" w:w="234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 governance (Family offices, long-hold)</w:t>
            </w:r>
          </w:p>
        </w:tc>
      </w:tr>
      <w:tr>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Nudge copy</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“Choose this if you want to know what’s broken but plan to fix it yourself.”</w:t>
            </w:r>
          </w:p>
        </w:tc>
        <w:tc>
          <w:tcPr>
            <w:tcW w:type="dxa" w:w="2340"/>
            <w:tcBorders>
              <w:top w:val="single" w:color="D0D5DD" w:sz="1"/>
              <w:left w:val="single" w:color="D0D5DD" w:sz="1"/>
              <w:bottom w:val="single" w:color="D0D5DD" w:sz="1"/>
              <w:right w:val="single" w:color="D0D5DD" w:sz="1"/>
            </w:tcBorders>
            <w:shd w:fill="E8F4E8"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 Diligence findings feed directly into execution—no re-learning.”</w:t>
            </w:r>
          </w:p>
        </w:tc>
        <w:tc>
          <w:tcPr>
            <w:tcW w:type="dxa" w:w="234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“For sponsors who need a permanent ops rhythm without a full-time hire.”</w:t>
            </w:r>
          </w:p>
        </w:tc>
      </w:tr>
    </w:tbl>
    <w:p>
      <w:r>
        <w:br w:type="page"/>
      </w:r>
    </w:p>
    <w:p>
      <w:pPr>
        <w:pStyle w:val="Heading1"/>
        <w:spacing w:after="200" w:before="360"/>
      </w:pPr>
      <w:r>
        <w:rPr>
          <w:rFonts w:ascii="Georgia" w:cs="Georgia" w:eastAsia="Georgia" w:hAnsi="Georgia"/>
          <w:b/>
          <w:bCs/>
          <w:color w:val="1B2A4A"/>
          <w:sz w:val="32"/>
          <w:szCs w:val="32"/>
        </w:rPr>
        <w:t xml:space="preserve">4. UI/UX &amp; Conversion Architecture</w:t>
      </w:r>
    </w:p>
    <w:p>
      <w:pPr>
        <w:pStyle w:val="Heading2"/>
        <w:spacing w:after="160" w:before="280"/>
      </w:pPr>
      <w:r>
        <w:rPr>
          <w:rFonts w:ascii="Georgia" w:cs="Georgia" w:eastAsia="Georgia" w:hAnsi="Georgia"/>
          <w:b/>
          <w:bCs/>
          <w:color w:val="4A6FA5"/>
          <w:sz w:val="26"/>
          <w:szCs w:val="26"/>
        </w:rPr>
        <w:t xml:space="preserve">4.1 Page Length &amp; Information Architecture</w:t>
      </w:r>
    </w:p>
    <w:p>
      <w:pPr>
        <w:spacing w:after="140" w:line="300"/>
      </w:pPr>
      <w:r>
        <w:rPr>
          <w:rFonts w:ascii="Arial" w:cs="Arial" w:eastAsia="Arial" w:hAnsi="Arial"/>
          <w:b/>
          <w:bCs/>
          <w:color w:val="C0392B"/>
          <w:sz w:val="20"/>
          <w:szCs w:val="20"/>
        </w:rPr>
        <w:t xml:space="preserve">[CRITICAL] </w:t>
      </w:r>
      <w:r>
        <w:rPr>
          <w:rFonts w:ascii="Arial" w:cs="Arial" w:eastAsia="Arial" w:hAnsi="Arial"/>
          <w:color w:val="1A1A1A"/>
          <w:sz w:val="21"/>
          <w:szCs w:val="21"/>
        </w:rPr>
        <w:t xml:space="preserve">The /pe page is extremely long. It contains: hero, common situations, 20 levers (expandable), choose your situation, pricing, sample deliverables, risks/value, representative outcomes, FAQ, and final CTA. This is roughly 6,000+ words of content on a single scroll. Your cold email recipient has 60–90 seconds of attention. The page needs to convert within the first two screenfuls—everything after that should be “confirmation content” for people already leaning yes.</w:t>
      </w:r>
    </w:p>
    <w:p>
      <w:pPr>
        <w:spacing w:after="80"/>
      </w:pPr>
    </w:p>
    <w:p>
      <w:pPr>
        <w:spacing w:after="120" w:before="200"/>
      </w:pPr>
      <w:r>
        <w:rPr>
          <w:rFonts w:ascii="Arial" w:cs="Arial" w:eastAsia="Arial" w:hAnsi="Arial"/>
          <w:b/>
          <w:bCs/>
          <w:color w:val="1B2A4A"/>
          <w:sz w:val="22"/>
          <w:szCs w:val="22"/>
        </w:rPr>
        <w:t xml:space="preserve">Recommended Information Architecture</w:t>
      </w:r>
    </w:p>
    <w:p>
      <w:pPr>
        <w:pStyle w:val="ListParagraph"/>
        <w:numPr>
          <w:ilvl w:val="0"/>
          <w:numId w:val="2"/>
        </w:numPr>
        <w:spacing w:after="80" w:line="300"/>
      </w:pPr>
      <w:r>
        <w:rPr>
          <w:rFonts w:ascii="Arial" w:cs="Arial" w:eastAsia="Arial" w:hAnsi="Arial"/>
          <w:sz w:val="21"/>
          <w:szCs w:val="21"/>
        </w:rPr>
        <w:t xml:space="preserve">Hero + segment selector (above the fold)</w:t>
      </w:r>
    </w:p>
    <w:p>
      <w:pPr>
        <w:pStyle w:val="ListParagraph"/>
        <w:numPr>
          <w:ilvl w:val="0"/>
          <w:numId w:val="2"/>
        </w:numPr>
        <w:spacing w:after="80" w:line="300"/>
      </w:pPr>
      <w:r>
        <w:rPr>
          <w:rFonts w:ascii="Arial" w:cs="Arial" w:eastAsia="Arial" w:hAnsi="Arial"/>
          <w:sz w:val="21"/>
          <w:szCs w:val="21"/>
        </w:rPr>
        <w:t xml:space="preserve">3 common situations (segment-specific, with CTA each)</w:t>
      </w:r>
    </w:p>
    <w:p>
      <w:pPr>
        <w:pStyle w:val="ListParagraph"/>
        <w:numPr>
          <w:ilvl w:val="0"/>
          <w:numId w:val="2"/>
        </w:numPr>
        <w:spacing w:after="80" w:line="300"/>
      </w:pPr>
      <w:r>
        <w:rPr>
          <w:rFonts w:ascii="Arial" w:cs="Arial" w:eastAsia="Arial" w:hAnsi="Arial"/>
          <w:sz w:val="21"/>
          <w:szCs w:val="21"/>
        </w:rPr>
        <w:t xml:space="preserve">How it works (4-step process, very brief)</w:t>
      </w:r>
    </w:p>
    <w:p>
      <w:pPr>
        <w:pStyle w:val="ListParagraph"/>
        <w:numPr>
          <w:ilvl w:val="0"/>
          <w:numId w:val="2"/>
        </w:numPr>
        <w:spacing w:after="80" w:line="300"/>
      </w:pPr>
      <w:r>
        <w:rPr>
          <w:rFonts w:ascii="Arial" w:cs="Arial" w:eastAsia="Arial" w:hAnsi="Arial"/>
          <w:sz w:val="21"/>
          <w:szCs w:val="21"/>
        </w:rPr>
        <w:t xml:space="preserve">Pricing (with segment anchoring)</w:t>
      </w:r>
    </w:p>
    <w:p>
      <w:pPr>
        <w:pStyle w:val="ListParagraph"/>
        <w:numPr>
          <w:ilvl w:val="0"/>
          <w:numId w:val="2"/>
        </w:numPr>
        <w:spacing w:after="80" w:line="300"/>
      </w:pPr>
      <w:r>
        <w:rPr>
          <w:rFonts w:ascii="Arial" w:cs="Arial" w:eastAsia="Arial" w:hAnsi="Arial"/>
          <w:sz w:val="21"/>
          <w:szCs w:val="21"/>
        </w:rPr>
        <w:t xml:space="preserve">Final CTA</w:t>
      </w:r>
    </w:p>
    <w:p>
      <w:pPr>
        <w:spacing w:after="160" w:line="300"/>
      </w:pPr>
      <w:r>
        <w:rPr>
          <w:rFonts w:ascii="Arial" w:cs="Arial" w:eastAsia="Arial" w:hAnsi="Arial"/>
          <w:color w:val="1A1A1A"/>
          <w:sz w:val="21"/>
          <w:szCs w:val="21"/>
        </w:rPr>
        <w:t xml:space="preserve">Move the 20 levers, detailed services, rubric, and 100-day sequence to the /pe/services page. These are decision-confirmation content—they help someone who’s already interested validate their decision. They should not be on the primary conversion page.</w:t>
      </w:r>
    </w:p>
    <w:p>
      <w:pPr>
        <w:spacing w:after="80"/>
      </w:pPr>
    </w:p>
    <w:p>
      <w:pPr>
        <w:pStyle w:val="Heading2"/>
        <w:spacing w:after="160" w:before="280"/>
      </w:pPr>
      <w:r>
        <w:rPr>
          <w:rFonts w:ascii="Georgia" w:cs="Georgia" w:eastAsia="Georgia" w:hAnsi="Georgia"/>
          <w:b/>
          <w:bCs/>
          <w:color w:val="4A6FA5"/>
          <w:sz w:val="26"/>
          <w:szCs w:val="26"/>
        </w:rPr>
        <w:t xml:space="preserve">4.2 CTA Strategy</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You have two CTAs competing for attention: “Book a 15-Min Fit Check” and “Run the Ops Scorer.” These serve different purposes but are presented with equal visual weight. The Ops Scorer is a lead magnet (low commitment). The Fit Check is a sales call (high commitment). They should be visually hierarchied: Fit Check = primary (solid button), Ops Scorer = secondary (outlined/ghost button).</w:t>
      </w:r>
    </w:p>
    <w:p>
      <w:pPr>
        <w:spacing w:after="140" w:line="300"/>
      </w:pPr>
      <w:r>
        <w:rPr>
          <w:rFonts w:ascii="Arial" w:cs="Arial" w:eastAsia="Arial" w:hAnsi="Arial"/>
          <w:b/>
          <w:bCs/>
          <w:color w:val="27AE60"/>
          <w:sz w:val="20"/>
          <w:szCs w:val="20"/>
        </w:rPr>
        <w:t xml:space="preserve">[POSITIVE] </w:t>
      </w:r>
      <w:r>
        <w:rPr>
          <w:rFonts w:ascii="Arial" w:cs="Arial" w:eastAsia="Arial" w:hAnsi="Arial"/>
          <w:color w:val="1A1A1A"/>
          <w:sz w:val="21"/>
          <w:szCs w:val="21"/>
        </w:rPr>
        <w:t xml:space="preserve">The Ops Scorer already includes email capture on the results page via “Send My Report →” with a clear no-spam note. This is well-designed: self-diagnose → see prioritized results → download samples → email capture → CTA to Fit Check. Solid conversion funnel.</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Consider adding a buyer-type selector to the Scorer’s initial intake (alongside the situation selector). If someone identifies as an independent sponsor vs. a family office, the results page language can be tailored—e.g., for IS: “As a solo sponsor, these are the gaps that will cost you the most time post-close” vs. for FO: “These are the operational risks your financial DD won’t catch.” This personalizes the Scorer and reinforces the cold email experience.</w:t>
      </w:r>
    </w:p>
    <w:p>
      <w:pPr>
        <w:spacing w:after="80"/>
      </w:pPr>
    </w:p>
    <w:p>
      <w:pPr>
        <w:pStyle w:val="Heading2"/>
        <w:spacing w:after="160" w:before="280"/>
      </w:pPr>
      <w:r>
        <w:rPr>
          <w:rFonts w:ascii="Georgia" w:cs="Georgia" w:eastAsia="Georgia" w:hAnsi="Georgia"/>
          <w:b/>
          <w:bCs/>
          <w:color w:val="4A6FA5"/>
          <w:sz w:val="26"/>
          <w:szCs w:val="26"/>
        </w:rPr>
        <w:t xml:space="preserve">4.3 Existing Strengths &amp; Missing Elements</w:t>
      </w:r>
    </w:p>
    <w:p>
      <w:pPr>
        <w:spacing w:after="120" w:before="200"/>
      </w:pPr>
      <w:r>
        <w:rPr>
          <w:rFonts w:ascii="Arial" w:cs="Arial" w:eastAsia="Arial" w:hAnsi="Arial"/>
          <w:b/>
          <w:bCs/>
          <w:color w:val="1B2A4A"/>
          <w:sz w:val="22"/>
          <w:szCs w:val="22"/>
        </w:rPr>
        <w:t xml:space="preserve">About Page (/pe/about) — Exists and Is Strong</w:t>
      </w:r>
    </w:p>
    <w:p>
      <w:pPr>
        <w:spacing w:after="140" w:line="300"/>
      </w:pPr>
      <w:r>
        <w:rPr>
          <w:rFonts w:ascii="Arial" w:cs="Arial" w:eastAsia="Arial" w:hAnsi="Arial"/>
          <w:b/>
          <w:bCs/>
          <w:color w:val="27AE60"/>
          <w:sz w:val="20"/>
          <w:szCs w:val="20"/>
        </w:rPr>
        <w:t xml:space="preserve">[POSITIVE] </w:t>
      </w:r>
      <w:r>
        <w:rPr>
          <w:rFonts w:ascii="Arial" w:cs="Arial" w:eastAsia="Arial" w:hAnsi="Arial"/>
          <w:color w:val="1A1A1A"/>
          <w:sz w:val="21"/>
          <w:szCs w:val="21"/>
        </w:rPr>
        <w:t xml:space="preserve">The /pe/about page is well-executed. Strong credentials (JPM, Barclays, Lazard, BofA), clear positioning, a solid “Why Not Big 4” section, and representative outcomes with specific metrics (∼60% outage reduction, 94% → 99% uptime, $2M+ vendor savings). This page does its job for a visitor who navigates to it.</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issue is discoverability. A cold email recipient lands on /pe and scrolls. They never see your bio, your photo, or your credentials in context—unless they find and click through to /pe/about. On the main /pe conversion page, add a compact “About” anchor: not a full bio, but a 2–3 sentence version with your photo and a “Read more →” link. Something like a sidebar card: “Hassan Tariq | 15+ years at JPM, Barclays, Lazard, BofA | Columbia MBA ’26” with headshot. The goal is to give the /pe visitor enough credibility signal without requiring them to leave the conversion page.</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Copy note on /pe/about: the tagline “Find the gaps. Build the plan. Deliver the alpha.” repeats the “alpha” language from the hero. Same recommendation applies—replace with language that resonates across all three segments.</w:t>
      </w:r>
    </w:p>
    <w:p>
      <w:pPr>
        <w:spacing w:after="80"/>
      </w:pPr>
    </w:p>
    <w:p>
      <w:pPr>
        <w:spacing w:after="120" w:before="200"/>
      </w:pPr>
      <w:r>
        <w:rPr>
          <w:rFonts w:ascii="Arial" w:cs="Arial" w:eastAsia="Arial" w:hAnsi="Arial"/>
          <w:b/>
          <w:bCs/>
          <w:color w:val="1B2A4A"/>
          <w:sz w:val="22"/>
          <w:szCs w:val="22"/>
        </w:rPr>
        <w:t xml:space="preserve">Still Missing</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No testimonials or social proof. Even one quote from a Columbia professor, a mentor, or a former colleague who can speak to your operational credibility would meaningfully increase trust. If you don’t have client testimonials yet (pre-launch), use credential-based proof: “Former Head of Platform Operations at a $10B multi-strategy fund” is itself a proof point. Frame it as a mini case study of what you did there.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No blog, no thought leadership content, no LinkedIn integration. Your cold emails reference “1-pagers” in the follow-ups (Email #3 across all segments). These 1-pagers should live on the site as gated or ungated content. They serve dual purpose: (a) give the follow-up email a real link to point to, and (b) provide SEO/organic discovery content.</w:t>
      </w:r>
    </w:p>
    <w:p>
      <w:r>
        <w:br w:type="page"/>
      </w:r>
    </w:p>
    <w:p>
      <w:pPr>
        <w:pStyle w:val="Heading1"/>
        <w:spacing w:after="200" w:before="360"/>
      </w:pPr>
      <w:r>
        <w:rPr>
          <w:rFonts w:ascii="Georgia" w:cs="Georgia" w:eastAsia="Georgia" w:hAnsi="Georgia"/>
          <w:b/>
          <w:bCs/>
          <w:color w:val="1B2A4A"/>
          <w:sz w:val="32"/>
          <w:szCs w:val="32"/>
        </w:rPr>
        <w:t xml:space="preserve">5. Addressing the Real Competitor: Doing Nothing</w:t>
      </w:r>
    </w:p>
    <w:p>
      <w:pPr>
        <w:spacing w:after="160" w:line="300"/>
      </w:pPr>
      <w:r>
        <w:rPr>
          <w:rFonts w:ascii="Arial" w:cs="Arial" w:eastAsia="Arial" w:hAnsi="Arial"/>
          <w:color w:val="1A1A1A"/>
          <w:sz w:val="21"/>
          <w:szCs w:val="21"/>
        </w:rPr>
        <w:t xml:space="preserve">You correctly identified that your biggest competitor isn’t Big 4—it’s doing nothing. Most funds skip ops diligence entirely. But the site’s copy doesn’t make the cost of doing nothing visceral enough.</w:t>
      </w:r>
    </w:p>
    <w:p>
      <w:pPr>
        <w:spacing w:after="80"/>
      </w:pPr>
    </w:p>
    <w:p>
      <w:pPr>
        <w:spacing w:after="120" w:before="200"/>
      </w:pPr>
      <w:r>
        <w:rPr>
          <w:rFonts w:ascii="Arial" w:cs="Arial" w:eastAsia="Arial" w:hAnsi="Arial"/>
          <w:b/>
          <w:bCs/>
          <w:color w:val="1B2A4A"/>
          <w:sz w:val="22"/>
          <w:szCs w:val="22"/>
        </w:rPr>
        <w:t xml:space="preserve">What’s Missing: The “Cost of Inaction” Frame</w:t>
      </w:r>
    </w:p>
    <w:p>
      <w:pPr>
        <w:spacing w:after="160" w:line="300"/>
      </w:pPr>
      <w:r>
        <w:rPr>
          <w:rFonts w:ascii="Arial" w:cs="Arial" w:eastAsia="Arial" w:hAnsi="Arial"/>
          <w:color w:val="1A1A1A"/>
          <w:sz w:val="21"/>
          <w:szCs w:val="21"/>
        </w:rPr>
        <w:t xml:space="preserve">Your emails use this frame brilliantly: “Trying to build a full ops DD + 100-day roadmap while you’re also closing the deal and managing LP relationships is a risky bet.” The site needs an equivalent section—a brief, punchy block that makes the prospect feel the pain of skipping ops DD. Consider adding a section titled something like “What Happens When You Skip Ops Diligence” with 3–4 concrete scenarios:</w:t>
      </w:r>
    </w:p>
    <w:p>
      <w:pPr>
        <w:pStyle w:val="ListParagraph"/>
        <w:numPr>
          <w:ilvl w:val="0"/>
          <w:numId w:val="3"/>
        </w:numPr>
        <w:spacing w:after="80" w:line="300"/>
      </w:pPr>
      <w:r>
        <w:rPr>
          <w:rFonts w:ascii="Arial" w:cs="Arial" w:eastAsia="Arial" w:hAnsi="Arial"/>
          <w:color w:val="1A1A1A"/>
          <w:sz w:val="21"/>
          <w:szCs w:val="21"/>
        </w:rPr>
        <w:t xml:space="preserve">Month 3 post-close: the same system failure happens for the fourth time. Nobody owns it. You’re now spending board meetings on firefighting instead of value creation.</w:t>
      </w:r>
    </w:p>
    <w:p>
      <w:pPr>
        <w:pStyle w:val="ListParagraph"/>
        <w:numPr>
          <w:ilvl w:val="0"/>
          <w:numId w:val="3"/>
        </w:numPr>
        <w:spacing w:after="80" w:line="300"/>
      </w:pPr>
      <w:r>
        <w:rPr>
          <w:rFonts w:ascii="Arial" w:cs="Arial" w:eastAsia="Arial" w:hAnsi="Arial"/>
          <w:color w:val="1A1A1A"/>
          <w:sz w:val="21"/>
          <w:szCs w:val="21"/>
        </w:rPr>
        <w:t xml:space="preserve">Exit process: buyer’s diligence team finds vendor concentration, key-person risk, and undocumented processes. Each one becomes a purchase price deduction.</w:t>
      </w:r>
    </w:p>
    <w:p>
      <w:pPr>
        <w:pStyle w:val="ListParagraph"/>
        <w:numPr>
          <w:ilvl w:val="0"/>
          <w:numId w:val="3"/>
        </w:numPr>
        <w:spacing w:after="80" w:line="300"/>
      </w:pPr>
      <w:r>
        <w:rPr>
          <w:rFonts w:ascii="Arial" w:cs="Arial" w:eastAsia="Arial" w:hAnsi="Arial"/>
          <w:color w:val="1A1A1A"/>
          <w:sz w:val="21"/>
          <w:szCs w:val="21"/>
        </w:rPr>
        <w:t xml:space="preserve">LP reporting: you can’t articulate the operational improvement story because there’s no baseline, no KPIs, and no structured narrative.</w:t>
      </w:r>
    </w:p>
    <w:p>
      <w:pPr>
        <w:spacing w:after="160" w:line="300"/>
      </w:pPr>
      <w:r>
        <w:rPr>
          <w:rFonts w:ascii="Arial" w:cs="Arial" w:eastAsia="Arial" w:hAnsi="Arial"/>
          <w:color w:val="1A1A1A"/>
          <w:sz w:val="21"/>
          <w:szCs w:val="21"/>
        </w:rPr>
        <w:t xml:space="preserve">This content bridges the gap between “I understand what you do” and “I need what you do.” The 20 levers tell them what’s broken. The cost-of-inaction section tells them what happens if they ignore it.</w:t>
      </w:r>
    </w:p>
    <w:p>
      <w:pPr>
        <w:spacing w:after="80"/>
      </w:pPr>
    </w:p>
    <w:p>
      <w:pPr>
        <w:pStyle w:val="Heading1"/>
        <w:spacing w:after="200" w:before="360"/>
      </w:pPr>
      <w:r>
        <w:rPr>
          <w:rFonts w:ascii="Georgia" w:cs="Georgia" w:eastAsia="Georgia" w:hAnsi="Georgia"/>
          <w:b/>
          <w:bCs/>
          <w:color w:val="1B2A4A"/>
          <w:sz w:val="32"/>
          <w:szCs w:val="32"/>
        </w:rPr>
        <w:t xml:space="preserve">6. Prioritized Recommendations</w:t>
      </w:r>
    </w:p>
    <w:p>
      <w:pPr>
        <w:spacing w:after="160" w:line="300"/>
      </w:pPr>
      <w:r>
        <w:rPr>
          <w:rFonts w:ascii="Arial" w:cs="Arial" w:eastAsia="Arial" w:hAnsi="Arial"/>
          <w:color w:val="1A1A1A"/>
          <w:sz w:val="21"/>
          <w:szCs w:val="21"/>
        </w:rPr>
        <w:t xml:space="preserve">Recommendations ranked by expected conversion impact and implementation effort.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60"/>
        <w:gridCol w:w="1500"/>
        <w:gridCol w:w="1500"/>
        <w:gridCol w:w="2500"/>
      </w:tblGrid>
      <w:tr>
        <w:tc>
          <w:tcPr>
            <w:tcW w:type="dxa" w:w="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5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segment-specific entry points (“Are you an IS / PE fund / FO?”) to the hero or just below it</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 / Situations</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Rewrite hero headline from “alpha” to a segment-neutral question</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C0392B"/>
                <w:sz w:val="20"/>
                <w:szCs w:val="20"/>
              </w:rPr>
              <w:t xml:space="preserve">Very 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Hero</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Surface About credentials on /pe: add compact bio anchor with photo + “Read more” link to /pe/about</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Hero / About</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buyer-type selector to Ops Scorer intake to personalize results by segment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Scorer</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“Cost of Inaction” section with concrete post-close failure scenarios</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New section</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Shorten /pe page: move 20 levers, rubric, and 100-day detail to /pe/services</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Page architecture</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7</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Add segment-specific labels to pricing tiers (“Best for IS” / “Best for FO”)</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Pricing</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8</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Hierarchy CTAs: Fit Check = primary, Ops Scorer = secondary</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CTAs</w:t>
            </w:r>
          </w:p>
        </w:tc>
      </w:tr>
      <w:tr>
        <w:tc>
          <w:tcPr>
            <w:tcW w:type="dxa" w:w="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A1A1A"/>
                <w:sz w:val="20"/>
                <w:szCs w:val="20"/>
              </w:rPr>
              <w:t xml:space="preserve">9</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Reduce “accepting 1–2 engagements” to 2 instances max; vary scarcity language</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25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Sitewide</w:t>
            </w:r>
          </w:p>
        </w:tc>
      </w:tr>
      <w:tr>
        <w:tc>
          <w:tcPr>
            <w:tcW w:type="dxa" w:w="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10</w:t>
            </w:r>
          </w:p>
        </w:tc>
        <w:tc>
          <w:tcPr>
            <w:tcW w:type="dxa" w:w="336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Publish the 1-pagers referenced in Email #3 follow-ups as site content</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bCs/>
                <w:color w:val="4A6FA5"/>
                <w:sz w:val="20"/>
                <w:szCs w:val="20"/>
              </w:rPr>
              <w:t xml:space="preserve">Medium</w:t>
            </w:r>
          </w:p>
        </w:tc>
        <w:tc>
          <w:tcPr>
            <w:tcW w:type="dxa" w:w="1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2500"/>
            <w:tcBorders>
              <w:top w:val="single" w:color="D0D5DD" w:sz="1"/>
              <w:left w:val="single" w:color="D0D5DD" w:sz="1"/>
              <w:bottom w:val="single" w:color="D0D5DD" w:sz="1"/>
              <w:right w:val="single" w:color="D0D5DD"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 Blog</w:t>
            </w:r>
          </w:p>
        </w:tc>
      </w:tr>
    </w:tbl>
    <w:p>
      <w:r>
        <w:br w:type="page"/>
      </w:r>
    </w:p>
    <w:p>
      <w:pPr>
        <w:pStyle w:val="Heading1"/>
        <w:spacing w:after="200" w:before="360"/>
      </w:pPr>
      <w:r>
        <w:rPr>
          <w:rFonts w:ascii="Georgia" w:cs="Georgia" w:eastAsia="Georgia" w:hAnsi="Georgia"/>
          <w:b/>
          <w:bCs/>
          <w:color w:val="1B2A4A"/>
          <w:sz w:val="32"/>
          <w:szCs w:val="32"/>
        </w:rPr>
        <w:t xml:space="preserve">7. Specific Copy Rewrites</w:t>
      </w:r>
    </w:p>
    <w:p>
      <w:pPr>
        <w:spacing w:after="160" w:line="300"/>
      </w:pPr>
      <w:r>
        <w:rPr>
          <w:rFonts w:ascii="Arial" w:cs="Arial" w:eastAsia="Arial" w:hAnsi="Arial"/>
          <w:color w:val="1A1A1A"/>
          <w:sz w:val="21"/>
          <w:szCs w:val="21"/>
        </w:rPr>
        <w:t xml:space="preserve">Below are line-level copy recommendations for the highest-impact sections.</w:t>
      </w:r>
    </w:p>
    <w:p>
      <w:pPr>
        <w:spacing w:after="80"/>
      </w:pPr>
    </w:p>
    <w:p>
      <w:pPr>
        <w:pStyle w:val="Heading2"/>
        <w:spacing w:after="160" w:before="280"/>
      </w:pPr>
      <w:r>
        <w:rPr>
          <w:rFonts w:ascii="Georgia" w:cs="Georgia" w:eastAsia="Georgia" w:hAnsi="Georgia"/>
          <w:b/>
          <w:bCs/>
          <w:color w:val="4A6FA5"/>
          <w:sz w:val="26"/>
          <w:szCs w:val="26"/>
        </w:rPr>
        <w:t xml:space="preserve">7.1 Hero Section</w:t>
      </w:r>
    </w:p>
    <w:p>
      <w:pPr>
        <w:spacing w:after="120" w:before="200"/>
      </w:pPr>
      <w:r>
        <w:rPr>
          <w:rFonts w:ascii="Arial" w:cs="Arial" w:eastAsia="Arial" w:hAnsi="Arial"/>
          <w:b/>
          <w:bCs/>
          <w:color w:val="1B2A4A"/>
          <w:sz w:val="22"/>
          <w:szCs w:val="22"/>
        </w:rPr>
        <w:t xml:space="preserve">Before</w:t>
      </w:r>
    </w:p>
    <w:p>
      <w:pPr>
        <w:spacing w:after="160" w:line="300"/>
      </w:pPr>
      <w:r>
        <w:rPr>
          <w:rFonts w:ascii="Arial" w:cs="Arial" w:eastAsia="Arial" w:hAnsi="Arial"/>
          <w:color w:val="6B7B8D"/>
          <w:sz w:val="21"/>
          <w:szCs w:val="21"/>
        </w:rPr>
        <w:t xml:space="preserve">“Operational gaps are your biggest value creation lever. We find them before close and convert them into alpha.”</w:t>
      </w:r>
    </w:p>
    <w:p>
      <w:pPr>
        <w:spacing w:after="120" w:before="200"/>
      </w:pPr>
      <w:r>
        <w:rPr>
          <w:rFonts w:ascii="Arial" w:cs="Arial" w:eastAsia="Arial" w:hAnsi="Arial"/>
          <w:b/>
          <w:bCs/>
          <w:color w:val="1B2A4A"/>
          <w:sz w:val="22"/>
          <w:szCs w:val="22"/>
        </w:rPr>
        <w:t xml:space="preserve">After</w:t>
      </w:r>
    </w:p>
    <w:p>
      <w:pPr>
        <w:spacing w:after="160" w:line="300"/>
      </w:pPr>
      <w:r>
        <w:rPr>
          <w:rFonts w:ascii="Arial" w:cs="Arial" w:eastAsia="Arial" w:hAnsi="Arial"/>
          <w:color w:val="4A6FA5"/>
          <w:sz w:val="21"/>
          <w:szCs w:val="21"/>
        </w:rPr>
        <w:t xml:space="preserve">“Your deal team handles the financials. Who’s stress-testing the operations?”</w:t>
      </w:r>
    </w:p>
    <w:p>
      <w:pPr>
        <w:spacing w:after="160" w:line="300"/>
      </w:pPr>
      <w:r>
        <w:rPr>
          <w:rFonts w:ascii="Arial" w:cs="Arial" w:eastAsia="Arial" w:hAnsi="Arial"/>
          <w:color w:val="4A6FA5"/>
          <w:sz w:val="21"/>
          <w:szCs w:val="21"/>
        </w:rPr>
        <w:t xml:space="preserve">Subhead: “Pre-close ops diligence and 100-day post-close execution for PE funds, independent sponsors, and family offices. I find what financial DD misses—and build the plan that turns it into EBITDA improvement in 100 days.”</w:t>
      </w:r>
    </w:p>
    <w:p>
      <w:pPr>
        <w:spacing w:after="80"/>
      </w:pPr>
    </w:p>
    <w:p>
      <w:pPr>
        <w:pStyle w:val="Heading2"/>
        <w:spacing w:after="160" w:before="280"/>
      </w:pPr>
      <w:r>
        <w:rPr>
          <w:rFonts w:ascii="Georgia" w:cs="Georgia" w:eastAsia="Georgia" w:hAnsi="Georgia"/>
          <w:b/>
          <w:bCs/>
          <w:color w:val="4A6FA5"/>
          <w:sz w:val="26"/>
          <w:szCs w:val="26"/>
        </w:rPr>
        <w:t xml:space="preserve">7.2 McKinsey Quote Placement</w:t>
      </w:r>
    </w:p>
    <w:p>
      <w:pPr>
        <w:spacing w:after="120" w:before="200"/>
      </w:pPr>
      <w:r>
        <w:rPr>
          <w:rFonts w:ascii="Arial" w:cs="Arial" w:eastAsia="Arial" w:hAnsi="Arial"/>
          <w:b/>
          <w:bCs/>
          <w:color w:val="1B2A4A"/>
          <w:sz w:val="22"/>
          <w:szCs w:val="22"/>
        </w:rPr>
        <w:t xml:space="preserve">Issue</w:t>
      </w:r>
    </w:p>
    <w:p>
      <w:pPr>
        <w:spacing w:after="160" w:line="300"/>
      </w:pPr>
      <w:r>
        <w:rPr>
          <w:rFonts w:ascii="Arial" w:cs="Arial" w:eastAsia="Arial" w:hAnsi="Arial"/>
          <w:color w:val="1A1A1A"/>
          <w:sz w:val="21"/>
          <w:szCs w:val="21"/>
        </w:rPr>
        <w:t xml:space="preserve">The McKinsey quote (“Leverage and multiple expansion drove 59% of PE returns...”) is placed in the hero. This is a macro-trend argument—it validates the industry shift but doesn’t create urgency for the individual prospect. Move it lower on the page (near the 20 levers or pricing) where it serves as validation, and replace the hero with the pain-forward question.</w:t>
      </w:r>
    </w:p>
    <w:p>
      <w:pPr>
        <w:spacing w:after="80"/>
      </w:pPr>
    </w:p>
    <w:p>
      <w:pPr>
        <w:pStyle w:val="Heading2"/>
        <w:spacing w:after="160" w:before="280"/>
      </w:pPr>
      <w:r>
        <w:rPr>
          <w:rFonts w:ascii="Georgia" w:cs="Georgia" w:eastAsia="Georgia" w:hAnsi="Georgia"/>
          <w:b/>
          <w:bCs/>
          <w:color w:val="4A6FA5"/>
          <w:sz w:val="26"/>
          <w:szCs w:val="26"/>
        </w:rPr>
        <w:t xml:space="preserve">7.3 FAQ Section</w:t>
      </w:r>
    </w:p>
    <w:p>
      <w:pPr>
        <w:spacing w:after="120" w:before="200"/>
      </w:pPr>
      <w:r>
        <w:rPr>
          <w:rFonts w:ascii="Arial" w:cs="Arial" w:eastAsia="Arial" w:hAnsi="Arial"/>
          <w:b/>
          <w:bCs/>
          <w:color w:val="1B2A4A"/>
          <w:sz w:val="22"/>
          <w:szCs w:val="22"/>
        </w:rPr>
        <w:t xml:space="preserve">“Why should we hire you instead of a Big 4 firm?”</w:t>
      </w:r>
    </w:p>
    <w:p>
      <w:pPr>
        <w:spacing w:after="160" w:line="300"/>
      </w:pPr>
      <w:r>
        <w:rPr>
          <w:rFonts w:ascii="Arial" w:cs="Arial" w:eastAsia="Arial" w:hAnsi="Arial"/>
          <w:b/>
          <w:bCs/>
          <w:color w:val="1B2A4A"/>
          <w:sz w:val="21"/>
          <w:szCs w:val="21"/>
        </w:rPr>
        <w:t xml:space="preserve">Current: </w:t>
      </w:r>
      <w:r>
        <w:rPr>
          <w:rFonts w:ascii="Arial" w:cs="Arial" w:eastAsia="Arial" w:hAnsi="Arial"/>
          <w:color w:val="1A1A1A"/>
          <w:sz w:val="21"/>
          <w:szCs w:val="21"/>
        </w:rPr>
        <w:t xml:space="preserve">Strong—keep it. The “if you need a framework, hire a Big 4 firm” line is excellent positioning.</w:t>
      </w:r>
    </w:p>
    <w:p>
      <w:pPr>
        <w:spacing w:after="80"/>
      </w:pPr>
    </w:p>
    <w:p>
      <w:pPr>
        <w:spacing w:after="120" w:before="200"/>
      </w:pPr>
      <w:r>
        <w:rPr>
          <w:rFonts w:ascii="Arial" w:cs="Arial" w:eastAsia="Arial" w:hAnsi="Arial"/>
          <w:b/>
          <w:bCs/>
          <w:color w:val="1B2A4A"/>
          <w:sz w:val="22"/>
          <w:szCs w:val="22"/>
        </w:rPr>
        <w:t xml:space="preserve">Missing FAQ: “Why should we trust a solo practitioner?”</w:t>
      </w:r>
    </w:p>
    <w:p>
      <w:pPr>
        <w:spacing w:after="160" w:line="300"/>
      </w:pPr>
      <w:r>
        <w:rPr>
          <w:rFonts w:ascii="Arial" w:cs="Arial" w:eastAsia="Arial" w:hAnsi="Arial"/>
          <w:color w:val="1A1A1A"/>
          <w:sz w:val="21"/>
          <w:szCs w:val="21"/>
        </w:rPr>
        <w:t xml:space="preserve">This is the objection every prospect will have but won’t voice. Address it proactively:</w:t>
      </w:r>
    </w:p>
    <w:p>
      <w:pPr>
        <w:spacing w:after="160" w:line="300"/>
      </w:pPr>
      <w:r>
        <w:rPr>
          <w:rFonts w:ascii="Arial" w:cs="Arial" w:eastAsia="Arial" w:hAnsi="Arial"/>
          <w:color w:val="4A6FA5"/>
          <w:sz w:val="21"/>
          <w:szCs w:val="21"/>
        </w:rPr>
        <w:t xml:space="preserve">“Because you’re hiring the practitioner who did this at scale—not a firm that staffs a junior associate on your $15K engagement. At JPM, Barclays, and Lazard, I built and ran the systems I’m now helping you install. The credential is mine, not a logo’s. And at this price point, every dollar goes to senior-level execution, not overhead.”</w:t>
      </w:r>
    </w:p>
    <w:p>
      <w:pPr>
        <w:spacing w:after="80"/>
      </w:pPr>
    </w:p>
    <w:p>
      <w:pPr>
        <w:spacing w:after="120" w:before="200"/>
      </w:pPr>
      <w:r>
        <w:rPr>
          <w:rFonts w:ascii="Arial" w:cs="Arial" w:eastAsia="Arial" w:hAnsi="Arial"/>
          <w:b/>
          <w:bCs/>
          <w:color w:val="1B2A4A"/>
          <w:sz w:val="22"/>
          <w:szCs w:val="22"/>
        </w:rPr>
        <w:t xml:space="preserve">Missing FAQ: “What industries do you cover?”</w:t>
      </w:r>
    </w:p>
    <w:p>
      <w:pPr>
        <w:spacing w:after="160" w:line="300"/>
      </w:pPr>
      <w:r>
        <w:rPr>
          <w:rFonts w:ascii="Arial" w:cs="Arial" w:eastAsia="Arial" w:hAnsi="Arial"/>
          <w:color w:val="1A1A1A"/>
          <w:sz w:val="21"/>
          <w:szCs w:val="21"/>
        </w:rPr>
        <w:t xml:space="preserve">Your 20 levers are currently framed as technology/infrastructure operations. Independent sponsors and family offices invest across sectors—plumbing, food distribution, healthcare services, etc. Add a FAQ that explains your framework is sector-neutral: “The 20 levers apply to any operationally complex business. Whether the portfolio company is a fintech platform or a regional services company, the same governance gaps—incident management, vendor concentration, key-person risk, and KPI cadence—drive the same value erosion.”</w:t>
      </w:r>
    </w:p>
    <w:p>
      <w:pPr>
        <w:spacing w:after="80"/>
      </w:pPr>
    </w:p>
    <w:p>
      <w:pPr>
        <w:pStyle w:val="Heading2"/>
        <w:spacing w:after="160" w:before="280"/>
      </w:pPr>
      <w:r>
        <w:rPr>
          <w:rFonts w:ascii="Georgia" w:cs="Georgia" w:eastAsia="Georgia" w:hAnsi="Georgia"/>
          <w:b/>
          <w:bCs/>
          <w:color w:val="4A6FA5"/>
          <w:sz w:val="26"/>
          <w:szCs w:val="26"/>
        </w:rPr>
        <w:t xml:space="preserve">7.4 Representative Outcomes Section</w:t>
      </w:r>
    </w:p>
    <w:p>
      <w:pPr>
        <w:spacing w:after="120" w:before="200"/>
      </w:pPr>
      <w:r>
        <w:rPr>
          <w:rFonts w:ascii="Arial" w:cs="Arial" w:eastAsia="Arial" w:hAnsi="Arial"/>
          <w:b/>
          <w:bCs/>
          <w:color w:val="1B2A4A"/>
          <w:sz w:val="22"/>
          <w:szCs w:val="22"/>
        </w:rPr>
        <w:t xml:space="preserve">Issue</w:t>
      </w:r>
    </w:p>
    <w:p>
      <w:pPr>
        <w:spacing w:after="160" w:line="300"/>
      </w:pPr>
      <w:r>
        <w:rPr>
          <w:rFonts w:ascii="Arial" w:cs="Arial" w:eastAsia="Arial" w:hAnsi="Arial"/>
          <w:color w:val="1A1A1A"/>
          <w:sz w:val="21"/>
          <w:szCs w:val="21"/>
        </w:rPr>
        <w:t xml:space="preserve">The three case studies (incident instability, change-driven outages, board reporting) are all infrastructure/technology scenarios. For an independent sponsor evaluating a manufacturing business, these don’t land. Consider adding at least one outcome example that reads as industry-neutral: e.g., “Key-person dependency” (the business runs on 2 people who know everything and nothing is documented) or “Vendor concentration” (80% of revenue comes from one customer, or 60% of supply comes from one vendor).</w:t>
      </w:r>
    </w:p>
    <w:p>
      <w:pPr>
        <w:spacing w:after="80"/>
      </w:pPr>
    </w:p>
    <w:p>
      <w:pPr>
        <w:pStyle w:val="Heading2"/>
        <w:spacing w:after="160" w:before="280"/>
      </w:pPr>
      <w:r>
        <w:rPr>
          <w:rFonts w:ascii="Georgia" w:cs="Georgia" w:eastAsia="Georgia" w:hAnsi="Georgia"/>
          <w:b/>
          <w:bCs/>
          <w:color w:val="4A6FA5"/>
          <w:sz w:val="26"/>
          <w:szCs w:val="26"/>
        </w:rPr>
        <w:t xml:space="preserve">7.5 Pronoun Consistency</w:t>
      </w:r>
    </w:p>
    <w:p>
      <w:pPr>
        <w:spacing w:after="160" w:line="300"/>
      </w:pPr>
      <w:r>
        <w:rPr>
          <w:rFonts w:ascii="Arial" w:cs="Arial" w:eastAsia="Arial" w:hAnsi="Arial"/>
          <w:color w:val="1A1A1A"/>
          <w:sz w:val="21"/>
          <w:szCs w:val="21"/>
        </w:rPr>
        <w:t xml:space="preserve">The site oscillates between “we” and “I.” The hero says “We find them.” The FAQ says “I install the operating system.” The pricing says “We.” Commit to first person singular throughout. “I” is more honest, more personal, and more aligned with the buyer’s experience of hiring you. It also matches your email templates, which are all first person.</w:t>
      </w:r>
    </w:p>
    <w:p>
      <w:r>
        <w:br w:type="page"/>
      </w:r>
    </w:p>
    <w:p>
      <w:pPr>
        <w:pStyle w:val="Heading1"/>
        <w:spacing w:after="200" w:before="360"/>
      </w:pPr>
      <w:r>
        <w:rPr>
          <w:rFonts w:ascii="Georgia" w:cs="Georgia" w:eastAsia="Georgia" w:hAnsi="Georgia"/>
          <w:b/>
          <w:bCs/>
          <w:color w:val="1B2A4A"/>
          <w:sz w:val="32"/>
          <w:szCs w:val="32"/>
        </w:rPr>
        <w:t xml:space="preserve">8. Ops Scorer Audit</w:t>
      </w:r>
    </w:p>
    <w:p>
      <w:pPr>
        <w:spacing w:after="160" w:line="300"/>
      </w:pPr>
      <w:r>
        <w:rPr>
          <w:rFonts w:ascii="Arial" w:cs="Arial" w:eastAsia="Arial" w:hAnsi="Arial"/>
          <w:color w:val="1A1A1A"/>
          <w:sz w:val="21"/>
          <w:szCs w:val="21"/>
        </w:rPr>
        <w:t xml:space="preserve">The Scorer is a genuinely smart lead magnet—it forces the prospect to self-diagnose, which primes them for the sales conversation. The conversion funnel is well-designed: situation selector → 6-dimension scoring → prioritized results with recommended next steps → sample deliverable downloads → email capture via “Send My Report →” → Fit Check CTA. This is solid. Remaining opportunities:</w:t>
      </w:r>
    </w:p>
    <w:p>
      <w:pPr>
        <w:spacing w:after="80"/>
      </w:pP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The situation selector (“Evaluating a target / First 100 days / Mid-hold”) should also ask about buyer type. An independent sponsor scoring a target they’re about to close should see different result framing than a family office assessing a hold they’ve owned for 3 years. The result page could tailor the CTA: “As an independent sponsor closing in Q2, here’s what I’d prioritize...” This small addition makes the Scorer feel segment-aware, reinforcing the personalized tone of your cold email outreach.</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6 slider dimensions use 1–5 scales with anchor labels, which is good. Consider adding a “Not sure / Don’t know” option for each dimension. If a prospect selects “Don’t know” on 3+ dimensions, that’s itself a finding—it means they lack visibility into their own operations, which is a strong signal for engagement. The results page could note: “You marked 3 dimensions as unknown—that’s a red flag in itself. Lack of operational visibility is the #1 pattern I see in pre-close diligence.”</w:t>
      </w:r>
    </w:p>
    <w:p>
      <w:pPr>
        <w:spacing w:after="140" w:line="300"/>
      </w:pPr>
      <w:r>
        <w:rPr>
          <w:rFonts w:ascii="Arial" w:cs="Arial" w:eastAsia="Arial" w:hAnsi="Arial"/>
          <w:b/>
          <w:bCs/>
          <w:color w:val="27AE60"/>
          <w:sz w:val="20"/>
          <w:szCs w:val="20"/>
        </w:rPr>
        <w:t xml:space="preserve">[POSITIVE] </w:t>
      </w:r>
      <w:r>
        <w:rPr>
          <w:rFonts w:ascii="Arial" w:cs="Arial" w:eastAsia="Arial" w:hAnsi="Arial"/>
          <w:color w:val="1A1A1A"/>
          <w:sz w:val="21"/>
          <w:szCs w:val="21"/>
        </w:rPr>
        <w:t xml:space="preserve">The email capture (“Send My Report →”) with the no-spam note is clean and well-placed at the moment of peak buying intent. No changes needed here.</w:t>
      </w:r>
    </w:p>
    <w:p>
      <w:pPr>
        <w:spacing w:after="80"/>
      </w:pPr>
    </w:p>
    <w:p>
      <w:pPr>
        <w:pStyle w:val="Heading1"/>
        <w:spacing w:after="200" w:before="360"/>
      </w:pPr>
      <w:r>
        <w:rPr>
          <w:rFonts w:ascii="Georgia" w:cs="Georgia" w:eastAsia="Georgia" w:hAnsi="Georgia"/>
          <w:b/>
          <w:bCs/>
          <w:color w:val="1B2A4A"/>
          <w:sz w:val="32"/>
          <w:szCs w:val="32"/>
        </w:rPr>
        <w:t xml:space="preserve">9. Mobile Experience</w:t>
      </w:r>
    </w:p>
    <w:p>
      <w:pPr>
        <w:spacing w:after="140" w:line="300"/>
      </w:pPr>
      <w:r>
        <w:rPr>
          <w:rFonts w:ascii="Arial" w:cs="Arial" w:eastAsia="Arial" w:hAnsi="Arial"/>
          <w:b/>
          <w:bCs/>
          <w:color w:val="E67E22"/>
          <w:sz w:val="20"/>
          <w:szCs w:val="20"/>
        </w:rPr>
        <w:t xml:space="preserve">[HIGH] </w:t>
      </w:r>
      <w:r>
        <w:rPr>
          <w:rFonts w:ascii="Arial" w:cs="Arial" w:eastAsia="Arial" w:hAnsi="Arial"/>
          <w:color w:val="1A1A1A"/>
          <w:sz w:val="21"/>
          <w:szCs w:val="21"/>
        </w:rPr>
        <w:t xml:space="preserve">Your cold email recipients will click through on their phones. The 20-lever filter bar (domain + timing + severity dropdowns) is likely difficult to use on mobile. Test the filter UX on iPhone specifically—if it requires horizontal scrolling or the lever accordion panels are hard to tap, you’ll lose mobile visitors.</w:t>
      </w:r>
    </w:p>
    <w:p>
      <w:pPr>
        <w:spacing w:after="140" w:line="300"/>
      </w:pPr>
      <w:r>
        <w:rPr>
          <w:rFonts w:ascii="Arial" w:cs="Arial" w:eastAsia="Arial" w:hAnsi="Arial"/>
          <w:b/>
          <w:bCs/>
          <w:color w:val="4A6FA5"/>
          <w:sz w:val="20"/>
          <w:szCs w:val="20"/>
        </w:rPr>
        <w:t xml:space="preserve">[MEDIUM] </w:t>
      </w:r>
      <w:r>
        <w:rPr>
          <w:rFonts w:ascii="Arial" w:cs="Arial" w:eastAsia="Arial" w:hAnsi="Arial"/>
          <w:color w:val="1A1A1A"/>
          <w:sz w:val="21"/>
          <w:szCs w:val="21"/>
        </w:rPr>
        <w:t xml:space="preserve">The fixed “Book a Fit Check” CTA should be a sticky footer bar on mobile—visible at all times as the prospect scrolls the long page. Right now, the CTA buttons are inline and disappear as the user scrolls past them.</w:t>
      </w:r>
    </w:p>
    <w:p>
      <w:pPr>
        <w:spacing w:after="80"/>
      </w:pPr>
    </w:p>
    <w:p>
      <w:pPr>
        <w:pStyle w:val="Heading1"/>
        <w:spacing w:after="200" w:before="360"/>
      </w:pPr>
      <w:r>
        <w:rPr>
          <w:rFonts w:ascii="Georgia" w:cs="Georgia" w:eastAsia="Georgia" w:hAnsi="Georgia"/>
          <w:b/>
          <w:bCs/>
          <w:color w:val="1B2A4A"/>
          <w:sz w:val="32"/>
          <w:szCs w:val="32"/>
        </w:rPr>
        <w:t xml:space="preserve">10. Bottom Line</w:t>
      </w:r>
    </w:p>
    <w:p>
      <w:pPr>
        <w:spacing w:after="160" w:line="300"/>
      </w:pPr>
      <w:r>
        <w:rPr>
          <w:rFonts w:ascii="Arial" w:cs="Arial" w:eastAsia="Arial" w:hAnsi="Arial"/>
          <w:color w:val="1A1A1A"/>
          <w:sz w:val="21"/>
          <w:szCs w:val="21"/>
        </w:rPr>
        <w:t xml:space="preserve">Your site is in the top 10% of solo B2B consulting sites I’ve seen. The 20-lever framework, transparent pricing, and deliverable samples put you ahead of most competitors. The core improvement opportunity is segmentation: making each of your three buyers feel like the site was written for them specifically.</w:t>
      </w:r>
    </w:p>
    <w:p>
      <w:pPr>
        <w:spacing w:after="80"/>
      </w:pPr>
    </w:p>
    <w:p>
      <w:pPr>
        <w:spacing w:after="160" w:line="300"/>
      </w:pPr>
      <w:r>
        <w:rPr>
          <w:rFonts w:ascii="Arial" w:cs="Arial" w:eastAsia="Arial" w:hAnsi="Arial"/>
          <w:color w:val="1A1A1A"/>
          <w:sz w:val="21"/>
          <w:szCs w:val="21"/>
        </w:rPr>
        <w:t xml:space="preserve">The five highest-impact changes, in order:</w:t>
      </w:r>
    </w:p>
    <w:p>
      <w:pPr>
        <w:pStyle w:val="ListParagraph"/>
        <w:numPr>
          <w:ilvl w:val="0"/>
          <w:numId w:val="4"/>
        </w:numPr>
        <w:spacing w:after="100" w:line="300"/>
      </w:pPr>
      <w:r>
        <w:rPr>
          <w:rFonts w:ascii="Arial" w:cs="Arial" w:eastAsia="Arial" w:hAnsi="Arial"/>
          <w:b/>
          <w:bCs/>
          <w:sz w:val="21"/>
          <w:szCs w:val="21"/>
        </w:rPr>
        <w:t xml:space="preserve">Rewrite the hero to be segment-neutral and pain-forward (question format)</w:t>
      </w:r>
    </w:p>
    <w:p>
      <w:pPr>
        <w:pStyle w:val="ListParagraph"/>
        <w:numPr>
          <w:ilvl w:val="0"/>
          <w:numId w:val="4"/>
        </w:numPr>
        <w:spacing w:after="100" w:line="300"/>
      </w:pPr>
      <w:r>
        <w:rPr>
          <w:rFonts w:ascii="Arial" w:cs="Arial" w:eastAsia="Arial" w:hAnsi="Arial"/>
          <w:b/>
          <w:bCs/>
          <w:sz w:val="21"/>
          <w:szCs w:val="21"/>
        </w:rPr>
        <w:t xml:space="preserve">Add 3 segment-specific entry points below the fold</w:t>
      </w:r>
    </w:p>
    <w:p>
      <w:pPr>
        <w:pStyle w:val="ListParagraph"/>
        <w:numPr>
          <w:ilvl w:val="0"/>
          <w:numId w:val="4"/>
        </w:numPr>
        <w:spacing w:after="100" w:line="300"/>
      </w:pPr>
      <w:r>
        <w:rPr>
          <w:rFonts w:ascii="Arial" w:cs="Arial" w:eastAsia="Arial" w:hAnsi="Arial"/>
          <w:b/>
          <w:bCs/>
          <w:sz w:val="21"/>
          <w:szCs w:val="21"/>
        </w:rPr>
        <w:t xml:space="preserve">Surface About credentials on the /pe page (compact bio anchor with photo + link to /pe/about)</w:t>
      </w:r>
    </w:p>
    <w:p>
      <w:pPr>
        <w:pStyle w:val="ListParagraph"/>
        <w:numPr>
          <w:ilvl w:val="0"/>
          <w:numId w:val="4"/>
        </w:numPr>
        <w:spacing w:after="100" w:line="300"/>
      </w:pPr>
      <w:r>
        <w:rPr>
          <w:rFonts w:ascii="Arial" w:cs="Arial" w:eastAsia="Arial" w:hAnsi="Arial"/>
          <w:b/>
          <w:bCs/>
          <w:sz w:val="21"/>
          <w:szCs w:val="21"/>
        </w:rPr>
        <w:t xml:space="preserve">Add a “Cost of Inaction” section with concrete failure scenarios</w:t>
      </w:r>
    </w:p>
    <w:p>
      <w:pPr>
        <w:pStyle w:val="ListParagraph"/>
        <w:numPr>
          <w:ilvl w:val="0"/>
          <w:numId w:val="4"/>
        </w:numPr>
        <w:spacing w:after="100" w:line="300"/>
      </w:pPr>
      <w:r>
        <w:rPr>
          <w:rFonts w:ascii="Arial" w:cs="Arial" w:eastAsia="Arial" w:hAnsi="Arial"/>
          <w:b/>
          <w:bCs/>
          <w:sz w:val="21"/>
          <w:szCs w:val="21"/>
        </w:rPr>
        <w:t xml:space="preserve">Add buyer-type selector to Ops Scorer to personalize results by segment</w:t>
      </w:r>
    </w:p>
    <w:p>
      <w:pPr>
        <w:spacing w:after="80"/>
      </w:pPr>
    </w:p>
    <w:p>
      <w:pPr>
        <w:spacing w:after="160" w:line="300"/>
      </w:pPr>
      <w:r>
        <w:rPr>
          <w:rFonts w:ascii="Arial" w:cs="Arial" w:eastAsia="Arial" w:hAnsi="Arial"/>
          <w:color w:val="1A1A1A"/>
          <w:sz w:val="21"/>
          <w:szCs w:val="21"/>
        </w:rPr>
        <w:t xml:space="preserve">These five changes address the fundamental gap: the site currently converts visitors who already know they need ops diligence. It needs to also convert visitors who don’t yet realize what they’re risking by skipping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1"/>
      </w:pBdr>
      <w:spacing w:before="200"/>
      <w:jc w:val="center"/>
    </w:pPr>
    <w:r>
      <w:rPr>
        <w:rFonts w:ascii="Arial" w:cs="Arial" w:eastAsia="Arial" w:hAnsi="Arial"/>
        <w:color w:val="6B7B8D"/>
        <w:sz w:val="16"/>
        <w:szCs w:val="16"/>
      </w:rPr>
      <w:t xml:space="preserve">Confidential | </w:t>
    </w:r>
    <w:r>
      <w:rPr>
        <w:rFonts w:ascii="Arial" w:cs="Arial" w:eastAsia="Arial" w:hAnsi="Arial"/>
        <w:color w:val="6B7B8D"/>
        <w:sz w:val="16"/>
        <w:szCs w:val="16"/>
      </w:rPr>
      <w:t xml:space="preserve">Page </w:t>
    </w:r>
    <w:r>
      <w:rPr>
        <w:rFonts w:ascii="Arial" w:cs="Arial" w:eastAsia="Arial" w:hAnsi="Arial"/>
        <w:color w:val="6B7B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4" w:space="1"/>
      </w:pBdr>
      <w:spacing w:after="200"/>
      <w:jc w:val="right"/>
    </w:pPr>
    <w:r>
      <w:rPr>
        <w:rFonts w:ascii="Georgia" w:cs="Georgia" w:eastAsia="Georgia" w:hAnsi="Georgia"/>
        <w:color w:val="4A6FA5"/>
        <w:sz w:val="18"/>
        <w:szCs w:val="18"/>
      </w:rPr>
      <w:t xml:space="preserve">Devonshire Ops </w:t>
    </w:r>
    <w:r>
      <w:rPr>
        <w:rFonts w:ascii="Arial" w:cs="Arial" w:eastAsia="Arial" w:hAnsi="Arial"/>
        <w:color w:val="6B7B8D"/>
        <w:sz w:val="18"/>
        <w:szCs w:val="18"/>
      </w:rPr>
      <w:t xml:space="preserve">| Website Conversion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3"/>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2026-03-20T00:14:28.698Z</dcterms:created>
  <dcterms:modified xsi:type="dcterms:W3CDTF">2026-03-20T00:14:28.699Z</dcterms:modified>
</cp:coreProperties>
</file>

<file path=docProps/custom.xml><?xml version="1.0" encoding="utf-8"?>
<Properties xmlns="http://schemas.openxmlformats.org/officeDocument/2006/custom-properties" xmlns:vt="http://schemas.openxmlformats.org/officeDocument/2006/docPropsVTypes"/>
</file>