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88" w:lineRule="auto"/>
        <w:jc w:val="both"/>
        <w:rPr>
          <w:color w:val="0000ff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Equipo Data 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both"/>
        <w:rPr>
          <w:color w:val="0000ff"/>
          <w:sz w:val="40"/>
          <w:szCs w:val="40"/>
        </w:rPr>
      </w:pPr>
      <w:r w:rsidDel="00000000" w:rsidR="00000000" w:rsidRPr="00000000">
        <w:rPr>
          <w:color w:val="0000ff"/>
          <w:sz w:val="40"/>
          <w:szCs w:val="40"/>
          <w:rtl w:val="0"/>
        </w:rPr>
        <w:t xml:space="preserve">MVP para consultorio dental: WBS y cotización</w:t>
      </w:r>
    </w:p>
    <w:p w:rsidR="00000000" w:rsidDel="00000000" w:rsidP="00000000" w:rsidRDefault="00000000" w:rsidRPr="00000000" w14:paraId="00000003">
      <w:pPr>
        <w:pStyle w:val="Heading2"/>
        <w:keepNext w:val="1"/>
        <w:rPr>
          <w:b w:val="0"/>
          <w:bCs w:val="0"/>
          <w:color w:val="000000"/>
        </w:rPr>
      </w:pPr>
      <w:bookmarkStart w:colFirst="0" w:colLast="0" w:name="_nom63os7cfmk" w:id="0"/>
      <w:bookmarkEnd w:id="0"/>
      <w:r w:rsidDel="00000000" w:rsidR="00000000" w:rsidRPr="00000000">
        <w:rPr>
          <w:b w:val="0"/>
          <w:bCs w:val="0"/>
          <w:color w:val="000000"/>
          <w:rtl w:val="0"/>
        </w:rPr>
        <w:t xml:space="preserve">Datos del proveedor</w:t>
      </w:r>
    </w:p>
    <w:p w:rsidR="00000000" w:rsidDel="00000000" w:rsidP="00000000" w:rsidRDefault="00000000" w:rsidRPr="00000000" w14:paraId="00000004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Proveedor: Equipo Data Mind</w:t>
      </w:r>
    </w:p>
    <w:p w:rsidR="00000000" w:rsidDel="00000000" w:rsidP="00000000" w:rsidRDefault="00000000" w:rsidRPr="00000000" w14:paraId="00000005">
      <w:pPr>
        <w:spacing w:after="120" w:line="288" w:lineRule="auto"/>
        <w:rPr>
          <w:color w:val="0000ff"/>
          <w:sz w:val="40"/>
          <w:szCs w:val="40"/>
        </w:rPr>
      </w:pPr>
      <w:r w:rsidDel="00000000" w:rsidR="00000000" w:rsidRPr="00000000">
        <w:rPr>
          <w:highlight w:val="white"/>
          <w:rtl w:val="0"/>
        </w:rPr>
        <w:t xml:space="preserve">Integrantes: Sanchez Alvarado Camiel Sinahi, Millan Maldonado Octavio, Lara Velazquez Diego de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Sección 1. Estructura de Desglose del Trabajo (WBS)</w:t>
      </w:r>
    </w:p>
    <w:p w:rsidR="00000000" w:rsidDel="00000000" w:rsidP="00000000" w:rsidRDefault="00000000" w:rsidRPr="00000000" w14:paraId="00000007">
      <w:pPr>
        <w:spacing w:after="120" w:before="0" w:line="288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Una dentista registra sus citas de forma manual y no tiene publicidad ni medios para conseguir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1. Gestión del proyecto (Semanas 1 a 8, 18 h)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1.1 Inicio del proyecto: acta de constitución y plan de trabajo (6 h)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1.2 Seguimiento y control semanal (reuniones, avances y riesgos) (8 h)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1.3 Cierre del proyecto y lecciones aprendidas (4 h)</w:t>
      </w:r>
    </w:p>
    <w:p w:rsidR="00000000" w:rsidDel="00000000" w:rsidP="00000000" w:rsidRDefault="00000000" w:rsidRPr="00000000" w14:paraId="0000000C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2. Análisis y diseño (Semanas 1 a 2, 27 h)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2.1 Levantamiento de requerimientos con la dentista (6 h)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2.2 Definición del alcance del MVP e historias de usuario (5 h)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2.3 Diseño del modelo de datos (usuarios, pacientes, servicios y citas) (6 h)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2.4 Diseño de interfaz: maquetas de la landing page y del dashboard (10 h)</w:t>
      </w:r>
    </w:p>
    <w:p w:rsidR="00000000" w:rsidDel="00000000" w:rsidP="00000000" w:rsidRDefault="00000000" w:rsidRPr="00000000" w14:paraId="00000011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3. Configuración de Laravel, base de datos y seeders (Semanas 2 a 4, 22 h)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3.1 Instalación y configuración de Laravel y repositorio Git (4 h)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3.2 Creación de migraciones de la base de datos (6 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3.3 Definición de modelos y relaciones (4 h)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3.4 Seeders obligatorios: usuario dentista por defecto, servicios (limpieza, ortodoncia, blanqueamiento, entre otros), pacientes y citas de ejemplo (8 h)</w:t>
      </w:r>
    </w:p>
    <w:p w:rsidR="00000000" w:rsidDel="00000000" w:rsidP="00000000" w:rsidRDefault="00000000" w:rsidRPr="00000000" w14:paraId="00000016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4. Desarrollo backend (Semanas 4 a 5, 27 h)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4.1 Autenticación: login exclusivo de la dentista y protección de rutas (8 h)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4.2 CRUD de citas con su paciente y servicio: lógica, controladores y validaciones (12 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4.3 Reglas de la agenda (control de empalmes de horario y estados de la cita) (7 h)</w:t>
      </w:r>
    </w:p>
    <w:p w:rsidR="00000000" w:rsidDel="00000000" w:rsidP="00000000" w:rsidRDefault="00000000" w:rsidRPr="00000000" w14:paraId="0000001A">
      <w:pPr>
        <w:pStyle w:val="Heading2"/>
        <w:keepNext w:val="1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5. Desarrollo frontend (Semanas 4 a 6, 34 h</w:t>
      </w:r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5.1 Landing page: presentación de la clínica, servicios y beneficios, con diseño responsivo (10 h)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5.2 Landing page: sección de contacto, llamadas a la acción (CTA) y SEO básico (4 h)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5.3 Pantalla de inicio de sesión (4 h)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5.4 Dashboard: estructura general y navegación (6 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5.5 Vistas de la agenda: listado, alta, edición y eliminación de citas, y consulta de pacientes (10 h)</w:t>
      </w:r>
    </w:p>
    <w:p w:rsidR="00000000" w:rsidDel="00000000" w:rsidP="00000000" w:rsidRDefault="00000000" w:rsidRPr="00000000" w14:paraId="00000020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6. Pruebas y control de calidad (Semanas 6 a 8, 20 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6.1 Pruebas funcionales (login, CRUD de citas y seeders) (9 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6.2 Pruebas de responsividad y corrección de errores (7 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6.3 Pruebas de aceptación con la dentista (4 h)</w:t>
      </w:r>
    </w:p>
    <w:p w:rsidR="00000000" w:rsidDel="00000000" w:rsidP="00000000" w:rsidRDefault="00000000" w:rsidRPr="00000000" w14:paraId="00000024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7. Entrega final (Semanas 7 a 8, 12 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7.1 Documentación y carpeta docs/ (WBS y cotización en Word) (8 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7.2 Instalación del MVP, capacitación y entrega formal (4 h)</w:t>
      </w:r>
    </w:p>
    <w:p w:rsidR="00000000" w:rsidDel="00000000" w:rsidP="00000000" w:rsidRDefault="00000000" w:rsidRPr="00000000" w14:paraId="00000027">
      <w:pPr>
        <w:spacing w:after="120" w:before="200" w:line="288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Total estimado: 160 horas efectivas más 10 % de contingencia (16 h) = 176 horas. Las horas de cada paquete se estimaron con el método PERT: (Optimista + 4 × Probable + Pesimista) /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Sección 2. Fórmulas, Cálculos y Cotización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2.1 Fórmulas utilizadas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PERT = (O + 4M + P) / 6, donde O es optimista, M más probable y P pesimista.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Horas PERT = suma de las 24 actividades (paquetes de trabajo) del WBS.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Contingencia = horas PERT × 10 %.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Horas totales = horas PERT + contingencia.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Capacidad teórica = integrantes × horas semanales × semanas.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Capacidad útil = capacidad teórica × factor de enfoque.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 de mano de obra = horas totales × tarifa interna.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Costos indirectos = costo de mano de obra × 8 %.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 total = mano de obra + indirectos + tecnología.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Precio con margen = costo total / (1 − </w:t>
      </w:r>
      <w:r w:rsidDel="00000000" w:rsidR="00000000" w:rsidRPr="00000000">
        <w:rPr>
          <w:rtl w:val="0"/>
        </w:rPr>
        <w:t xml:space="preserve">margen).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jc w:val="both"/>
        <w:rPr>
          <w:b w:val="0"/>
          <w:bCs w:val="0"/>
          <w:color w:val="0000ff"/>
        </w:rPr>
      </w:pPr>
      <w:r w:rsidDel="00000000" w:rsidR="00000000" w:rsidRPr="00000000">
        <w:rPr>
          <w:b w:val="0"/>
          <w:bCs w:val="0"/>
          <w:color w:val="0000ff"/>
          <w:rtl w:val="0"/>
        </w:rPr>
        <w:t xml:space="preserve">2.2 Datos y cálculos</w:t>
      </w:r>
    </w:p>
    <w:p w:rsidR="00000000" w:rsidDel="00000000" w:rsidP="00000000" w:rsidRDefault="00000000" w:rsidRPr="00000000" w14:paraId="00000035">
      <w:pPr>
        <w:spacing w:after="120" w:before="0" w:line="288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Datos del proyecto: 3 integrantes, 10 horas semanales por integrante, 8 semanas, factor de enfoque de 0.75, tarifa interna de $220.00 por hora efectiva, costos tecnológicos directos de $3,700.00 y margen deseado de 25 % sobre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Horas PERT: suma de las 24 actividades = 160 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Contingencia: 160 × 0.10 = 16 h.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Horas totales: 160 + 16 = 176 h.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Capacidad teórica: 3 × 10 × 8 = 240 h.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Capacidad útil: 240 × 0.75 = 180 h. Como las horas totales (176 h) son menores que la capacidad útil, el proyecto es viable en 8 semanas, con una holgura de 4 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 de mano de obra: 176 × $220.00 = $38,720.00.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Costos indirectos: $38,720.00 × 0.08 = $3,097.60.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Costos tecnológicos: $3,700.00.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Costo total: $38,720.00 + $3,097.60 + $3,700.00 = $45,517.60.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Precio de venta: $45,517.60 / (1 − 0.25) = $45,517.60 / 0.75 = $60,690.13.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Verificación del margen: utilidad de $15,172.53 ($60,690.13 − $45,517.60), que equivale al 25 % del precio de venta.</w:t>
      </w:r>
    </w:p>
    <w:p w:rsidR="00000000" w:rsidDel="00000000" w:rsidP="00000000" w:rsidRDefault="00000000" w:rsidRPr="00000000" w14:paraId="00000041">
      <w:pPr>
        <w:keepNext w:val="0"/>
        <w:pBdr>
          <w:top w:color="000000" w:space="4" w:sz="6" w:val="single"/>
        </w:pBdr>
        <w:spacing w:after="0" w:lineRule="auto"/>
        <w:ind w:right="480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Equipo Data Mind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