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5D7" w:rsidRDefault="004535D7" w:rsidP="00FD13C6">
      <w:pPr>
        <w:pStyle w:val="ANOTACION"/>
        <w:spacing w:line="219" w:lineRule="exact"/>
        <w:rPr>
          <w:rFonts w:ascii="Arial" w:hAnsi="Arial" w:cs="Arial"/>
        </w:rPr>
      </w:pPr>
    </w:p>
    <w:p w:rsidR="00FD13C6" w:rsidRPr="0064034D" w:rsidRDefault="00FD13C6" w:rsidP="00FD13C6">
      <w:pPr>
        <w:pStyle w:val="ANOTACION"/>
        <w:spacing w:line="219" w:lineRule="exact"/>
        <w:rPr>
          <w:rFonts w:ascii="Arial" w:hAnsi="Arial" w:cs="Arial"/>
        </w:rPr>
      </w:pPr>
      <w:r w:rsidRPr="0064034D">
        <w:rPr>
          <w:rFonts w:ascii="Arial" w:hAnsi="Arial" w:cs="Arial"/>
        </w:rPr>
        <w:t>CLASIFICADOR POR RUBROS DE INGRESOS</w:t>
      </w:r>
    </w:p>
    <w:p w:rsidR="00FD13C6" w:rsidRPr="0064034D" w:rsidRDefault="00FD13C6" w:rsidP="00E45FAF">
      <w:pPr>
        <w:pStyle w:val="texto0"/>
        <w:spacing w:after="120" w:line="240" w:lineRule="auto"/>
        <w:ind w:firstLine="0"/>
        <w:jc w:val="center"/>
        <w:rPr>
          <w:smallCaps/>
          <w:color w:val="17365D"/>
        </w:rPr>
      </w:pPr>
      <w:r w:rsidRPr="0064034D">
        <w:rPr>
          <w:color w:val="0000FF"/>
          <w:lang w:val="es-ES" w:eastAsia="es-ES"/>
        </w:rPr>
        <w:t>Publicado en el Diario Oficial de la Federación el 9 de diciembre de 2009</w:t>
      </w:r>
    </w:p>
    <w:p w:rsidR="00FD13C6" w:rsidRPr="0064034D" w:rsidRDefault="00FD13C6" w:rsidP="00FD13C6">
      <w:pPr>
        <w:pStyle w:val="texto0"/>
        <w:spacing w:after="0" w:line="240" w:lineRule="auto"/>
        <w:ind w:firstLine="0"/>
        <w:jc w:val="right"/>
        <w:rPr>
          <w:color w:val="0000FF"/>
          <w:lang w:val="es-ES" w:eastAsia="es-ES"/>
        </w:rPr>
      </w:pPr>
      <w:r w:rsidRPr="0064034D">
        <w:rPr>
          <w:color w:val="0000FF"/>
          <w:lang w:val="es-ES" w:eastAsia="es-ES"/>
        </w:rPr>
        <w:t>Última reforma</w:t>
      </w:r>
      <w:r w:rsidRPr="0064034D">
        <w:rPr>
          <w:smallCaps/>
          <w:color w:val="0070C0"/>
        </w:rPr>
        <w:t xml:space="preserve"> </w:t>
      </w:r>
      <w:r w:rsidRPr="0064034D">
        <w:rPr>
          <w:color w:val="0000FF"/>
          <w:lang w:val="es-ES" w:eastAsia="es-ES"/>
        </w:rPr>
        <w:t xml:space="preserve">publicada DOF </w:t>
      </w:r>
      <w:r w:rsidR="0082406C" w:rsidRPr="007E74AA">
        <w:rPr>
          <w:color w:val="0000FF"/>
          <w:lang w:val="es-ES" w:eastAsia="es-ES"/>
        </w:rPr>
        <w:t>09</w:t>
      </w:r>
      <w:r w:rsidR="0064034D" w:rsidRPr="007E74AA">
        <w:rPr>
          <w:color w:val="0000FF"/>
          <w:lang w:val="es-ES" w:eastAsia="es-ES"/>
        </w:rPr>
        <w:t>-</w:t>
      </w:r>
      <w:r w:rsidR="0082406C" w:rsidRPr="007E74AA">
        <w:rPr>
          <w:color w:val="0000FF"/>
          <w:lang w:val="es-ES" w:eastAsia="es-ES"/>
        </w:rPr>
        <w:t>08</w:t>
      </w:r>
      <w:r w:rsidR="0064034D" w:rsidRPr="007E74AA">
        <w:rPr>
          <w:color w:val="0000FF"/>
          <w:lang w:val="es-ES" w:eastAsia="es-ES"/>
        </w:rPr>
        <w:t>-</w:t>
      </w:r>
      <w:r w:rsidR="0082406C" w:rsidRPr="007E74AA">
        <w:rPr>
          <w:color w:val="0000FF"/>
          <w:lang w:val="es-ES" w:eastAsia="es-ES"/>
        </w:rPr>
        <w:t>2023</w:t>
      </w:r>
    </w:p>
    <w:p w:rsidR="00FD13C6" w:rsidRPr="0064034D" w:rsidRDefault="00FD13C6" w:rsidP="00FD13C6">
      <w:pPr>
        <w:pStyle w:val="Texto"/>
        <w:spacing w:line="219" w:lineRule="exact"/>
        <w:ind w:firstLine="0"/>
        <w:jc w:val="center"/>
        <w:rPr>
          <w:b/>
          <w:szCs w:val="28"/>
        </w:rPr>
      </w:pPr>
    </w:p>
    <w:p w:rsidR="00FA131F" w:rsidRPr="0064034D" w:rsidRDefault="00FA131F" w:rsidP="00FD13C6">
      <w:pPr>
        <w:pStyle w:val="Texto"/>
        <w:spacing w:line="219" w:lineRule="exact"/>
        <w:ind w:firstLine="0"/>
        <w:jc w:val="center"/>
        <w:rPr>
          <w:b/>
          <w:szCs w:val="28"/>
        </w:rPr>
      </w:pPr>
      <w:r w:rsidRPr="0064034D">
        <w:rPr>
          <w:b/>
          <w:szCs w:val="28"/>
        </w:rPr>
        <w:t>ANTECEDENTES</w:t>
      </w:r>
    </w:p>
    <w:p w:rsidR="00FA131F" w:rsidRPr="0064034D" w:rsidRDefault="00FA131F" w:rsidP="00FA131F">
      <w:pPr>
        <w:pStyle w:val="Texto"/>
        <w:spacing w:line="219" w:lineRule="exact"/>
        <w:rPr>
          <w:szCs w:val="24"/>
        </w:rPr>
      </w:pPr>
      <w:r w:rsidRPr="0064034D">
        <w:rPr>
          <w:szCs w:val="24"/>
        </w:rPr>
        <w:t xml:space="preserve">El 31 de diciembre de 2008 fue publicada en el Diario Oficial de </w:t>
      </w:r>
      <w:smartTag w:uri="urn:schemas-microsoft-com:office:smarttags" w:element="PersonName">
        <w:smartTagPr>
          <w:attr w:name="ProductID" w:val="la Federaci￳n"/>
        </w:smartTagPr>
        <w:r w:rsidRPr="0064034D">
          <w:rPr>
            <w:szCs w:val="24"/>
          </w:rPr>
          <w:t>la Federación</w:t>
        </w:r>
      </w:smartTag>
      <w:r w:rsidRPr="0064034D">
        <w:rPr>
          <w:szCs w:val="24"/>
        </w:rPr>
        <w:t xml:space="preserve"> la Ley General de Contabilidad Gubernamental (LGCG), que tiene como objeto establecer los criterios generales que regirán </w:t>
      </w:r>
      <w:smartTag w:uri="urn:schemas-microsoft-com:office:smarttags" w:element="PersonName">
        <w:smartTagPr>
          <w:attr w:name="ProductID" w:val="la Contabilidad Gubernamental"/>
        </w:smartTagPr>
        <w:r w:rsidRPr="0064034D">
          <w:rPr>
            <w:szCs w:val="24"/>
          </w:rPr>
          <w:t>la Contabilidad Gubernamental</w:t>
        </w:r>
      </w:smartTag>
      <w:r w:rsidRPr="0064034D">
        <w:rPr>
          <w:szCs w:val="24"/>
        </w:rPr>
        <w:t xml:space="preserve">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A131F" w:rsidP="00FA131F">
      <w:pPr>
        <w:pStyle w:val="Texto"/>
        <w:spacing w:line="219" w:lineRule="exact"/>
        <w:rPr>
          <w:szCs w:val="24"/>
        </w:rPr>
      </w:pPr>
      <w:r w:rsidRPr="0064034D">
        <w:rPr>
          <w:szCs w:val="24"/>
        </w:rPr>
        <w:t xml:space="preserve">La LGCG es de observancia obligatoria para los poderes Ejecutivo, Legislativo y Judicial de </w:t>
      </w:r>
      <w:smartTag w:uri="urn:schemas-microsoft-com:office:smarttags" w:element="PersonName">
        <w:smartTagPr>
          <w:attr w:name="ProductID" w:val="la Federaci￳n"/>
        </w:smartTagPr>
        <w:r w:rsidRPr="0064034D">
          <w:rPr>
            <w:szCs w:val="24"/>
          </w:rPr>
          <w:t>la Federación</w:t>
        </w:r>
      </w:smartTag>
      <w:r w:rsidRPr="0064034D">
        <w:rPr>
          <w:szCs w:val="24"/>
        </w:rPr>
        <w:t>,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D13C6" w:rsidP="00FD13C6">
      <w:pPr>
        <w:pStyle w:val="Texto"/>
        <w:spacing w:line="219" w:lineRule="exact"/>
        <w:rPr>
          <w:szCs w:val="24"/>
        </w:rPr>
      </w:pPr>
      <w:r w:rsidRPr="0064034D">
        <w:rPr>
          <w:szCs w:val="24"/>
        </w:rPr>
        <w:t>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w:t>
      </w:r>
    </w:p>
    <w:p w:rsidR="00FA131F" w:rsidRPr="0064034D" w:rsidRDefault="00FD13C6" w:rsidP="00FD13C6">
      <w:pPr>
        <w:pStyle w:val="Texto"/>
        <w:spacing w:line="219" w:lineRule="exact"/>
        <w:rPr>
          <w:szCs w:val="24"/>
        </w:rPr>
      </w:pPr>
      <w:r w:rsidRPr="0064034D">
        <w:rPr>
          <w:szCs w:val="24"/>
        </w:rPr>
        <w:t>El CONAC desempeña una función única debido a que los instrumentos normativos, contables, económicos y financieros que emite deben ser implementados por los entes públicos, a través de las modificaciones, adiciones o reformas a su marco jurídico, lo cual podría consistir en la eventual modificación  o expedición de leyes y disposiciones administrativas de carácter local, según sea el caso.</w:t>
      </w:r>
    </w:p>
    <w:p w:rsidR="00FA131F" w:rsidRPr="0064034D" w:rsidRDefault="00FA131F" w:rsidP="00FA131F">
      <w:pPr>
        <w:pStyle w:val="Texto"/>
        <w:spacing w:line="219" w:lineRule="exact"/>
        <w:rPr>
          <w:szCs w:val="24"/>
        </w:rPr>
      </w:pPr>
      <w:r w:rsidRPr="0064034D">
        <w:rPr>
          <w:szCs w:val="24"/>
        </w:rPr>
        <w:t>Por lo anterior, el CONAC, en el marco de la LGCG está obligado a contar con un mecanismo de seguimiento que informe el grado de avance en el cumplimiento de las decisiones de dicho cuerpo colegiado. El Secretario Técnico del CONAC realizará el registro de los actos que los gobiernos de las entidades federativas, municipios y demarcaciones territoriales del Distrito Federal ejecuten para adoptar  e implementar las decisiones tomadas por el CONAC en sus respectivos ámbitos de competencia.</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9A2CD3" w:rsidP="00FA131F">
      <w:pPr>
        <w:pStyle w:val="Texto"/>
        <w:spacing w:line="219" w:lineRule="exact"/>
        <w:rPr>
          <w:szCs w:val="24"/>
        </w:rPr>
      </w:pPr>
      <w:r w:rsidRPr="0064034D">
        <w:rPr>
          <w:szCs w:val="24"/>
        </w:rPr>
        <w:t>El Secretario Técnico será el encargado de publicar dicha información, asegurándose que cualquier persona pueda tener fácil acceso a la misma. Lo anterior cumple con la finalidad de proporcionar a la población una herramienta de seguimiento, mediante la cual se dé cuenta sobre el grado de cumplimiento de las entidades federativas y municipios.</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64034D" w:rsidRPr="0064034D">
        <w:rPr>
          <w:color w:val="0000FF"/>
          <w:sz w:val="16"/>
          <w:szCs w:val="16"/>
          <w:lang w:val="es-ES" w:eastAsia="es-ES"/>
        </w:rPr>
        <w:t>27-09-2018</w:t>
      </w:r>
    </w:p>
    <w:p w:rsidR="00FA131F" w:rsidRPr="0064034D" w:rsidRDefault="00FA131F" w:rsidP="00FA131F">
      <w:pPr>
        <w:pStyle w:val="Texto"/>
        <w:spacing w:line="219" w:lineRule="exact"/>
        <w:rPr>
          <w:szCs w:val="24"/>
        </w:rPr>
      </w:pPr>
      <w:r w:rsidRPr="0064034D">
        <w:rPr>
          <w:szCs w:val="24"/>
        </w:rPr>
        <w:t>En el marco de la LGCG, las Entidades Federativas deberán asumir una posición estratégica en las actividades de armonización para que cada uno de sus municipios logre cumplir con los objetivos que dicha ley ordena. Los gobiernos de las Entidades Federativas deben brindar la cooperación y asistencia necesarias a los gobiernos de sus municipios, para que éstos logren armonizar su contabilidad, con base en las decisiones que alcance el CONAC.</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A131F" w:rsidP="00FA131F">
      <w:pPr>
        <w:pStyle w:val="Texto"/>
        <w:spacing w:line="219" w:lineRule="exact"/>
        <w:rPr>
          <w:szCs w:val="24"/>
        </w:rPr>
      </w:pPr>
      <w:r w:rsidRPr="0064034D">
        <w:rPr>
          <w:szCs w:val="24"/>
        </w:rPr>
        <w:t>Asimismo, es necesario considerar que el presente acuerdo se emite con el fin de establecer las bases para que los gobiernos: federal, de las entidades federativas y municipales, cumplan con las obligaciones que les impone el artículo cuarto transitorio de la LGCG. Lo anterior en el entendido de que los entes públicos de cada nivel de gobierno deberán realizar las acciones necesarias para cumplir con  dichas obligaciones.</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D13C6" w:rsidP="00FD13C6">
      <w:pPr>
        <w:pStyle w:val="Texto"/>
        <w:spacing w:line="219" w:lineRule="exact"/>
        <w:rPr>
          <w:szCs w:val="24"/>
        </w:rPr>
      </w:pPr>
      <w:r w:rsidRPr="0064034D">
        <w:rPr>
          <w:szCs w:val="24"/>
        </w:rPr>
        <w:t>El presente acuerdo fue sometido a opinión del Comité Consultivo, el cual integró distintos grupos de trabajo, contando con la participación de representantes de entidades federativas, municipios, Auditoría Superior de la Federación, entidades estatales de Fiscalización, Instituto para el Desarrollo Técnico de las Haciendas Públicas, Instituto Mexicano de Contadores Públicos, Federación Nacional de la Asociación Mexicana de Contadores Públicos y Comisión Permanente de Contralores Estados-Federación.</w:t>
      </w:r>
    </w:p>
    <w:p w:rsidR="00FA131F" w:rsidRPr="0064034D" w:rsidRDefault="00FD13C6" w:rsidP="00FD13C6">
      <w:pPr>
        <w:pStyle w:val="Texto"/>
        <w:spacing w:line="219" w:lineRule="exact"/>
        <w:rPr>
          <w:szCs w:val="24"/>
        </w:rPr>
      </w:pPr>
      <w:r w:rsidRPr="0064034D">
        <w:rPr>
          <w:szCs w:val="24"/>
        </w:rPr>
        <w:lastRenderedPageBreak/>
        <w:t>El 23 de octubre de 2009 el Comité Consultivo hizo llegar al Secretario Técnico la opinión sobre el proyecto de Acuerdo por el que se emite el Clasificador por Rubros de Ingresos.</w:t>
      </w:r>
    </w:p>
    <w:p w:rsidR="00FA131F" w:rsidRPr="0064034D" w:rsidRDefault="00FA131F" w:rsidP="00FA131F">
      <w:pPr>
        <w:pStyle w:val="Texto"/>
        <w:spacing w:line="219" w:lineRule="exact"/>
        <w:rPr>
          <w:szCs w:val="24"/>
        </w:rPr>
      </w:pPr>
      <w:r w:rsidRPr="0064034D">
        <w:rPr>
          <w:szCs w:val="24"/>
        </w:rPr>
        <w:t>En virtud de lo anterior y con fundamento en los artículos 6, primer párrafo y 9, fracción I de la LGCG, el CONAC ha decidido lo siguiente:</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A131F" w:rsidP="00FA131F">
      <w:pPr>
        <w:pStyle w:val="Texto"/>
        <w:spacing w:line="219" w:lineRule="exact"/>
        <w:rPr>
          <w:szCs w:val="24"/>
        </w:rPr>
      </w:pPr>
      <w:r w:rsidRPr="0064034D">
        <w:rPr>
          <w:b/>
          <w:szCs w:val="24"/>
        </w:rPr>
        <w:t>PRIMERO.-</w:t>
      </w:r>
      <w:r w:rsidRPr="0064034D">
        <w:rPr>
          <w:szCs w:val="24"/>
        </w:rPr>
        <w:t xml:space="preserve"> Se emite el Clasificador por Rubros de Ingresos a que hace referencia el artículo tercero transitorio, fracción III de la LGCG.</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Artículo reformado DOF </w:t>
      </w:r>
      <w:r w:rsidR="004B27C1" w:rsidRPr="0064034D">
        <w:rPr>
          <w:color w:val="0000FF"/>
          <w:sz w:val="16"/>
          <w:szCs w:val="16"/>
          <w:lang w:val="es-ES" w:eastAsia="es-ES"/>
        </w:rPr>
        <w:t>11-06</w:t>
      </w:r>
      <w:r w:rsidRPr="0064034D">
        <w:rPr>
          <w:color w:val="0000FF"/>
          <w:sz w:val="16"/>
          <w:szCs w:val="16"/>
          <w:lang w:val="es-ES" w:eastAsia="es-ES"/>
        </w:rPr>
        <w:t>-2018</w:t>
      </w:r>
    </w:p>
    <w:p w:rsidR="00FA131F" w:rsidRPr="0064034D" w:rsidRDefault="00FA131F" w:rsidP="00FD13C6">
      <w:pPr>
        <w:pStyle w:val="ANOTACION"/>
        <w:spacing w:line="219" w:lineRule="exact"/>
        <w:rPr>
          <w:rFonts w:ascii="Arial" w:hAnsi="Arial" w:cs="Arial"/>
        </w:rPr>
      </w:pPr>
      <w:r w:rsidRPr="0064034D">
        <w:rPr>
          <w:rFonts w:ascii="Arial" w:hAnsi="Arial" w:cs="Arial"/>
        </w:rPr>
        <w:t>CLASIFICADOR POR RUBROS DE INGRESOS</w:t>
      </w:r>
    </w:p>
    <w:p w:rsidR="00FA131F" w:rsidRDefault="00FA131F" w:rsidP="007E74AA">
      <w:pPr>
        <w:pStyle w:val="Texto"/>
        <w:spacing w:before="240" w:line="219" w:lineRule="exact"/>
        <w:ind w:firstLine="289"/>
        <w:rPr>
          <w:b/>
          <w:szCs w:val="26"/>
        </w:rPr>
      </w:pPr>
      <w:r w:rsidRPr="0064034D">
        <w:rPr>
          <w:b/>
          <w:szCs w:val="26"/>
        </w:rPr>
        <w:t>A. ASPECTOS GENERALES</w:t>
      </w:r>
      <w:r w:rsidR="00D27A0F">
        <w:rPr>
          <w:b/>
          <w:szCs w:val="26"/>
        </w:rPr>
        <w:t xml:space="preserve"> </w:t>
      </w:r>
    </w:p>
    <w:p w:rsidR="00D27A0F" w:rsidRPr="0064034D" w:rsidRDefault="00D27A0F" w:rsidP="007E74AA">
      <w:pPr>
        <w:pStyle w:val="Texto"/>
        <w:spacing w:before="240" w:line="224" w:lineRule="exact"/>
        <w:ind w:firstLine="289"/>
        <w:jc w:val="right"/>
        <w:rPr>
          <w:b/>
          <w:szCs w:val="26"/>
        </w:rPr>
      </w:pPr>
      <w:r>
        <w:rPr>
          <w:color w:val="0000FF"/>
          <w:sz w:val="16"/>
          <w:szCs w:val="16"/>
        </w:rPr>
        <w:t>R</w:t>
      </w:r>
      <w:r w:rsidRPr="0064034D">
        <w:rPr>
          <w:color w:val="0000FF"/>
          <w:sz w:val="16"/>
          <w:szCs w:val="16"/>
        </w:rPr>
        <w:t xml:space="preserve">eforma </w:t>
      </w:r>
      <w:r w:rsidRPr="007E74AA">
        <w:rPr>
          <w:color w:val="0000FF"/>
          <w:sz w:val="16"/>
          <w:szCs w:val="16"/>
        </w:rPr>
        <w:t>DOF 0</w:t>
      </w:r>
      <w:r w:rsidR="00D90DFE" w:rsidRPr="007E74AA">
        <w:rPr>
          <w:color w:val="0000FF"/>
          <w:sz w:val="16"/>
          <w:szCs w:val="16"/>
        </w:rPr>
        <w:t>9</w:t>
      </w:r>
      <w:r w:rsidRPr="007E74AA">
        <w:rPr>
          <w:color w:val="0000FF"/>
          <w:sz w:val="16"/>
          <w:szCs w:val="16"/>
        </w:rPr>
        <w:t>-08-2023</w:t>
      </w:r>
    </w:p>
    <w:p w:rsidR="00FD13C6" w:rsidRPr="0064034D" w:rsidRDefault="00FD13C6" w:rsidP="00FD13C6">
      <w:pPr>
        <w:pStyle w:val="Texto"/>
        <w:spacing w:line="224" w:lineRule="exact"/>
        <w:rPr>
          <w:szCs w:val="24"/>
        </w:rPr>
      </w:pPr>
      <w:r w:rsidRPr="0064034D">
        <w:rPr>
          <w:szCs w:val="24"/>
        </w:rPr>
        <w:t>Los registros contables de los entes públicos se llevarán con base acumulativa. La contabilización de las transacciones de ingreso se registrará cuando exista jurídicamente el derecho de cobro.</w:t>
      </w:r>
    </w:p>
    <w:p w:rsidR="00FD13C6" w:rsidRPr="0064034D" w:rsidRDefault="00FD13C6" w:rsidP="00FD13C6">
      <w:pPr>
        <w:pStyle w:val="Texto"/>
        <w:spacing w:line="224" w:lineRule="exact"/>
        <w:rPr>
          <w:szCs w:val="24"/>
        </w:rPr>
      </w:pPr>
      <w:r w:rsidRPr="0064034D">
        <w:rPr>
          <w:szCs w:val="24"/>
        </w:rPr>
        <w:t>Para el registro único de las operaciones presupuestarias y contables, los entes públicos dispondrán de clasificadores presupuestarios, listas de cuentas y catálogos de bienes o instrumentos similares que permitan su interrelación automática.</w:t>
      </w:r>
    </w:p>
    <w:p w:rsidR="00FA131F" w:rsidRPr="0064034D" w:rsidRDefault="009A2CD3" w:rsidP="00FA131F">
      <w:pPr>
        <w:pStyle w:val="Texto"/>
        <w:spacing w:line="224" w:lineRule="exact"/>
        <w:rPr>
          <w:szCs w:val="24"/>
        </w:rPr>
      </w:pPr>
      <w:r w:rsidRPr="0064034D">
        <w:rPr>
          <w:szCs w:val="24"/>
        </w:rPr>
        <w:t>Por lo anterior, el Clasificador por Rubros de Ingresos (CRI), es de observancia obligatoria de los entes púb</w:t>
      </w:r>
      <w:r w:rsidR="00D27A0F">
        <w:rPr>
          <w:szCs w:val="24"/>
        </w:rPr>
        <w:t>l</w:t>
      </w:r>
      <w:r w:rsidRPr="0064034D">
        <w:rPr>
          <w:szCs w:val="24"/>
        </w:rPr>
        <w:t>icos de la federación, de las entidades federativas y de los municipios, incluyendo a las entidades de la administración pública paraestatal y paramunicipal, el cual permitirá una clasificación de los ingresos presupuestarios acorde a las disposiciones legales, así como a las normas y criterios contables aplicables, inmerso en un esquema claro, preciso, integral y útil, que posibilite un adecuado registro y presentación de las operaciones, que facilite la interrelación con las cuentas patrimoniales.</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Párrafo reformado DOF </w:t>
      </w:r>
      <w:r w:rsidR="0064034D" w:rsidRPr="0064034D">
        <w:rPr>
          <w:color w:val="0000FF"/>
          <w:sz w:val="16"/>
          <w:szCs w:val="16"/>
          <w:lang w:val="es-ES" w:eastAsia="es-ES"/>
        </w:rPr>
        <w:t>27-09-2018</w:t>
      </w:r>
    </w:p>
    <w:p w:rsidR="00FD13C6" w:rsidRPr="0064034D" w:rsidRDefault="00FD13C6" w:rsidP="00FD13C6">
      <w:pPr>
        <w:pStyle w:val="Texto"/>
        <w:spacing w:line="224" w:lineRule="exact"/>
        <w:rPr>
          <w:szCs w:val="24"/>
        </w:rPr>
      </w:pPr>
      <w:r w:rsidRPr="0064034D">
        <w:rPr>
          <w:szCs w:val="24"/>
        </w:rPr>
        <w:t>Los recursos públicos son medios de financiamiento que permiten solventar las actividades propias de los entes públicos, atender las obligaciones de pago de la deuda pública o efectuar transferencias que requieran otros ámbitos o niveles de gobierno.</w:t>
      </w:r>
    </w:p>
    <w:p w:rsidR="00FD13C6" w:rsidRPr="0064034D" w:rsidRDefault="00FD13C6" w:rsidP="00FD13C6">
      <w:pPr>
        <w:pStyle w:val="Texto"/>
        <w:spacing w:line="224" w:lineRule="exact"/>
        <w:rPr>
          <w:szCs w:val="24"/>
        </w:rPr>
      </w:pPr>
      <w:r w:rsidRPr="0064034D">
        <w:rPr>
          <w:szCs w:val="24"/>
        </w:rPr>
        <w:t>De su captación y disposición no sólo depende la existencia misma de los entes públicos, sino que además es necesario conocer los efectos y reacciones que provocan en el resto de la economía las distintas formas que asume esa captación, por lo que es relevante llegar a conocer su origen, su naturaleza y las transacciones que permiten su obtención.</w:t>
      </w:r>
    </w:p>
    <w:p w:rsidR="00FD13C6" w:rsidRPr="0064034D" w:rsidRDefault="00FD13C6" w:rsidP="00FD13C6">
      <w:pPr>
        <w:pStyle w:val="Texto"/>
        <w:spacing w:line="224" w:lineRule="exact"/>
        <w:rPr>
          <w:szCs w:val="24"/>
        </w:rPr>
      </w:pPr>
      <w:r w:rsidRPr="0064034D">
        <w:rPr>
          <w:szCs w:val="24"/>
        </w:rPr>
        <w:t>En este sentido, la adecuada clasificación de los recursos resulta sumamente importante, su trascendencia en materia de la obtención de las cuentas nacionales, en especial en lo referente al análisis de la generación, distribución y redistribución del ingreso.</w:t>
      </w:r>
    </w:p>
    <w:p w:rsidR="00FD13C6" w:rsidRPr="0064034D" w:rsidRDefault="00FD13C6" w:rsidP="00FD13C6">
      <w:pPr>
        <w:pStyle w:val="Texto"/>
        <w:spacing w:line="224" w:lineRule="exact"/>
        <w:rPr>
          <w:szCs w:val="24"/>
        </w:rPr>
      </w:pPr>
      <w:r w:rsidRPr="0064034D">
        <w:rPr>
          <w:szCs w:val="24"/>
        </w:rPr>
        <w:t>A fin de obtener esa información resulta necesario organizar las transacciones en categorías homogéneas, que permitan la correcta interpretación de los hechos que les dieron origen y sus repercusiones. En consecuencia, las clasificaciones de los recursos, identifican las características distintivas de los medios de financiamiento, agrupándolos a fin de medirlos y analizar sus efectos.</w:t>
      </w:r>
    </w:p>
    <w:p w:rsidR="00FA131F" w:rsidRPr="0064034D" w:rsidRDefault="00FA131F" w:rsidP="00FA131F">
      <w:pPr>
        <w:pStyle w:val="Texto"/>
        <w:spacing w:line="222" w:lineRule="exact"/>
        <w:rPr>
          <w:b/>
          <w:szCs w:val="18"/>
        </w:rPr>
      </w:pPr>
      <w:r w:rsidRPr="0064034D">
        <w:rPr>
          <w:b/>
          <w:szCs w:val="18"/>
        </w:rPr>
        <w:t>B. OBJETIVOS</w:t>
      </w:r>
    </w:p>
    <w:p w:rsidR="00FD13C6" w:rsidRPr="0064034D" w:rsidRDefault="00FD13C6" w:rsidP="00FD13C6">
      <w:pPr>
        <w:pStyle w:val="Texto"/>
        <w:spacing w:line="222" w:lineRule="exact"/>
        <w:rPr>
          <w:szCs w:val="24"/>
        </w:rPr>
      </w:pPr>
      <w:r w:rsidRPr="0064034D">
        <w:rPr>
          <w:szCs w:val="24"/>
        </w:rPr>
        <w:t>Las clasificaciones de los ingresos públicos tienen por finalidad:</w:t>
      </w:r>
    </w:p>
    <w:p w:rsidR="00FD13C6" w:rsidRPr="0064034D" w:rsidRDefault="00FD13C6" w:rsidP="00FD13C6">
      <w:pPr>
        <w:pStyle w:val="Texto"/>
        <w:numPr>
          <w:ilvl w:val="0"/>
          <w:numId w:val="6"/>
        </w:numPr>
        <w:spacing w:line="222" w:lineRule="exact"/>
        <w:rPr>
          <w:szCs w:val="24"/>
        </w:rPr>
      </w:pPr>
      <w:r w:rsidRPr="0064034D">
        <w:rPr>
          <w:szCs w:val="24"/>
        </w:rPr>
        <w:t>Identificar los ingresos que los entes públicos captan en función de la actividad que desarrollan.</w:t>
      </w:r>
    </w:p>
    <w:p w:rsidR="00FD13C6" w:rsidRPr="0064034D" w:rsidRDefault="00FD13C6" w:rsidP="00FD13C6">
      <w:pPr>
        <w:pStyle w:val="Texto"/>
        <w:numPr>
          <w:ilvl w:val="0"/>
          <w:numId w:val="6"/>
        </w:numPr>
        <w:spacing w:line="222" w:lineRule="exact"/>
        <w:rPr>
          <w:szCs w:val="24"/>
        </w:rPr>
      </w:pPr>
      <w:r w:rsidRPr="0064034D">
        <w:rPr>
          <w:szCs w:val="24"/>
        </w:rPr>
        <w:t>Realizar el análisis económico-financiero y facilitar la toma de decisiones de los entes públicos.</w:t>
      </w:r>
    </w:p>
    <w:p w:rsidR="00FD13C6" w:rsidRPr="0064034D" w:rsidRDefault="00FD13C6" w:rsidP="00FD13C6">
      <w:pPr>
        <w:pStyle w:val="Texto"/>
        <w:numPr>
          <w:ilvl w:val="0"/>
          <w:numId w:val="6"/>
        </w:numPr>
        <w:spacing w:line="222" w:lineRule="exact"/>
        <w:rPr>
          <w:szCs w:val="24"/>
        </w:rPr>
      </w:pPr>
      <w:r w:rsidRPr="0064034D">
        <w:rPr>
          <w:szCs w:val="24"/>
        </w:rPr>
        <w:t>Contribuir a la definición de la política presupuestaria de un período determinado.</w:t>
      </w:r>
    </w:p>
    <w:p w:rsidR="00FD13C6" w:rsidRPr="0064034D" w:rsidRDefault="00FD13C6" w:rsidP="00FD13C6">
      <w:pPr>
        <w:pStyle w:val="Texto"/>
        <w:numPr>
          <w:ilvl w:val="0"/>
          <w:numId w:val="6"/>
        </w:numPr>
        <w:spacing w:line="222" w:lineRule="exact"/>
        <w:rPr>
          <w:szCs w:val="24"/>
        </w:rPr>
      </w:pPr>
      <w:r w:rsidRPr="0064034D">
        <w:rPr>
          <w:szCs w:val="24"/>
        </w:rPr>
        <w:t>Procurar la medición del efecto de la recaudación de los entes públicos en los distintos sectores de la actividad económica.</w:t>
      </w:r>
    </w:p>
    <w:p w:rsidR="00FD13C6" w:rsidRPr="0064034D" w:rsidRDefault="00FD13C6" w:rsidP="00FD13C6">
      <w:pPr>
        <w:pStyle w:val="Texto"/>
        <w:numPr>
          <w:ilvl w:val="0"/>
          <w:numId w:val="6"/>
        </w:numPr>
        <w:spacing w:line="222" w:lineRule="exact"/>
        <w:rPr>
          <w:szCs w:val="24"/>
        </w:rPr>
      </w:pPr>
      <w:r w:rsidRPr="0064034D">
        <w:rPr>
          <w:szCs w:val="24"/>
        </w:rPr>
        <w:t>Determinar la elasticidad de los ingresos tributarios con relación a variables que constituyen su base imponible.</w:t>
      </w:r>
    </w:p>
    <w:p w:rsidR="00FD13C6" w:rsidRPr="0064034D" w:rsidRDefault="00FD13C6" w:rsidP="00FD13C6">
      <w:pPr>
        <w:pStyle w:val="Texto"/>
        <w:numPr>
          <w:ilvl w:val="0"/>
          <w:numId w:val="6"/>
        </w:numPr>
        <w:spacing w:line="222" w:lineRule="exact"/>
        <w:rPr>
          <w:szCs w:val="24"/>
        </w:rPr>
      </w:pPr>
      <w:r w:rsidRPr="0064034D">
        <w:rPr>
          <w:szCs w:val="24"/>
        </w:rPr>
        <w:t>Establecer la característica e importancia de los recursos en la economía del sector público.</w:t>
      </w:r>
    </w:p>
    <w:p w:rsidR="00FD13C6" w:rsidRPr="0064034D" w:rsidRDefault="00FD13C6" w:rsidP="00FD13C6">
      <w:pPr>
        <w:pStyle w:val="Texto"/>
        <w:numPr>
          <w:ilvl w:val="0"/>
          <w:numId w:val="6"/>
        </w:numPr>
        <w:spacing w:line="222" w:lineRule="exact"/>
        <w:rPr>
          <w:szCs w:val="24"/>
        </w:rPr>
      </w:pPr>
      <w:r w:rsidRPr="0064034D">
        <w:rPr>
          <w:szCs w:val="24"/>
        </w:rPr>
        <w:t>Identificar los medios de financiamiento originados en variación de saldos de cuentas del activo  y pasivo.</w:t>
      </w:r>
    </w:p>
    <w:p w:rsidR="00FA131F" w:rsidRDefault="00FA131F" w:rsidP="00FD13C6">
      <w:pPr>
        <w:pStyle w:val="Texto"/>
        <w:spacing w:before="200" w:line="224" w:lineRule="exact"/>
        <w:ind w:firstLine="289"/>
        <w:rPr>
          <w:b/>
          <w:szCs w:val="18"/>
        </w:rPr>
      </w:pPr>
      <w:r w:rsidRPr="0064034D">
        <w:rPr>
          <w:b/>
          <w:szCs w:val="18"/>
        </w:rPr>
        <w:lastRenderedPageBreak/>
        <w:t>C. ESTRUCTURA DE CODIFICACION</w:t>
      </w:r>
    </w:p>
    <w:p w:rsidR="00F6110D" w:rsidRPr="0064034D" w:rsidRDefault="00F6110D" w:rsidP="007E74AA">
      <w:pPr>
        <w:pStyle w:val="Texto"/>
        <w:spacing w:before="200" w:line="224" w:lineRule="exact"/>
        <w:ind w:firstLine="289"/>
        <w:jc w:val="right"/>
        <w:rPr>
          <w:b/>
          <w:szCs w:val="18"/>
        </w:rPr>
      </w:pPr>
      <w:r>
        <w:rPr>
          <w:color w:val="0000FF"/>
          <w:sz w:val="16"/>
          <w:szCs w:val="16"/>
        </w:rPr>
        <w:t>R</w:t>
      </w:r>
      <w:r w:rsidRPr="0064034D">
        <w:rPr>
          <w:color w:val="0000FF"/>
          <w:sz w:val="16"/>
          <w:szCs w:val="16"/>
        </w:rPr>
        <w:t xml:space="preserve">eforma </w:t>
      </w:r>
      <w:r w:rsidRPr="007E74AA">
        <w:rPr>
          <w:color w:val="0000FF"/>
          <w:sz w:val="16"/>
          <w:szCs w:val="16"/>
        </w:rPr>
        <w:t>DOF 09-08-2023</w:t>
      </w:r>
    </w:p>
    <w:p w:rsidR="00FD13C6" w:rsidRPr="0064034D" w:rsidRDefault="00FD13C6" w:rsidP="00FD13C6">
      <w:pPr>
        <w:pStyle w:val="Texto"/>
        <w:spacing w:line="222" w:lineRule="exact"/>
        <w:rPr>
          <w:szCs w:val="24"/>
        </w:rPr>
      </w:pPr>
      <w:r w:rsidRPr="0064034D">
        <w:rPr>
          <w:szCs w:val="24"/>
        </w:rPr>
        <w:t>El CRI ordena, agrupa y presenta a los ingresos públicos en función de su diferente naturaleza y el carácter de las transacciones que le dan origen.</w:t>
      </w:r>
    </w:p>
    <w:p w:rsidR="00FD13C6" w:rsidRPr="0064034D" w:rsidRDefault="00FD13C6" w:rsidP="00FD13C6">
      <w:pPr>
        <w:pStyle w:val="Texto"/>
        <w:spacing w:line="222" w:lineRule="exact"/>
        <w:rPr>
          <w:szCs w:val="24"/>
        </w:rPr>
      </w:pPr>
      <w:r w:rsidRPr="0064034D">
        <w:rPr>
          <w:szCs w:val="24"/>
        </w:rPr>
        <w:t>Así, en el CRI se distinguen los que provienen de fuentes tradicionales como los impuestos, los aprovechamientos, derechos y productos, las transferencias; los que proceden del patrimonio público como la venta de activos, de títulos, de acciones y las rentas de la propiedad; los que provienen de la disminución de activos y financiamientos.</w:t>
      </w:r>
    </w:p>
    <w:p w:rsidR="00FD13C6" w:rsidRPr="0064034D" w:rsidRDefault="00FD13C6" w:rsidP="00FD13C6">
      <w:pPr>
        <w:pStyle w:val="Texto"/>
        <w:spacing w:line="222" w:lineRule="exact"/>
        <w:rPr>
          <w:szCs w:val="24"/>
        </w:rPr>
      </w:pPr>
      <w:r w:rsidRPr="0064034D">
        <w:rPr>
          <w:szCs w:val="24"/>
        </w:rPr>
        <w:t>El CRI permitirá el registro analítico de las transacciones de ingresos, siendo el instrumento que permite vincular los aspectos presupuestarios y contables de los recursos. Además, tiene una codificación de dos dígitos:</w:t>
      </w:r>
    </w:p>
    <w:p w:rsidR="00FD13C6" w:rsidRPr="0064034D" w:rsidRDefault="00FD13C6" w:rsidP="00FD13C6">
      <w:pPr>
        <w:pStyle w:val="Texto"/>
        <w:spacing w:line="222" w:lineRule="exact"/>
        <w:rPr>
          <w:szCs w:val="24"/>
        </w:rPr>
      </w:pPr>
      <w:r w:rsidRPr="0064034D">
        <w:rPr>
          <w:szCs w:val="24"/>
        </w:rPr>
        <w:t>Rubro:</w:t>
      </w:r>
    </w:p>
    <w:p w:rsidR="00FD13C6" w:rsidRPr="0064034D" w:rsidRDefault="00FD13C6" w:rsidP="00FD13C6">
      <w:pPr>
        <w:pStyle w:val="Texto"/>
        <w:spacing w:line="222" w:lineRule="exact"/>
        <w:rPr>
          <w:szCs w:val="24"/>
        </w:rPr>
      </w:pPr>
      <w:r w:rsidRPr="0064034D">
        <w:rPr>
          <w:szCs w:val="24"/>
        </w:rPr>
        <w:t>El mayor nivel de agregación del CRI que presenta y ordena los grupos principales de los ingresos públicos en función de su diferente naturaleza y el carácter de las transacciones que le dan origen.</w:t>
      </w:r>
    </w:p>
    <w:p w:rsidR="00FD13C6" w:rsidRPr="0064034D" w:rsidRDefault="00FD13C6" w:rsidP="00FD13C6">
      <w:pPr>
        <w:pStyle w:val="Texto"/>
        <w:spacing w:line="222" w:lineRule="exact"/>
        <w:rPr>
          <w:szCs w:val="24"/>
        </w:rPr>
      </w:pPr>
      <w:r w:rsidRPr="0064034D">
        <w:rPr>
          <w:szCs w:val="24"/>
        </w:rPr>
        <w:t>Tipo:</w:t>
      </w:r>
    </w:p>
    <w:p w:rsidR="00FD13C6" w:rsidRPr="0064034D" w:rsidRDefault="00FD13C6" w:rsidP="00FD13C6">
      <w:pPr>
        <w:pStyle w:val="Texto"/>
        <w:spacing w:line="222" w:lineRule="exact"/>
        <w:rPr>
          <w:szCs w:val="24"/>
        </w:rPr>
      </w:pPr>
      <w:r w:rsidRPr="0064034D">
        <w:rPr>
          <w:szCs w:val="24"/>
        </w:rPr>
        <w:t>Determina el conjunto de ingresos públicos que integran cada rubro, cuyo nivel de agregación  es intermedio.</w:t>
      </w:r>
    </w:p>
    <w:p w:rsidR="00FD13C6" w:rsidRDefault="00FD13C6" w:rsidP="00FD13C6">
      <w:pPr>
        <w:pStyle w:val="Texto"/>
        <w:spacing w:line="222" w:lineRule="exact"/>
        <w:rPr>
          <w:szCs w:val="24"/>
        </w:rPr>
      </w:pPr>
      <w:r w:rsidRPr="0064034D">
        <w:rPr>
          <w:szCs w:val="24"/>
        </w:rPr>
        <w:t>Las unidades administrativas o instancias competentes en materia de Contabilidad Gubernamental y de Ingresos de cada orden de gobierno, podrán desagregar de acuerdo a sus necesidades este clasificador, en clase (tercer nivel) y concepto (cuarto nivel), a partir de la estructura básica que se está presentando (2 dígitos), conservando la armonización con el Plan de Cuentas</w:t>
      </w:r>
      <w:r w:rsidR="00491871">
        <w:rPr>
          <w:szCs w:val="24"/>
        </w:rPr>
        <w:t xml:space="preserve"> </w:t>
      </w:r>
      <w:r w:rsidR="00491871" w:rsidRPr="00491871">
        <w:rPr>
          <w:szCs w:val="24"/>
        </w:rPr>
        <w:t>y con las Matrices de Conversión</w:t>
      </w:r>
      <w:r w:rsidRPr="0064034D">
        <w:rPr>
          <w:szCs w:val="24"/>
        </w:rPr>
        <w:t>.</w:t>
      </w:r>
    </w:p>
    <w:p w:rsidR="002F1408" w:rsidRPr="0064034D" w:rsidRDefault="002F1408" w:rsidP="007E74AA">
      <w:pPr>
        <w:pStyle w:val="Texto"/>
        <w:spacing w:line="222" w:lineRule="exact"/>
        <w:jc w:val="right"/>
        <w:rPr>
          <w:szCs w:val="24"/>
        </w:rPr>
      </w:pPr>
      <w:r w:rsidRPr="007E74AA">
        <w:rPr>
          <w:color w:val="0000FF"/>
          <w:sz w:val="16"/>
          <w:szCs w:val="16"/>
        </w:rPr>
        <w:t xml:space="preserve">Párrafo reformado DOF </w:t>
      </w:r>
      <w:r w:rsidR="00D90DFE" w:rsidRPr="007E74AA">
        <w:rPr>
          <w:color w:val="0000FF"/>
          <w:sz w:val="16"/>
          <w:szCs w:val="16"/>
        </w:rPr>
        <w:t>09</w:t>
      </w:r>
      <w:r w:rsidRPr="007E74AA">
        <w:rPr>
          <w:color w:val="0000FF"/>
          <w:sz w:val="16"/>
          <w:szCs w:val="16"/>
        </w:rPr>
        <w:t>-0</w:t>
      </w:r>
      <w:r w:rsidR="00D90DFE" w:rsidRPr="007E74AA">
        <w:rPr>
          <w:color w:val="0000FF"/>
          <w:sz w:val="16"/>
          <w:szCs w:val="16"/>
        </w:rPr>
        <w:t>8</w:t>
      </w:r>
      <w:r w:rsidRPr="007E74AA">
        <w:rPr>
          <w:color w:val="0000FF"/>
          <w:sz w:val="16"/>
          <w:szCs w:val="16"/>
        </w:rPr>
        <w:t>-20</w:t>
      </w:r>
      <w:r w:rsidR="00D90DFE" w:rsidRPr="007E74AA">
        <w:rPr>
          <w:color w:val="0000FF"/>
          <w:sz w:val="16"/>
          <w:szCs w:val="16"/>
        </w:rPr>
        <w:t>23</w:t>
      </w:r>
    </w:p>
    <w:p w:rsidR="00FA131F" w:rsidRPr="0064034D" w:rsidRDefault="00B459C1" w:rsidP="00FD13C6">
      <w:pPr>
        <w:pStyle w:val="Texto"/>
        <w:spacing w:before="200" w:line="224" w:lineRule="exact"/>
        <w:ind w:firstLine="289"/>
        <w:rPr>
          <w:b/>
          <w:szCs w:val="18"/>
        </w:rPr>
      </w:pPr>
      <w:r w:rsidRPr="0064034D">
        <w:rPr>
          <w:b/>
          <w:szCs w:val="18"/>
        </w:rPr>
        <w:br w:type="page"/>
      </w:r>
      <w:r w:rsidR="00FA131F" w:rsidRPr="0064034D">
        <w:rPr>
          <w:b/>
          <w:szCs w:val="18"/>
        </w:rPr>
        <w:lastRenderedPageBreak/>
        <w:t>D. RELACION DE RUBROS Y TIPOS</w:t>
      </w:r>
    </w:p>
    <w:p w:rsidR="00B459C1" w:rsidRPr="0064034D" w:rsidRDefault="00B459C1" w:rsidP="00B459C1">
      <w:pPr>
        <w:pStyle w:val="texto0"/>
        <w:spacing w:after="120" w:line="240" w:lineRule="auto"/>
        <w:ind w:firstLine="0"/>
        <w:jc w:val="right"/>
        <w:rPr>
          <w:color w:val="0000FF"/>
          <w:sz w:val="16"/>
          <w:szCs w:val="16"/>
          <w:lang w:val="es-ES" w:eastAsia="es-ES"/>
        </w:rPr>
      </w:pPr>
      <w:r w:rsidRPr="0064034D">
        <w:rPr>
          <w:color w:val="0000FF"/>
          <w:sz w:val="16"/>
          <w:szCs w:val="16"/>
          <w:lang w:val="es-ES" w:eastAsia="es-ES"/>
        </w:rPr>
        <w:t xml:space="preserve">Punto reformado DOF </w:t>
      </w:r>
      <w:r w:rsidR="004B27C1" w:rsidRPr="0064034D">
        <w:rPr>
          <w:color w:val="0000FF"/>
          <w:sz w:val="16"/>
          <w:szCs w:val="16"/>
          <w:lang w:val="es-ES" w:eastAsia="es-ES"/>
        </w:rPr>
        <w:t>11-06</w:t>
      </w:r>
      <w:r w:rsidRPr="0064034D">
        <w:rPr>
          <w:color w:val="0000FF"/>
          <w:sz w:val="16"/>
          <w:szCs w:val="16"/>
          <w:lang w:val="es-ES" w:eastAsia="es-ES"/>
        </w:rPr>
        <w:t>-2018</w:t>
      </w:r>
    </w:p>
    <w:tbl>
      <w:tblPr>
        <w:tblW w:w="9140" w:type="dxa"/>
        <w:tblInd w:w="144" w:type="dxa"/>
        <w:tblLayout w:type="fixed"/>
        <w:tblCellMar>
          <w:left w:w="70" w:type="dxa"/>
          <w:right w:w="70" w:type="dxa"/>
        </w:tblCellMar>
        <w:tblLook w:val="0000" w:firstRow="0" w:lastRow="0" w:firstColumn="0" w:lastColumn="0" w:noHBand="0" w:noVBand="0"/>
      </w:tblPr>
      <w:tblGrid>
        <w:gridCol w:w="258"/>
        <w:gridCol w:w="350"/>
        <w:gridCol w:w="90"/>
        <w:gridCol w:w="70"/>
        <w:gridCol w:w="90"/>
        <w:gridCol w:w="125"/>
        <w:gridCol w:w="35"/>
        <w:gridCol w:w="8122"/>
      </w:tblGrid>
      <w:tr w:rsidR="00FA131F" w:rsidRPr="0064034D" w:rsidTr="0019560D">
        <w:trPr>
          <w:trHeight w:val="144"/>
        </w:trPr>
        <w:tc>
          <w:tcPr>
            <w:tcW w:w="258" w:type="dxa"/>
            <w:noWrap/>
          </w:tcPr>
          <w:p w:rsidR="00FA131F" w:rsidRPr="0064034D" w:rsidRDefault="00FA131F" w:rsidP="0019560D">
            <w:pPr>
              <w:pStyle w:val="Texto"/>
              <w:spacing w:before="60" w:after="60" w:line="240" w:lineRule="auto"/>
              <w:ind w:firstLine="0"/>
              <w:rPr>
                <w:b/>
                <w:szCs w:val="18"/>
              </w:rPr>
            </w:pPr>
            <w:r w:rsidRPr="0064034D">
              <w:rPr>
                <w:b/>
                <w:szCs w:val="18"/>
              </w:rPr>
              <w:t>1</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Impuestos</w:t>
            </w:r>
          </w:p>
          <w:p w:rsidR="00FA131F" w:rsidRPr="0064034D" w:rsidRDefault="00FA131F" w:rsidP="0019560D">
            <w:pPr>
              <w:pStyle w:val="Texto"/>
              <w:spacing w:before="60" w:after="60" w:line="240" w:lineRule="auto"/>
              <w:ind w:firstLine="0"/>
              <w:rPr>
                <w:b/>
                <w:szCs w:val="18"/>
              </w:rPr>
            </w:pPr>
            <w:r w:rsidRPr="0064034D">
              <w:rPr>
                <w:b/>
                <w:szCs w:val="18"/>
              </w:rPr>
              <w:t>Son las contribuciones establecidas en Ley que deben pagar las personas físicas y morales que se encuentran en la situación jurídica o de hecho prevista por la misma y que sean distintas de las aportaciones de seguridad social, contribuciones de mejoras y derechos.</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11</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Sobre los Ingresos</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sobre los ingresos de las personas físicas y/o morales,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12</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Sobre el Patrimonio</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sobre los bienes propiedad de las personas físicas y/o morales, de conformidad con la legislación aplicable en la materia.</w:t>
            </w:r>
          </w:p>
        </w:tc>
      </w:tr>
      <w:tr w:rsidR="00FA131F" w:rsidRPr="0064034D" w:rsidTr="0019560D">
        <w:trPr>
          <w:trHeight w:val="70"/>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13</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Sobre la Producción, el Consumo y las Transacciones</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sobre la actividad económica relacionada con la producción, el consumo y las transacciones que realizan las personas físicas y/o morales, de conformidad con la legislación aplicable en la materia.</w:t>
            </w:r>
          </w:p>
        </w:tc>
      </w:tr>
      <w:tr w:rsidR="00FA131F" w:rsidRPr="0064034D" w:rsidTr="0019560D">
        <w:trPr>
          <w:trHeight w:val="70"/>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14</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al Comercio Exterior</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sobre las actividades de importación y exportación que realizan las personas físicas y/o morales,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15</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Sobre Nóminas y Asimilables</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sobre la base gravable de las remuneraciones al trabajo personal subordinado o el que corresponda,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16</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Ecológicos</w:t>
            </w:r>
          </w:p>
          <w:p w:rsidR="00FA131F" w:rsidRPr="0064034D" w:rsidRDefault="00FA131F" w:rsidP="0019560D">
            <w:pPr>
              <w:pStyle w:val="Texto"/>
              <w:spacing w:before="60" w:after="60" w:line="240" w:lineRule="auto"/>
              <w:ind w:firstLine="0"/>
              <w:rPr>
                <w:szCs w:val="18"/>
              </w:rPr>
            </w:pPr>
            <w:r w:rsidRPr="0064034D">
              <w:rPr>
                <w:szCs w:val="18"/>
              </w:rPr>
              <w:t>Son las contribuciones derivadas de las imposiciones fiscales que en forma unilateral y obligatoria se fijan a las personas físicas y/o morales, por la afectación preventiva o correctiva que se ocasione en flora, fauna, medio ambiente o todo aquello relacionado a la ecología,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17</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Accesorios de Impuestos</w:t>
            </w:r>
          </w:p>
          <w:p w:rsidR="00FA131F" w:rsidRPr="0064034D" w:rsidRDefault="00FA131F" w:rsidP="0019560D">
            <w:pPr>
              <w:pStyle w:val="Texto"/>
              <w:spacing w:before="60" w:after="60" w:line="240" w:lineRule="auto"/>
              <w:ind w:firstLine="0"/>
              <w:rPr>
                <w:szCs w:val="18"/>
              </w:rPr>
            </w:pPr>
            <w:r w:rsidRPr="0064034D">
              <w:rPr>
                <w:szCs w:val="18"/>
              </w:rPr>
              <w:t xml:space="preserve">Son los ingresos que se perciben por concepto de </w:t>
            </w:r>
            <w:r w:rsidRPr="0064034D">
              <w:t xml:space="preserve">recargos, sanciones, gastos de ejecución, indemnizaciones, entre otros, asociados a los impuestos, </w:t>
            </w:r>
            <w:r w:rsidRPr="0064034D">
              <w:rPr>
                <w:szCs w:val="18"/>
              </w:rPr>
              <w:t>cuando éstos no se cubran oportunamente,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18</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Otros Impuestos</w:t>
            </w:r>
          </w:p>
          <w:p w:rsidR="00FA131F" w:rsidRPr="0064034D" w:rsidRDefault="00FA131F" w:rsidP="0019560D">
            <w:pPr>
              <w:pStyle w:val="Texto"/>
              <w:spacing w:before="60" w:after="60" w:line="240" w:lineRule="auto"/>
              <w:ind w:firstLine="0"/>
              <w:rPr>
                <w:szCs w:val="18"/>
              </w:rPr>
            </w:pPr>
            <w:r w:rsidRPr="0064034D">
              <w:rPr>
                <w:szCs w:val="18"/>
              </w:rPr>
              <w:t>Son los ingresos que se perciben por conceptos no incluidos en los tipos anteriores,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19</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Impuestos no Comprendidos en la Ley de Ingresos Vigente, Causados en Ejercicios Fiscales Anteriores Pendientes de Liquidación o Pago</w:t>
            </w:r>
          </w:p>
          <w:p w:rsidR="00FA131F" w:rsidRPr="0064034D" w:rsidRDefault="00FA131F" w:rsidP="0019560D">
            <w:pPr>
              <w:pStyle w:val="Texto"/>
              <w:spacing w:before="60" w:after="60" w:line="240" w:lineRule="auto"/>
              <w:ind w:firstLine="0"/>
              <w:rPr>
                <w:szCs w:val="18"/>
              </w:rPr>
            </w:pPr>
            <w:r w:rsidRPr="0064034D">
              <w:rPr>
                <w:szCs w:val="18"/>
              </w:rPr>
              <w:t>Son los ingresos que se recaudan en el ejercicio corriente, por impuestos pendientes de liquidación o pago causados en ejercicios fiscales anteriores, no incluidos en la Ley de Ingresos vigente.</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r w:rsidRPr="0064034D">
              <w:rPr>
                <w:b/>
                <w:szCs w:val="18"/>
              </w:rPr>
              <w:t>2</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Cuotas y Aportaciones de Seguridad Social</w:t>
            </w:r>
          </w:p>
          <w:p w:rsidR="00FA131F" w:rsidRPr="0064034D" w:rsidRDefault="00FA131F" w:rsidP="0019560D">
            <w:pPr>
              <w:pStyle w:val="Texto"/>
              <w:spacing w:before="60" w:after="60" w:line="240" w:lineRule="auto"/>
              <w:ind w:firstLine="0"/>
              <w:rPr>
                <w:b/>
                <w:szCs w:val="18"/>
              </w:rPr>
            </w:pPr>
            <w:r w:rsidRPr="0064034D">
              <w:rPr>
                <w:b/>
                <w:szCs w:val="18"/>
              </w:rPr>
              <w:t>Son las contribuciones establecidas en Ley a cargo de personas que son sustituidas por el Estado en el cumplimiento de obligaciones fijadas por la Ley en materia de seguridad social o a las personas que se beneficien en forma especial por servicios de seguridad social proporcionados por el mismo Estado.</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21</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Aportaciones para Fondos de Vivienda</w:t>
            </w:r>
          </w:p>
          <w:p w:rsidR="00FA131F" w:rsidRPr="0064034D" w:rsidRDefault="00FA131F" w:rsidP="0019560D">
            <w:pPr>
              <w:pStyle w:val="Texto"/>
              <w:spacing w:before="60" w:after="60" w:line="240" w:lineRule="auto"/>
              <w:ind w:firstLine="0"/>
              <w:rPr>
                <w:szCs w:val="18"/>
              </w:rPr>
            </w:pPr>
            <w:r w:rsidRPr="0064034D">
              <w:rPr>
                <w:szCs w:val="18"/>
              </w:rPr>
              <w:t>Son los ingresos que reciben los entes públicos que prestan los servicios de seguridad social, para cubrir las obligaciones relativas a los fondos de vivienda, de conformidad con la legislación aplicable en la materia.</w:t>
            </w:r>
          </w:p>
          <w:p w:rsidR="00B459C1" w:rsidRDefault="00B459C1" w:rsidP="0019560D">
            <w:pPr>
              <w:pStyle w:val="Texto"/>
              <w:spacing w:before="60" w:after="60" w:line="240" w:lineRule="auto"/>
              <w:ind w:firstLine="0"/>
              <w:rPr>
                <w:szCs w:val="18"/>
              </w:rPr>
            </w:pPr>
          </w:p>
          <w:p w:rsidR="0096459F" w:rsidRPr="0064034D" w:rsidRDefault="0096459F" w:rsidP="0019560D">
            <w:pPr>
              <w:pStyle w:val="Texto"/>
              <w:spacing w:before="60" w:after="60" w:line="240" w:lineRule="auto"/>
              <w:ind w:firstLine="0"/>
              <w:rPr>
                <w:szCs w:val="18"/>
              </w:rPr>
            </w:pP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22</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Cuotas para la Seguridad Social</w:t>
            </w:r>
          </w:p>
          <w:p w:rsidR="00FA131F" w:rsidRPr="0064034D" w:rsidRDefault="00FA131F" w:rsidP="0019560D">
            <w:pPr>
              <w:pStyle w:val="Texto"/>
              <w:spacing w:before="60" w:after="60" w:line="240" w:lineRule="auto"/>
              <w:ind w:firstLine="0"/>
              <w:rPr>
                <w:szCs w:val="18"/>
              </w:rPr>
            </w:pPr>
            <w:r w:rsidRPr="0064034D">
              <w:rPr>
                <w:szCs w:val="18"/>
              </w:rPr>
              <w:t>Son los ingresos que reciben los entes públicos que prestan los servicios de seguridad social, para cubrir las obligaciones relativas a la previsión social,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23</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Cuotas de Ahorro para el Retiro</w:t>
            </w:r>
          </w:p>
          <w:p w:rsidR="00FA131F" w:rsidRPr="0064034D" w:rsidRDefault="00FA131F" w:rsidP="0019560D">
            <w:pPr>
              <w:pStyle w:val="Texto"/>
              <w:spacing w:before="60" w:after="60" w:line="240" w:lineRule="auto"/>
              <w:ind w:firstLine="0"/>
              <w:rPr>
                <w:szCs w:val="18"/>
              </w:rPr>
            </w:pPr>
            <w:r w:rsidRPr="0064034D">
              <w:rPr>
                <w:szCs w:val="18"/>
              </w:rPr>
              <w:t>Son los ingresos que reciben los entes públicos que prestan los servicios de seguridad social, para cubrir las obligaciones relativas a fondos del ahorro para el retiro,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24</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Otras Cuotas y Aportaciones para la Seguridad Social</w:t>
            </w:r>
          </w:p>
          <w:p w:rsidR="00FA131F" w:rsidRPr="0064034D" w:rsidRDefault="00FA131F" w:rsidP="0019560D">
            <w:pPr>
              <w:pStyle w:val="Texto"/>
              <w:spacing w:before="60" w:after="60" w:line="240" w:lineRule="auto"/>
              <w:ind w:firstLine="0"/>
              <w:rPr>
                <w:szCs w:val="18"/>
              </w:rPr>
            </w:pPr>
            <w:r w:rsidRPr="0064034D">
              <w:rPr>
                <w:szCs w:val="18"/>
              </w:rPr>
              <w:t>Son los ingresos que reciben los entes públicos que prestan los servicios de seguridad social, por conceptos no incluidos en los tipos anteriores,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25</w:t>
            </w: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Accesorios de Cuotas y Aportaciones de Seguridad Social</w:t>
            </w:r>
          </w:p>
          <w:p w:rsidR="00FA131F" w:rsidRPr="0064034D" w:rsidRDefault="00FA131F" w:rsidP="0019560D">
            <w:pPr>
              <w:pStyle w:val="Texto"/>
              <w:spacing w:before="60" w:after="60" w:line="240" w:lineRule="auto"/>
              <w:ind w:firstLine="0"/>
              <w:rPr>
                <w:szCs w:val="18"/>
              </w:rPr>
            </w:pPr>
            <w:r w:rsidRPr="0064034D">
              <w:rPr>
                <w:szCs w:val="18"/>
              </w:rPr>
              <w:t xml:space="preserve">Son los ingresos que se perciben por concepto de </w:t>
            </w:r>
            <w:r w:rsidRPr="0064034D">
              <w:t>recargos, sanciones, gastos de ejecución, indemnizaciones, entre otros, asociados a las</w:t>
            </w:r>
            <w:r w:rsidRPr="0064034D">
              <w:rPr>
                <w:szCs w:val="18"/>
              </w:rPr>
              <w:t xml:space="preserve"> cuotas y aportaciones de seguridad social, cuando éstas no se cubran oportunamente de conformidad con la legislación aplicable en la materia.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r w:rsidRPr="0064034D">
              <w:rPr>
                <w:b/>
                <w:szCs w:val="18"/>
              </w:rPr>
              <w:t>3</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Contribuciones de Mejoras</w:t>
            </w:r>
          </w:p>
          <w:p w:rsidR="00FA131F" w:rsidRPr="0064034D" w:rsidRDefault="00FA131F" w:rsidP="0019560D">
            <w:pPr>
              <w:pStyle w:val="Texto"/>
              <w:spacing w:before="60" w:after="60" w:line="240" w:lineRule="auto"/>
              <w:ind w:firstLine="0"/>
              <w:rPr>
                <w:b/>
                <w:szCs w:val="18"/>
              </w:rPr>
            </w:pPr>
            <w:r w:rsidRPr="0064034D">
              <w:rPr>
                <w:b/>
                <w:szCs w:val="18"/>
              </w:rPr>
              <w:t>Son las establecidas en Ley a cargo de las personas físicas y morales que se beneficien de manera directa por obras públicas.</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31</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Contribuciones de Mejoras por Obras Públicas</w:t>
            </w:r>
          </w:p>
          <w:p w:rsidR="00FA131F" w:rsidRPr="0064034D" w:rsidRDefault="00FA131F" w:rsidP="00FD13C6">
            <w:pPr>
              <w:pStyle w:val="Texto"/>
              <w:spacing w:before="40" w:after="40" w:line="240" w:lineRule="auto"/>
              <w:ind w:firstLine="0"/>
              <w:rPr>
                <w:szCs w:val="18"/>
              </w:rPr>
            </w:pPr>
            <w:r w:rsidRPr="0064034D">
              <w:rPr>
                <w:szCs w:val="18"/>
              </w:rPr>
              <w:t xml:space="preserve">Son las contribuciones derivadas de los </w:t>
            </w:r>
            <w:r w:rsidRPr="0064034D">
              <w:t>beneficios diferenciales particulares por la realización de obras públicas</w:t>
            </w:r>
            <w:r w:rsidR="006B71C1" w:rsidRPr="0064034D">
              <w:t>,</w:t>
            </w:r>
            <w:r w:rsidRPr="0064034D" w:rsidDel="00D012DC">
              <w:rPr>
                <w:szCs w:val="18"/>
              </w:rPr>
              <w:t xml:space="preserve"> </w:t>
            </w:r>
            <w:r w:rsidRPr="0064034D">
              <w:rPr>
                <w:szCs w:val="18"/>
              </w:rPr>
              <w:t xml:space="preserve">a cargo de las personas físicas y/o morales, </w:t>
            </w:r>
            <w:r w:rsidRPr="0064034D">
              <w:t xml:space="preserve">independientemente de la utilidad general colectiva, </w:t>
            </w:r>
            <w:r w:rsidRPr="0064034D">
              <w:rPr>
                <w:szCs w:val="18"/>
              </w:rPr>
              <w:t>de conformidad con la legislación aplicable en la materia</w:t>
            </w:r>
            <w:r w:rsidRPr="0064034D">
              <w:t>.</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39</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Contribuciones de Mejoras no Comprendidas en la Ley de Ingresos Vigente, Causadas en Ejercicios Fiscales Anteriores Pendientes de Liquidación o Pago</w:t>
            </w:r>
          </w:p>
          <w:p w:rsidR="00FA131F" w:rsidRPr="0064034D" w:rsidRDefault="00FA131F" w:rsidP="00FD13C6">
            <w:pPr>
              <w:pStyle w:val="Texto"/>
              <w:spacing w:before="40" w:after="40" w:line="240" w:lineRule="auto"/>
              <w:ind w:firstLine="0"/>
              <w:rPr>
                <w:szCs w:val="18"/>
              </w:rPr>
            </w:pPr>
            <w:r w:rsidRPr="0064034D">
              <w:rPr>
                <w:szCs w:val="18"/>
              </w:rPr>
              <w:t>Son los ingresos que se recaudan en el ejercicio corriente, por contribuciones de mejoras pendientes de liquidación o pago causadas en ejercicios fiscales anteriores, no incluidas en la Ley de Ingresos vigente.</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r w:rsidRPr="0064034D">
              <w:rPr>
                <w:b/>
                <w:szCs w:val="18"/>
              </w:rPr>
              <w:t>4</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Derechos</w:t>
            </w:r>
          </w:p>
          <w:p w:rsidR="00FA131F" w:rsidRPr="0064034D" w:rsidRDefault="00FA131F" w:rsidP="0019560D">
            <w:pPr>
              <w:pStyle w:val="Texto"/>
              <w:spacing w:before="60" w:after="60" w:line="240" w:lineRule="auto"/>
              <w:ind w:firstLine="0"/>
              <w:rPr>
                <w:b/>
                <w:szCs w:val="18"/>
              </w:rPr>
            </w:pPr>
            <w:r w:rsidRPr="0064034D">
              <w:rPr>
                <w:b/>
                <w:szCs w:val="18"/>
              </w:rPr>
              <w:t>Son las contribuciones establecidas en Ley por el uso o aprovechamiento de los bienes del dominio público, así como por recibir servicios que presta el Estado en sus funciones de derecho público, excepto cuando se presten por organismos descentralizados u órganos desconcentrados cuando en este último caso, se trate de contraprestaciones que no se encuentren previstas en las leyes correspondientes. También son derechos las contribuciones a cargo de los organismos públicos descentralizados por prestar servicios exclusivos del Estado.</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41</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Derechos por el Uso, Goce, Aprovechamiento o Explotación de Bienes de Dominio Público</w:t>
            </w:r>
          </w:p>
          <w:p w:rsidR="00FA131F" w:rsidRPr="0064034D" w:rsidRDefault="00FA131F" w:rsidP="00FD13C6">
            <w:pPr>
              <w:pStyle w:val="Texto"/>
              <w:spacing w:before="40" w:after="40" w:line="240" w:lineRule="auto"/>
              <w:ind w:firstLine="0"/>
              <w:rPr>
                <w:szCs w:val="18"/>
              </w:rPr>
            </w:pPr>
            <w:r w:rsidRPr="0064034D">
              <w:rPr>
                <w:szCs w:val="18"/>
              </w:rPr>
              <w:t>Son las contribuciones derivadas de la contraprestación del uso, goce, aprovechamiento o explotación de bienes de dominio público, de conformidad con la legislación aplicable en la materia.</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42</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Derechos a los Hidrocarburos (Derogado)</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43</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Derechos por Prestación de Servicios</w:t>
            </w:r>
          </w:p>
          <w:p w:rsidR="00FA131F" w:rsidRPr="0064034D" w:rsidRDefault="00FA131F" w:rsidP="00FD13C6">
            <w:pPr>
              <w:pStyle w:val="Texto"/>
              <w:spacing w:before="40" w:after="40" w:line="240" w:lineRule="auto"/>
              <w:ind w:firstLine="0"/>
              <w:rPr>
                <w:szCs w:val="18"/>
              </w:rPr>
            </w:pPr>
            <w:r w:rsidRPr="0064034D">
              <w:rPr>
                <w:szCs w:val="18"/>
              </w:rPr>
              <w:t>Son las contribuciones derivadas por la contraprestación de servicios exclusivos del Estado, de conformidad con la legislación aplicable en la materia.</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44</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Otros Derechos</w:t>
            </w:r>
          </w:p>
          <w:p w:rsidR="00FA131F" w:rsidRPr="0064034D" w:rsidRDefault="00FA131F" w:rsidP="00FD13C6">
            <w:pPr>
              <w:pStyle w:val="Texto"/>
              <w:spacing w:before="40" w:after="40" w:line="240" w:lineRule="auto"/>
              <w:ind w:firstLine="0"/>
              <w:rPr>
                <w:szCs w:val="18"/>
              </w:rPr>
            </w:pPr>
            <w:r w:rsidRPr="0064034D">
              <w:rPr>
                <w:szCs w:val="18"/>
              </w:rPr>
              <w:t>Son las contribuciones derivadas por contraprestaciones no incluidas en los tipos anteriores, de conformidad con la legislación aplicable en la materia.</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45</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Accesorios de Derechos</w:t>
            </w:r>
          </w:p>
          <w:p w:rsidR="00FA131F" w:rsidRPr="0064034D" w:rsidRDefault="00FA131F" w:rsidP="00FD13C6">
            <w:pPr>
              <w:pStyle w:val="Texto"/>
              <w:spacing w:before="40" w:after="40" w:line="240" w:lineRule="auto"/>
              <w:ind w:firstLine="0"/>
              <w:rPr>
                <w:b/>
                <w:szCs w:val="18"/>
              </w:rPr>
            </w:pPr>
            <w:r w:rsidRPr="0064034D">
              <w:rPr>
                <w:szCs w:val="18"/>
              </w:rPr>
              <w:t xml:space="preserve">Son los ingresos que se perciben por concepto de </w:t>
            </w:r>
            <w:r w:rsidRPr="0064034D">
              <w:t>recargos, sanciones, gastos de ejecución,   indemnizaciones, entre otros, asociados a</w:t>
            </w:r>
            <w:r w:rsidRPr="0064034D">
              <w:rPr>
                <w:szCs w:val="18"/>
              </w:rPr>
              <w:t xml:space="preserve"> los derechos, cuando éstos no se cubran oportunamente, de conformidad con la legislación aplicable en la materia.</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49</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Derechos no Comprendidos en la Ley de Ingresos Vigente, Causados en Ejercicios Fiscales Anteriores Pendientes de Liquidación o Pago</w:t>
            </w:r>
          </w:p>
          <w:p w:rsidR="00FA131F" w:rsidRPr="0064034D" w:rsidRDefault="00FA131F" w:rsidP="00FD13C6">
            <w:pPr>
              <w:pStyle w:val="Texto"/>
              <w:spacing w:before="40" w:after="40" w:line="240" w:lineRule="auto"/>
              <w:ind w:firstLine="0"/>
              <w:rPr>
                <w:szCs w:val="18"/>
              </w:rPr>
            </w:pPr>
            <w:r w:rsidRPr="0064034D">
              <w:rPr>
                <w:szCs w:val="18"/>
              </w:rPr>
              <w:t>Son las contribuciones que se recaudan en el ejercicio corriente, por derechos pendientes de liquidación o pago causados en ejercicios fiscales anteriores, no incluidos en la Ley de Ingresos vigente.</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b/>
                <w:szCs w:val="18"/>
              </w:rPr>
            </w:pPr>
            <w:r w:rsidRPr="0064034D">
              <w:rPr>
                <w:b/>
                <w:szCs w:val="18"/>
              </w:rPr>
              <w:lastRenderedPageBreak/>
              <w:t>5</w:t>
            </w:r>
          </w:p>
        </w:tc>
        <w:tc>
          <w:tcPr>
            <w:tcW w:w="44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b/>
                <w:szCs w:val="18"/>
              </w:rPr>
            </w:pPr>
            <w:r w:rsidRPr="0064034D">
              <w:rPr>
                <w:b/>
                <w:szCs w:val="18"/>
              </w:rPr>
              <w:t>Productos</w:t>
            </w:r>
          </w:p>
          <w:p w:rsidR="00FA131F" w:rsidRDefault="00FA131F" w:rsidP="003875E1">
            <w:pPr>
              <w:pStyle w:val="Texto"/>
              <w:spacing w:before="60" w:after="60" w:line="220" w:lineRule="exact"/>
              <w:ind w:firstLine="0"/>
              <w:rPr>
                <w:b/>
                <w:szCs w:val="18"/>
              </w:rPr>
            </w:pPr>
            <w:r w:rsidRPr="0064034D">
              <w:rPr>
                <w:b/>
                <w:szCs w:val="18"/>
              </w:rPr>
              <w:t>Son los ingresos por contraprestaciones por los servicios que preste el Estado en sus funciones de derecho privado</w:t>
            </w:r>
            <w:r w:rsidR="00491871" w:rsidRPr="00491871">
              <w:rPr>
                <w:b/>
                <w:szCs w:val="18"/>
              </w:rPr>
              <w:t>, así como por el uso, aprovechamiento o enajenación de bienes del dominio privado</w:t>
            </w:r>
            <w:r w:rsidRPr="0064034D">
              <w:rPr>
                <w:b/>
                <w:szCs w:val="18"/>
              </w:rPr>
              <w:t>.</w:t>
            </w:r>
          </w:p>
          <w:p w:rsidR="002F1408" w:rsidRPr="0064034D" w:rsidRDefault="002F1408" w:rsidP="007E74AA">
            <w:pPr>
              <w:pStyle w:val="Texto"/>
              <w:spacing w:before="60" w:after="60" w:line="220" w:lineRule="exact"/>
              <w:ind w:firstLine="0"/>
              <w:jc w:val="right"/>
              <w:rPr>
                <w:b/>
                <w:szCs w:val="18"/>
              </w:rPr>
            </w:pPr>
            <w:r w:rsidRPr="007E74AA">
              <w:rPr>
                <w:color w:val="0000FF"/>
                <w:sz w:val="16"/>
                <w:szCs w:val="16"/>
              </w:rPr>
              <w:t xml:space="preserve">Reforma DOF </w:t>
            </w:r>
            <w:r w:rsidR="00D90DFE" w:rsidRPr="007E74AA">
              <w:rPr>
                <w:color w:val="0000FF"/>
                <w:sz w:val="16"/>
                <w:szCs w:val="16"/>
              </w:rPr>
              <w:t>09</w:t>
            </w:r>
            <w:r w:rsidRPr="007E74AA">
              <w:rPr>
                <w:color w:val="0000FF"/>
                <w:sz w:val="16"/>
                <w:szCs w:val="16"/>
              </w:rPr>
              <w:t>-0</w:t>
            </w:r>
            <w:r w:rsidR="00D90DFE" w:rsidRPr="007E74AA">
              <w:rPr>
                <w:color w:val="0000FF"/>
                <w:sz w:val="16"/>
                <w:szCs w:val="16"/>
              </w:rPr>
              <w:t>8</w:t>
            </w:r>
            <w:r w:rsidRPr="007E74AA">
              <w:rPr>
                <w:color w:val="0000FF"/>
                <w:sz w:val="16"/>
                <w:szCs w:val="16"/>
              </w:rPr>
              <w:t>-2023</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51</w:t>
            </w:r>
          </w:p>
        </w:tc>
        <w:tc>
          <w:tcPr>
            <w:tcW w:w="160" w:type="dxa"/>
            <w:gridSpan w:val="2"/>
          </w:tcPr>
          <w:p w:rsidR="00FA131F" w:rsidRPr="0064034D" w:rsidRDefault="00FA131F" w:rsidP="00FD13C6">
            <w:pPr>
              <w:pStyle w:val="Texto"/>
              <w:spacing w:before="40" w:after="40" w:line="220" w:lineRule="exact"/>
              <w:ind w:firstLine="0"/>
              <w:rPr>
                <w:szCs w:val="18"/>
              </w:rPr>
            </w:pPr>
          </w:p>
        </w:tc>
        <w:tc>
          <w:tcPr>
            <w:tcW w:w="160" w:type="dxa"/>
            <w:gridSpan w:val="2"/>
          </w:tcPr>
          <w:p w:rsidR="00FA131F" w:rsidRPr="0064034D" w:rsidRDefault="00FA131F" w:rsidP="00FD13C6">
            <w:pPr>
              <w:pStyle w:val="Texto"/>
              <w:spacing w:before="40" w:after="40" w:line="220" w:lineRule="exact"/>
              <w:ind w:firstLine="0"/>
              <w:rPr>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Productos</w:t>
            </w:r>
          </w:p>
          <w:p w:rsidR="00FA131F" w:rsidRDefault="00FA131F" w:rsidP="00FD13C6">
            <w:pPr>
              <w:pStyle w:val="Texto"/>
              <w:spacing w:before="40" w:after="40" w:line="220" w:lineRule="exact"/>
              <w:ind w:firstLine="0"/>
              <w:rPr>
                <w:szCs w:val="18"/>
              </w:rPr>
            </w:pPr>
            <w:r w:rsidRPr="0064034D">
              <w:rPr>
                <w:szCs w:val="18"/>
              </w:rPr>
              <w:t xml:space="preserve">Son los ingresos por concepto de servicios otorgados por funciones de derecho privado, tales como los intereses que generan las cuentas bancarias de los entes públicos, </w:t>
            </w:r>
            <w:r w:rsidR="00491871" w:rsidRPr="00491871">
              <w:rPr>
                <w:szCs w:val="18"/>
              </w:rPr>
              <w:t>enajenación de bienes muebles o inmuebles no sujetos al régimen de dominio público,</w:t>
            </w:r>
            <w:r w:rsidR="00491871">
              <w:rPr>
                <w:szCs w:val="18"/>
              </w:rPr>
              <w:t xml:space="preserve"> </w:t>
            </w:r>
            <w:r w:rsidRPr="0064034D">
              <w:rPr>
                <w:szCs w:val="18"/>
              </w:rPr>
              <w:t>entre otros, de conformidad con la legislación aplicable en la materia.</w:t>
            </w:r>
          </w:p>
          <w:p w:rsidR="002F1408" w:rsidRPr="0064034D" w:rsidRDefault="002F1408" w:rsidP="007E74AA">
            <w:pPr>
              <w:pStyle w:val="Texto"/>
              <w:spacing w:before="40" w:after="40" w:line="220" w:lineRule="exact"/>
              <w:ind w:firstLine="0"/>
              <w:jc w:val="right"/>
              <w:rPr>
                <w:szCs w:val="18"/>
              </w:rPr>
            </w:pPr>
            <w:r w:rsidRPr="007E74AA">
              <w:rPr>
                <w:color w:val="0000FF"/>
                <w:sz w:val="16"/>
                <w:szCs w:val="16"/>
              </w:rPr>
              <w:t xml:space="preserve">Reforma DOF </w:t>
            </w:r>
            <w:r w:rsidR="00D90DFE" w:rsidRPr="007E74AA">
              <w:rPr>
                <w:color w:val="0000FF"/>
                <w:sz w:val="16"/>
                <w:szCs w:val="16"/>
              </w:rPr>
              <w:t>09</w:t>
            </w:r>
            <w:r w:rsidRPr="007E74AA">
              <w:rPr>
                <w:color w:val="0000FF"/>
                <w:sz w:val="16"/>
                <w:szCs w:val="16"/>
              </w:rPr>
              <w:t>-0</w:t>
            </w:r>
            <w:r w:rsidR="00D90DFE" w:rsidRPr="007E74AA">
              <w:rPr>
                <w:color w:val="0000FF"/>
                <w:sz w:val="16"/>
                <w:szCs w:val="16"/>
              </w:rPr>
              <w:t>8</w:t>
            </w:r>
            <w:r w:rsidRPr="007E74AA">
              <w:rPr>
                <w:color w:val="0000FF"/>
                <w:sz w:val="16"/>
                <w:szCs w:val="16"/>
              </w:rPr>
              <w:t>-2023</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52</w:t>
            </w:r>
          </w:p>
        </w:tc>
        <w:tc>
          <w:tcPr>
            <w:tcW w:w="160" w:type="dxa"/>
            <w:gridSpan w:val="2"/>
          </w:tcPr>
          <w:p w:rsidR="00FA131F" w:rsidRPr="0064034D" w:rsidRDefault="00FA131F" w:rsidP="00FD13C6">
            <w:pPr>
              <w:pStyle w:val="Texto"/>
              <w:spacing w:before="40" w:after="40" w:line="220" w:lineRule="exact"/>
              <w:ind w:firstLine="0"/>
              <w:rPr>
                <w:szCs w:val="18"/>
              </w:rPr>
            </w:pPr>
          </w:p>
        </w:tc>
        <w:tc>
          <w:tcPr>
            <w:tcW w:w="160" w:type="dxa"/>
            <w:gridSpan w:val="2"/>
          </w:tcPr>
          <w:p w:rsidR="00FA131F" w:rsidRPr="0064034D" w:rsidRDefault="00FA131F" w:rsidP="00FD13C6">
            <w:pPr>
              <w:pStyle w:val="Texto"/>
              <w:spacing w:before="40" w:after="40" w:line="220" w:lineRule="exact"/>
              <w:ind w:firstLine="0"/>
              <w:rPr>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Productos de Capital (Derogado)</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59</w:t>
            </w:r>
          </w:p>
        </w:tc>
        <w:tc>
          <w:tcPr>
            <w:tcW w:w="160" w:type="dxa"/>
            <w:gridSpan w:val="2"/>
          </w:tcPr>
          <w:p w:rsidR="00FA131F" w:rsidRPr="0064034D" w:rsidRDefault="00FA131F" w:rsidP="00FD13C6">
            <w:pPr>
              <w:pStyle w:val="Texto"/>
              <w:spacing w:before="40" w:after="40" w:line="220" w:lineRule="exact"/>
              <w:ind w:firstLine="0"/>
              <w:rPr>
                <w:szCs w:val="18"/>
              </w:rPr>
            </w:pPr>
          </w:p>
        </w:tc>
        <w:tc>
          <w:tcPr>
            <w:tcW w:w="160" w:type="dxa"/>
            <w:gridSpan w:val="2"/>
          </w:tcPr>
          <w:p w:rsidR="00FA131F" w:rsidRPr="0064034D" w:rsidRDefault="00FA131F" w:rsidP="00FD13C6">
            <w:pPr>
              <w:pStyle w:val="Texto"/>
              <w:spacing w:before="40" w:after="40" w:line="220" w:lineRule="exact"/>
              <w:ind w:firstLine="0"/>
              <w:rPr>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Productos no Comprendidos en la Ley de Ingresos Vigente, Causados en Ejercicios Fiscales Anteriores Pendientes de Liquidación o Pago</w:t>
            </w:r>
          </w:p>
          <w:p w:rsidR="00FA131F" w:rsidRPr="0064034D" w:rsidRDefault="00FA131F" w:rsidP="00FD13C6">
            <w:pPr>
              <w:pStyle w:val="Texto"/>
              <w:spacing w:before="40" w:after="40" w:line="220" w:lineRule="exact"/>
              <w:ind w:firstLine="0"/>
              <w:rPr>
                <w:szCs w:val="18"/>
              </w:rPr>
            </w:pPr>
            <w:r w:rsidRPr="0064034D">
              <w:rPr>
                <w:szCs w:val="18"/>
              </w:rPr>
              <w:t>Son los ingresos que se recaudan en el ejercicio corriente, por productos pendientes de liquidación o pago causados en ejercicios fiscales anteriores, no incluidos en la Ley de Ingresos vigente.</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b/>
                <w:szCs w:val="18"/>
              </w:rPr>
            </w:pPr>
            <w:r w:rsidRPr="0064034D">
              <w:rPr>
                <w:b/>
                <w:szCs w:val="18"/>
              </w:rPr>
              <w:t>6</w:t>
            </w:r>
          </w:p>
        </w:tc>
        <w:tc>
          <w:tcPr>
            <w:tcW w:w="44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b/>
                <w:szCs w:val="18"/>
              </w:rPr>
            </w:pPr>
            <w:r w:rsidRPr="0064034D">
              <w:rPr>
                <w:b/>
                <w:szCs w:val="18"/>
              </w:rPr>
              <w:t>Aprovechamientos</w:t>
            </w:r>
          </w:p>
          <w:p w:rsidR="00FA131F" w:rsidRPr="0064034D" w:rsidRDefault="00FA131F" w:rsidP="003875E1">
            <w:pPr>
              <w:pStyle w:val="Texto"/>
              <w:spacing w:before="60" w:after="60" w:line="220" w:lineRule="exact"/>
              <w:ind w:firstLine="0"/>
              <w:rPr>
                <w:b/>
                <w:szCs w:val="18"/>
              </w:rPr>
            </w:pPr>
            <w:r w:rsidRPr="0064034D">
              <w:rPr>
                <w:b/>
                <w:szCs w:val="18"/>
              </w:rPr>
              <w:t>Son los ingresos que percibe el Estado por funciones de derecho público distintos de: las contribuciones, los ingresos derivados de financiamientos y de los que obtengan los organismos descentralizados y las empresas de participación estatal y municipal.</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szCs w:val="18"/>
              </w:rPr>
            </w:pPr>
          </w:p>
        </w:tc>
        <w:tc>
          <w:tcPr>
            <w:tcW w:w="440" w:type="dxa"/>
            <w:gridSpan w:val="2"/>
          </w:tcPr>
          <w:p w:rsidR="00FA131F" w:rsidRPr="0064034D" w:rsidRDefault="00FA131F" w:rsidP="003875E1">
            <w:pPr>
              <w:pStyle w:val="Texto"/>
              <w:spacing w:before="60" w:after="60" w:line="220" w:lineRule="exact"/>
              <w:ind w:firstLine="0"/>
              <w:rPr>
                <w:szCs w:val="18"/>
              </w:rPr>
            </w:pPr>
            <w:r w:rsidRPr="0064034D">
              <w:rPr>
                <w:szCs w:val="18"/>
              </w:rPr>
              <w:t>61</w:t>
            </w:r>
          </w:p>
        </w:tc>
        <w:tc>
          <w:tcPr>
            <w:tcW w:w="16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3875E1" w:rsidP="003875E1">
            <w:pPr>
              <w:pStyle w:val="Texto"/>
              <w:spacing w:before="60" w:after="60" w:line="220" w:lineRule="exact"/>
              <w:ind w:firstLine="0"/>
              <w:rPr>
                <w:szCs w:val="18"/>
              </w:rPr>
            </w:pPr>
            <w:r w:rsidRPr="0064034D">
              <w:rPr>
                <w:szCs w:val="18"/>
              </w:rPr>
              <w:t>Aprovechamientos</w:t>
            </w:r>
          </w:p>
          <w:p w:rsidR="00FA131F" w:rsidRPr="0064034D" w:rsidRDefault="00FA131F" w:rsidP="003875E1">
            <w:pPr>
              <w:pStyle w:val="Texto"/>
              <w:spacing w:before="60" w:after="60" w:line="220" w:lineRule="exact"/>
              <w:ind w:firstLine="0"/>
              <w:rPr>
                <w:szCs w:val="18"/>
              </w:rPr>
            </w:pPr>
            <w:r w:rsidRPr="0064034D">
              <w:rPr>
                <w:szCs w:val="18"/>
              </w:rPr>
              <w:t xml:space="preserve">Son los ingresos que se perciben por funciones de derecho público, cuyos elementos pueden no estar previstos en una Ley sino, en una disposición administrativa de carácter general, provenientes de multas e indemnizaciones no fiscales, reintegros, </w:t>
            </w:r>
            <w:r w:rsidRPr="0064034D">
              <w:t>juegos y sorteos, donativos, entre otros</w:t>
            </w:r>
            <w:r w:rsidRPr="0064034D">
              <w:rPr>
                <w:szCs w:val="18"/>
              </w:rPr>
              <w:t>.</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szCs w:val="18"/>
              </w:rPr>
            </w:pPr>
          </w:p>
        </w:tc>
        <w:tc>
          <w:tcPr>
            <w:tcW w:w="440" w:type="dxa"/>
            <w:gridSpan w:val="2"/>
          </w:tcPr>
          <w:p w:rsidR="00FA131F" w:rsidRPr="0064034D" w:rsidRDefault="00FA131F" w:rsidP="003875E1">
            <w:pPr>
              <w:pStyle w:val="Texto"/>
              <w:spacing w:before="60" w:after="60" w:line="220" w:lineRule="exact"/>
              <w:ind w:firstLine="0"/>
              <w:rPr>
                <w:szCs w:val="18"/>
              </w:rPr>
            </w:pPr>
            <w:r w:rsidRPr="0064034D">
              <w:rPr>
                <w:szCs w:val="18"/>
              </w:rPr>
              <w:t>62</w:t>
            </w:r>
          </w:p>
        </w:tc>
        <w:tc>
          <w:tcPr>
            <w:tcW w:w="16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szCs w:val="18"/>
              </w:rPr>
            </w:pPr>
            <w:r w:rsidRPr="0064034D">
              <w:rPr>
                <w:szCs w:val="18"/>
              </w:rPr>
              <w:t>Aprovechamientos Patrimoniales</w:t>
            </w:r>
          </w:p>
          <w:p w:rsidR="00FA131F" w:rsidRDefault="00FA131F" w:rsidP="00323350">
            <w:pPr>
              <w:pStyle w:val="Texto"/>
              <w:spacing w:before="60" w:after="60" w:line="220" w:lineRule="exact"/>
              <w:ind w:firstLine="0"/>
              <w:rPr>
                <w:szCs w:val="18"/>
              </w:rPr>
            </w:pPr>
            <w:r w:rsidRPr="0064034D">
              <w:rPr>
                <w:szCs w:val="18"/>
              </w:rPr>
              <w:t>Son los ingresos que se perciben por recuperaciones de capital o en su caso patrimonio invertido, de conformidad con la legislación aplicable en la materia</w:t>
            </w:r>
            <w:r w:rsidR="00323350">
              <w:rPr>
                <w:szCs w:val="18"/>
              </w:rPr>
              <w:t xml:space="preserve"> </w:t>
            </w:r>
            <w:r w:rsidR="00323350" w:rsidRPr="00323350">
              <w:rPr>
                <w:szCs w:val="18"/>
              </w:rPr>
              <w:t>y otros conceptos análogos</w:t>
            </w:r>
            <w:r w:rsidRPr="0064034D">
              <w:rPr>
                <w:szCs w:val="18"/>
              </w:rPr>
              <w:t>.</w:t>
            </w:r>
          </w:p>
          <w:p w:rsidR="002F1408" w:rsidRPr="0064034D" w:rsidRDefault="002F1408" w:rsidP="007E74AA">
            <w:pPr>
              <w:pStyle w:val="Texto"/>
              <w:spacing w:before="60" w:after="60" w:line="220" w:lineRule="exact"/>
              <w:ind w:firstLine="0"/>
              <w:jc w:val="right"/>
              <w:rPr>
                <w:szCs w:val="18"/>
              </w:rPr>
            </w:pPr>
            <w:r w:rsidRPr="007E74AA">
              <w:rPr>
                <w:color w:val="0000FF"/>
                <w:sz w:val="16"/>
                <w:szCs w:val="16"/>
              </w:rPr>
              <w:t xml:space="preserve">Reforma DOF </w:t>
            </w:r>
            <w:r w:rsidR="00D90DFE" w:rsidRPr="007E74AA">
              <w:rPr>
                <w:color w:val="0000FF"/>
                <w:sz w:val="16"/>
                <w:szCs w:val="16"/>
              </w:rPr>
              <w:t>09</w:t>
            </w:r>
            <w:r w:rsidRPr="007E74AA">
              <w:rPr>
                <w:color w:val="0000FF"/>
                <w:sz w:val="16"/>
                <w:szCs w:val="16"/>
              </w:rPr>
              <w:t>-0</w:t>
            </w:r>
            <w:r w:rsidR="00D90DFE" w:rsidRPr="007E74AA">
              <w:rPr>
                <w:color w:val="0000FF"/>
                <w:sz w:val="16"/>
                <w:szCs w:val="16"/>
              </w:rPr>
              <w:t>8</w:t>
            </w:r>
            <w:r w:rsidRPr="007E74AA">
              <w:rPr>
                <w:color w:val="0000FF"/>
                <w:sz w:val="16"/>
                <w:szCs w:val="16"/>
              </w:rPr>
              <w:t>-2023</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szCs w:val="18"/>
              </w:rPr>
            </w:pPr>
          </w:p>
        </w:tc>
        <w:tc>
          <w:tcPr>
            <w:tcW w:w="440" w:type="dxa"/>
            <w:gridSpan w:val="2"/>
          </w:tcPr>
          <w:p w:rsidR="00FA131F" w:rsidRPr="0064034D" w:rsidRDefault="00FA131F" w:rsidP="003875E1">
            <w:pPr>
              <w:pStyle w:val="Texto"/>
              <w:spacing w:before="60" w:after="60" w:line="220" w:lineRule="exact"/>
              <w:ind w:firstLine="0"/>
              <w:rPr>
                <w:szCs w:val="18"/>
              </w:rPr>
            </w:pPr>
            <w:r w:rsidRPr="0064034D">
              <w:rPr>
                <w:szCs w:val="18"/>
              </w:rPr>
              <w:t>63</w:t>
            </w:r>
          </w:p>
        </w:tc>
        <w:tc>
          <w:tcPr>
            <w:tcW w:w="16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szCs w:val="18"/>
              </w:rPr>
            </w:pPr>
            <w:r w:rsidRPr="0064034D">
              <w:rPr>
                <w:szCs w:val="18"/>
              </w:rPr>
              <w:t>Accesorios de Aprovechamientos</w:t>
            </w:r>
          </w:p>
          <w:p w:rsidR="00FA131F" w:rsidRPr="0064034D" w:rsidRDefault="00FA131F" w:rsidP="003875E1">
            <w:pPr>
              <w:pStyle w:val="Texto"/>
              <w:spacing w:before="40" w:after="40" w:line="220" w:lineRule="exact"/>
              <w:ind w:firstLine="0"/>
              <w:rPr>
                <w:szCs w:val="18"/>
              </w:rPr>
            </w:pPr>
            <w:r w:rsidRPr="0064034D">
              <w:rPr>
                <w:szCs w:val="18"/>
              </w:rPr>
              <w:t xml:space="preserve">Son los ingresos que se perciben por concepto de </w:t>
            </w:r>
            <w:r w:rsidRPr="0064034D">
              <w:t xml:space="preserve">recargos, sanciones, gastos de ejecución e  </w:t>
            </w:r>
            <w:r w:rsidRPr="0064034D">
              <w:rPr>
                <w:szCs w:val="18"/>
              </w:rPr>
              <w:t>indemnizaciones</w:t>
            </w:r>
            <w:r w:rsidRPr="0064034D">
              <w:t>, entre otros, asociados a</w:t>
            </w:r>
            <w:r w:rsidRPr="0064034D">
              <w:rPr>
                <w:szCs w:val="18"/>
              </w:rPr>
              <w:t xml:space="preserve"> los aprovechamientos, cuando éstos no se cubran oportunamente de conformidad con la legislación aplicable en la materia.</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szCs w:val="18"/>
              </w:rPr>
            </w:pPr>
          </w:p>
        </w:tc>
        <w:tc>
          <w:tcPr>
            <w:tcW w:w="440" w:type="dxa"/>
            <w:gridSpan w:val="2"/>
          </w:tcPr>
          <w:p w:rsidR="00FA131F" w:rsidRPr="0064034D" w:rsidRDefault="00FA131F" w:rsidP="003875E1">
            <w:pPr>
              <w:pStyle w:val="Texto"/>
              <w:spacing w:before="60" w:after="60" w:line="220" w:lineRule="exact"/>
              <w:ind w:firstLine="0"/>
              <w:rPr>
                <w:szCs w:val="18"/>
              </w:rPr>
            </w:pPr>
            <w:r w:rsidRPr="0064034D">
              <w:rPr>
                <w:szCs w:val="18"/>
              </w:rPr>
              <w:t>69</w:t>
            </w:r>
          </w:p>
        </w:tc>
        <w:tc>
          <w:tcPr>
            <w:tcW w:w="160" w:type="dxa"/>
            <w:gridSpan w:val="2"/>
          </w:tcPr>
          <w:p w:rsidR="00FA131F" w:rsidRPr="0064034D" w:rsidRDefault="00FA131F" w:rsidP="003875E1">
            <w:pPr>
              <w:pStyle w:val="Texto"/>
              <w:spacing w:before="60" w:after="60" w:line="220" w:lineRule="exact"/>
              <w:ind w:firstLine="0"/>
              <w:rPr>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szCs w:val="18"/>
              </w:rPr>
            </w:pPr>
            <w:r w:rsidRPr="0064034D">
              <w:rPr>
                <w:szCs w:val="18"/>
              </w:rPr>
              <w:t>Aprovechamientos no Comprendidos en la Ley de Ingresos Vigente, Causados en Ejercicios Fiscales Anteriores Pendientes de Liquidación o Pago</w:t>
            </w:r>
          </w:p>
          <w:p w:rsidR="00FA131F" w:rsidRPr="0064034D" w:rsidRDefault="00FA131F" w:rsidP="003875E1">
            <w:pPr>
              <w:pStyle w:val="Texto"/>
              <w:spacing w:before="40" w:after="40" w:line="220" w:lineRule="exact"/>
              <w:ind w:firstLine="0"/>
              <w:rPr>
                <w:szCs w:val="18"/>
              </w:rPr>
            </w:pPr>
            <w:r w:rsidRPr="0064034D">
              <w:rPr>
                <w:szCs w:val="18"/>
              </w:rPr>
              <w:t>Son los ingresos que se recaudan en el ejercicio corriente, por aprovechamientos pendientes de liquidación o pago causados en ejercicios fiscales anteriores, no incluidos en la Ley de Ingresos vigente.</w:t>
            </w:r>
          </w:p>
        </w:tc>
      </w:tr>
      <w:tr w:rsidR="00FA131F" w:rsidRPr="0064034D" w:rsidTr="0019560D">
        <w:trPr>
          <w:trHeight w:val="144"/>
        </w:trPr>
        <w:tc>
          <w:tcPr>
            <w:tcW w:w="258" w:type="dxa"/>
          </w:tcPr>
          <w:p w:rsidR="00FA131F" w:rsidRPr="0064034D" w:rsidRDefault="00FA131F" w:rsidP="003875E1">
            <w:pPr>
              <w:pStyle w:val="Texto"/>
              <w:spacing w:before="60" w:after="60" w:line="220" w:lineRule="exact"/>
              <w:ind w:firstLine="0"/>
              <w:rPr>
                <w:b/>
                <w:szCs w:val="18"/>
              </w:rPr>
            </w:pPr>
            <w:r w:rsidRPr="0064034D">
              <w:rPr>
                <w:b/>
                <w:szCs w:val="18"/>
              </w:rPr>
              <w:t>7</w:t>
            </w:r>
          </w:p>
        </w:tc>
        <w:tc>
          <w:tcPr>
            <w:tcW w:w="44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szCs w:val="18"/>
              </w:rPr>
            </w:pPr>
          </w:p>
        </w:tc>
        <w:tc>
          <w:tcPr>
            <w:tcW w:w="8122" w:type="dxa"/>
          </w:tcPr>
          <w:p w:rsidR="00FA131F" w:rsidRPr="0064034D" w:rsidRDefault="00FA131F" w:rsidP="003875E1">
            <w:pPr>
              <w:pStyle w:val="Texto"/>
              <w:spacing w:before="60" w:after="60" w:line="220" w:lineRule="exact"/>
              <w:ind w:firstLine="0"/>
              <w:rPr>
                <w:b/>
                <w:szCs w:val="18"/>
              </w:rPr>
            </w:pPr>
            <w:r w:rsidRPr="0064034D">
              <w:rPr>
                <w:b/>
                <w:szCs w:val="18"/>
              </w:rPr>
              <w:t>Ingresos por Venta de Bienes, Prestación de Servicios y Otros Ingresos</w:t>
            </w:r>
          </w:p>
          <w:p w:rsidR="00FA131F" w:rsidRPr="0064034D" w:rsidRDefault="00FA131F" w:rsidP="003875E1">
            <w:pPr>
              <w:pStyle w:val="Texto"/>
              <w:spacing w:before="60" w:after="60" w:line="220" w:lineRule="exact"/>
              <w:ind w:firstLine="0"/>
              <w:rPr>
                <w:b/>
                <w:szCs w:val="18"/>
              </w:rPr>
            </w:pPr>
            <w:r w:rsidRPr="0064034D">
              <w:rPr>
                <w:b/>
                <w:szCs w:val="18"/>
              </w:rPr>
              <w:t>Son los ingresos propios obtenidos por las Instituciones Públicas de Seguridad Social, las Empresas Productivas del Estado, las entidades de la administración pública paraestatal y paramunicipal, los poderes legislativo y judicial, y los órganos autónomos federales y estatales, por sus actividades de producción, comercialización o prestación de servicios; así como otros ingresos por sus actividades diversas no inherentes a su operación, que generen recursos.</w:t>
            </w:r>
          </w:p>
        </w:tc>
      </w:tr>
      <w:tr w:rsidR="00FA131F" w:rsidRPr="0064034D" w:rsidTr="0019560D">
        <w:trPr>
          <w:trHeight w:val="144"/>
        </w:trPr>
        <w:tc>
          <w:tcPr>
            <w:tcW w:w="258" w:type="dxa"/>
          </w:tcPr>
          <w:p w:rsidR="00FA131F" w:rsidRPr="0064034D" w:rsidRDefault="00FA131F" w:rsidP="003875E1">
            <w:pPr>
              <w:pStyle w:val="Texto"/>
              <w:spacing w:before="40" w:after="40" w:line="220" w:lineRule="exact"/>
              <w:ind w:firstLine="0"/>
              <w:rPr>
                <w:szCs w:val="18"/>
              </w:rPr>
            </w:pPr>
          </w:p>
        </w:tc>
        <w:tc>
          <w:tcPr>
            <w:tcW w:w="440" w:type="dxa"/>
            <w:gridSpan w:val="2"/>
          </w:tcPr>
          <w:p w:rsidR="00FA131F" w:rsidRPr="0064034D" w:rsidRDefault="00FA131F" w:rsidP="003875E1">
            <w:pPr>
              <w:pStyle w:val="Texto"/>
              <w:spacing w:before="40" w:after="40" w:line="220" w:lineRule="exact"/>
              <w:ind w:firstLine="0"/>
              <w:rPr>
                <w:szCs w:val="18"/>
              </w:rPr>
            </w:pPr>
            <w:r w:rsidRPr="0064034D">
              <w:rPr>
                <w:szCs w:val="18"/>
              </w:rPr>
              <w:t>71</w:t>
            </w:r>
          </w:p>
        </w:tc>
        <w:tc>
          <w:tcPr>
            <w:tcW w:w="160" w:type="dxa"/>
            <w:gridSpan w:val="2"/>
          </w:tcPr>
          <w:p w:rsidR="00FA131F" w:rsidRPr="0064034D" w:rsidRDefault="00FA131F" w:rsidP="003875E1">
            <w:pPr>
              <w:pStyle w:val="Texto"/>
              <w:spacing w:before="40" w:after="40" w:line="220" w:lineRule="exact"/>
              <w:ind w:firstLine="0"/>
              <w:rPr>
                <w:szCs w:val="18"/>
              </w:rPr>
            </w:pPr>
          </w:p>
        </w:tc>
        <w:tc>
          <w:tcPr>
            <w:tcW w:w="160" w:type="dxa"/>
            <w:gridSpan w:val="2"/>
          </w:tcPr>
          <w:p w:rsidR="00FA131F" w:rsidRPr="0064034D" w:rsidRDefault="00FA131F" w:rsidP="003875E1">
            <w:pPr>
              <w:pStyle w:val="Texto"/>
              <w:spacing w:before="40" w:after="40" w:line="220" w:lineRule="exact"/>
              <w:ind w:firstLine="0"/>
              <w:rPr>
                <w:szCs w:val="18"/>
              </w:rPr>
            </w:pPr>
          </w:p>
        </w:tc>
        <w:tc>
          <w:tcPr>
            <w:tcW w:w="8122" w:type="dxa"/>
          </w:tcPr>
          <w:p w:rsidR="00FA131F" w:rsidRPr="0064034D" w:rsidRDefault="00FA131F" w:rsidP="003875E1">
            <w:pPr>
              <w:pStyle w:val="Texto"/>
              <w:spacing w:before="40" w:after="40" w:line="220" w:lineRule="exact"/>
              <w:ind w:firstLine="0"/>
              <w:rPr>
                <w:szCs w:val="18"/>
              </w:rPr>
            </w:pPr>
            <w:r w:rsidRPr="0064034D">
              <w:rPr>
                <w:szCs w:val="18"/>
              </w:rPr>
              <w:t>Ingresos por Venta de Bienes y Prestación de Servicios de Instituciones Públicas de Seguridad Social</w:t>
            </w:r>
          </w:p>
          <w:p w:rsidR="00FA131F" w:rsidRPr="0064034D" w:rsidRDefault="00FA131F" w:rsidP="003875E1">
            <w:pPr>
              <w:pStyle w:val="Texto"/>
              <w:spacing w:before="40" w:after="40" w:line="220" w:lineRule="exact"/>
              <w:ind w:firstLine="0"/>
              <w:rPr>
                <w:szCs w:val="18"/>
              </w:rPr>
            </w:pPr>
            <w:r w:rsidRPr="0064034D">
              <w:rPr>
                <w:szCs w:val="18"/>
              </w:rPr>
              <w:t>Son los ingresos propios obtenidos por las Instituciones Públicas de Seguridad Social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3875E1">
            <w:pPr>
              <w:pStyle w:val="Texto"/>
              <w:spacing w:before="40" w:after="40" w:line="220" w:lineRule="exact"/>
              <w:ind w:firstLine="0"/>
              <w:rPr>
                <w:szCs w:val="18"/>
              </w:rPr>
            </w:pPr>
          </w:p>
        </w:tc>
        <w:tc>
          <w:tcPr>
            <w:tcW w:w="350" w:type="dxa"/>
          </w:tcPr>
          <w:p w:rsidR="00FA131F" w:rsidRPr="0064034D" w:rsidRDefault="00FA131F" w:rsidP="003875E1">
            <w:pPr>
              <w:pStyle w:val="Texto"/>
              <w:spacing w:before="40" w:after="40" w:line="220" w:lineRule="exact"/>
              <w:ind w:firstLine="0"/>
              <w:rPr>
                <w:szCs w:val="18"/>
              </w:rPr>
            </w:pPr>
            <w:r w:rsidRPr="0064034D">
              <w:rPr>
                <w:szCs w:val="18"/>
              </w:rPr>
              <w:t>72</w:t>
            </w:r>
          </w:p>
        </w:tc>
        <w:tc>
          <w:tcPr>
            <w:tcW w:w="160" w:type="dxa"/>
            <w:gridSpan w:val="2"/>
          </w:tcPr>
          <w:p w:rsidR="00FA131F" w:rsidRPr="0064034D" w:rsidRDefault="00FA131F" w:rsidP="003875E1">
            <w:pPr>
              <w:pStyle w:val="Texto"/>
              <w:spacing w:before="40" w:after="40" w:line="220" w:lineRule="exact"/>
              <w:ind w:firstLine="0"/>
              <w:rPr>
                <w:szCs w:val="18"/>
              </w:rPr>
            </w:pPr>
          </w:p>
        </w:tc>
        <w:tc>
          <w:tcPr>
            <w:tcW w:w="215" w:type="dxa"/>
            <w:gridSpan w:val="2"/>
          </w:tcPr>
          <w:p w:rsidR="00FA131F" w:rsidRPr="0064034D" w:rsidRDefault="00FA131F" w:rsidP="003875E1">
            <w:pPr>
              <w:pStyle w:val="Texto"/>
              <w:spacing w:before="40" w:after="40" w:line="220" w:lineRule="exact"/>
              <w:ind w:firstLine="0"/>
              <w:rPr>
                <w:szCs w:val="18"/>
              </w:rPr>
            </w:pPr>
          </w:p>
        </w:tc>
        <w:tc>
          <w:tcPr>
            <w:tcW w:w="8157" w:type="dxa"/>
            <w:gridSpan w:val="2"/>
            <w:vAlign w:val="center"/>
          </w:tcPr>
          <w:p w:rsidR="00FA131F" w:rsidRPr="0064034D" w:rsidRDefault="00FA131F" w:rsidP="003875E1">
            <w:pPr>
              <w:pStyle w:val="Texto"/>
              <w:spacing w:before="40" w:after="40" w:line="220" w:lineRule="exact"/>
              <w:ind w:firstLine="0"/>
              <w:rPr>
                <w:szCs w:val="18"/>
              </w:rPr>
            </w:pPr>
            <w:r w:rsidRPr="0064034D">
              <w:rPr>
                <w:szCs w:val="18"/>
              </w:rPr>
              <w:t>Ingresos por Venta de Bienes y Prestación de Servicios de Empresas Productivas del Estado</w:t>
            </w:r>
          </w:p>
          <w:p w:rsidR="00FA131F" w:rsidRPr="0064034D" w:rsidRDefault="00FA131F" w:rsidP="003875E1">
            <w:pPr>
              <w:pStyle w:val="Texto"/>
              <w:spacing w:before="40" w:after="40" w:line="220" w:lineRule="exact"/>
              <w:ind w:firstLine="0"/>
              <w:rPr>
                <w:szCs w:val="18"/>
              </w:rPr>
            </w:pPr>
            <w:r w:rsidRPr="0064034D">
              <w:rPr>
                <w:szCs w:val="18"/>
              </w:rPr>
              <w:t>Son los ingresos propios obtenidos por las Empresas Productivas del Estado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szCs w:val="18"/>
              </w:rPr>
            </w:pPr>
          </w:p>
        </w:tc>
        <w:tc>
          <w:tcPr>
            <w:tcW w:w="350" w:type="dxa"/>
          </w:tcPr>
          <w:p w:rsidR="00FA131F" w:rsidRPr="0064034D" w:rsidRDefault="00FA131F" w:rsidP="0019560D">
            <w:pPr>
              <w:pStyle w:val="Texto"/>
              <w:spacing w:before="40" w:after="40" w:line="218" w:lineRule="exact"/>
              <w:ind w:firstLine="0"/>
              <w:rPr>
                <w:szCs w:val="18"/>
              </w:rPr>
            </w:pPr>
            <w:r w:rsidRPr="0064034D">
              <w:rPr>
                <w:szCs w:val="18"/>
              </w:rPr>
              <w:t>73</w:t>
            </w:r>
          </w:p>
        </w:tc>
        <w:tc>
          <w:tcPr>
            <w:tcW w:w="160" w:type="dxa"/>
            <w:gridSpan w:val="2"/>
          </w:tcPr>
          <w:p w:rsidR="00FA131F" w:rsidRPr="0064034D" w:rsidRDefault="00FA131F" w:rsidP="0019560D">
            <w:pPr>
              <w:pStyle w:val="Texto"/>
              <w:spacing w:before="40" w:after="40" w:line="218" w:lineRule="exact"/>
              <w:ind w:firstLine="0"/>
              <w:rPr>
                <w:b/>
                <w:szCs w:val="18"/>
              </w:rPr>
            </w:pPr>
          </w:p>
        </w:tc>
        <w:tc>
          <w:tcPr>
            <w:tcW w:w="215" w:type="dxa"/>
            <w:gridSpan w:val="2"/>
          </w:tcPr>
          <w:p w:rsidR="00FA131F" w:rsidRPr="0064034D" w:rsidRDefault="00FA131F" w:rsidP="0019560D">
            <w:pPr>
              <w:pStyle w:val="Texto"/>
              <w:spacing w:before="40" w:after="40" w:line="218" w:lineRule="exact"/>
              <w:ind w:firstLine="0"/>
              <w:rPr>
                <w:b/>
                <w:szCs w:val="18"/>
              </w:rPr>
            </w:pPr>
          </w:p>
        </w:tc>
        <w:tc>
          <w:tcPr>
            <w:tcW w:w="8157" w:type="dxa"/>
            <w:gridSpan w:val="2"/>
            <w:vAlign w:val="center"/>
          </w:tcPr>
          <w:p w:rsidR="00FA131F" w:rsidRPr="0064034D" w:rsidRDefault="00FA131F" w:rsidP="0019560D">
            <w:pPr>
              <w:pStyle w:val="Texto"/>
              <w:spacing w:before="40" w:after="40" w:line="180" w:lineRule="exact"/>
              <w:ind w:firstLine="0"/>
              <w:rPr>
                <w:szCs w:val="18"/>
              </w:rPr>
            </w:pPr>
            <w:r w:rsidRPr="0064034D">
              <w:rPr>
                <w:szCs w:val="18"/>
              </w:rPr>
              <w:t>Ingresos por Venta de Bienes y Prestación de Servicios de Entidades Paraestatales y Fideicomisos No Empresariales y No Financieros</w:t>
            </w:r>
          </w:p>
          <w:p w:rsidR="00FA131F" w:rsidRPr="0064034D" w:rsidRDefault="00FA131F" w:rsidP="0019560D">
            <w:pPr>
              <w:pStyle w:val="Texto"/>
              <w:spacing w:before="40" w:after="40" w:line="240" w:lineRule="auto"/>
              <w:ind w:firstLine="0"/>
              <w:rPr>
                <w:szCs w:val="18"/>
              </w:rPr>
            </w:pPr>
            <w:r w:rsidRPr="0064034D">
              <w:rPr>
                <w:szCs w:val="18"/>
              </w:rPr>
              <w:lastRenderedPageBreak/>
              <w:t>Son los ingresos propios obtenidos por las Entidades Paraestatales y Fideicomisos No Empresariales y No Financieros por sus actividades de producción, comercialización o prestación de servicios.</w:t>
            </w:r>
          </w:p>
          <w:p w:rsidR="00B459C1" w:rsidRPr="0064034D" w:rsidRDefault="00B459C1" w:rsidP="0019560D">
            <w:pPr>
              <w:pStyle w:val="Texto"/>
              <w:spacing w:before="40" w:after="40" w:line="240" w:lineRule="auto"/>
              <w:ind w:firstLine="0"/>
              <w:rPr>
                <w:szCs w:val="18"/>
              </w:rPr>
            </w:pP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74</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Ingresos por Venta de Bienes y Prestación de Servicios de Entidades Paraestatales Empresariales No Financieras con Participación Estatal Mayoritaria</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las Entidades Paraestatales Empresariales No Financieras con Participación Estatal Mayoritaria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75</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Ingresos por Venta de Bienes y Prestación de Servicios de Entidades Paraestatales Empresariales Financieras Monetarias con Participación Estatal Mayoritaria</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las Entidades Paraestatales Empresariales Financieras Monetarias con Participación Estatal Mayoritaria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76</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Ingresos por Venta de Bienes y Prestación de Servicios de Entidades Paraestatales Empresariales Financieras No Monetarias con Participación Estatal Mayoritaria</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las Entidades Paraestatales Empresariales Financieras No Monetarias con Participación Estatal Mayoritaria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77</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Ingresos por Venta de Bienes y Prestación de Servicios de Fideicomisos Financieros Públicos con Participación Estatal Mayoritaria</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los Fideicomisos Financieros Públicos con Participación Estatal Mayoritaria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78</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Ingresos por Venta de Bienes y Prestación de Servicios de los Poderes Legislativo y Judicial, y de los Órganos Autónomos</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los Poderes Legislativo y Judicial, y los Órganos Autónomos por sus actividades de producción, comercialización o prestación de servicios.</w:t>
            </w:r>
          </w:p>
        </w:tc>
      </w:tr>
      <w:tr w:rsidR="00FA131F" w:rsidRPr="0064034D" w:rsidTr="0019560D">
        <w:trPr>
          <w:trHeight w:val="144"/>
        </w:trPr>
        <w:tc>
          <w:tcPr>
            <w:tcW w:w="258" w:type="dxa"/>
          </w:tcPr>
          <w:p w:rsidR="00FA131F" w:rsidRPr="0064034D" w:rsidRDefault="00FA131F" w:rsidP="0019560D">
            <w:pPr>
              <w:pStyle w:val="Texto"/>
              <w:spacing w:before="40" w:after="40" w:line="240" w:lineRule="auto"/>
              <w:ind w:firstLine="0"/>
              <w:rPr>
                <w:b/>
                <w:szCs w:val="18"/>
              </w:rPr>
            </w:pPr>
          </w:p>
        </w:tc>
        <w:tc>
          <w:tcPr>
            <w:tcW w:w="440" w:type="dxa"/>
            <w:gridSpan w:val="2"/>
          </w:tcPr>
          <w:p w:rsidR="00FA131F" w:rsidRPr="0064034D" w:rsidRDefault="00FA131F" w:rsidP="0019560D">
            <w:pPr>
              <w:pStyle w:val="Texto"/>
              <w:spacing w:before="40" w:after="40" w:line="240" w:lineRule="auto"/>
              <w:ind w:firstLine="0"/>
              <w:rPr>
                <w:szCs w:val="18"/>
              </w:rPr>
            </w:pPr>
            <w:r w:rsidRPr="0064034D">
              <w:rPr>
                <w:szCs w:val="18"/>
              </w:rPr>
              <w:t>79</w:t>
            </w:r>
          </w:p>
        </w:tc>
        <w:tc>
          <w:tcPr>
            <w:tcW w:w="160" w:type="dxa"/>
            <w:gridSpan w:val="2"/>
          </w:tcPr>
          <w:p w:rsidR="00FA131F" w:rsidRPr="0064034D" w:rsidRDefault="00FA131F" w:rsidP="0019560D">
            <w:pPr>
              <w:pStyle w:val="Texto"/>
              <w:spacing w:before="40" w:after="40" w:line="240" w:lineRule="auto"/>
              <w:ind w:firstLine="0"/>
              <w:rPr>
                <w:b/>
                <w:szCs w:val="18"/>
              </w:rPr>
            </w:pPr>
          </w:p>
        </w:tc>
        <w:tc>
          <w:tcPr>
            <w:tcW w:w="160" w:type="dxa"/>
            <w:gridSpan w:val="2"/>
          </w:tcPr>
          <w:p w:rsidR="00FA131F" w:rsidRPr="0064034D" w:rsidRDefault="00FA131F" w:rsidP="0019560D">
            <w:pPr>
              <w:pStyle w:val="Texto"/>
              <w:spacing w:before="40" w:after="40" w:line="240" w:lineRule="auto"/>
              <w:ind w:firstLine="0"/>
              <w:rPr>
                <w:b/>
                <w:szCs w:val="18"/>
              </w:rPr>
            </w:pPr>
          </w:p>
        </w:tc>
        <w:tc>
          <w:tcPr>
            <w:tcW w:w="8122" w:type="dxa"/>
            <w:vAlign w:val="center"/>
          </w:tcPr>
          <w:p w:rsidR="00FA131F" w:rsidRPr="0064034D" w:rsidRDefault="00FA131F" w:rsidP="0019560D">
            <w:pPr>
              <w:pStyle w:val="Texto"/>
              <w:spacing w:before="40" w:after="40" w:line="240" w:lineRule="auto"/>
              <w:ind w:firstLine="0"/>
              <w:rPr>
                <w:szCs w:val="18"/>
              </w:rPr>
            </w:pPr>
            <w:r w:rsidRPr="0064034D">
              <w:rPr>
                <w:szCs w:val="18"/>
              </w:rPr>
              <w:t>Otros Ingresos</w:t>
            </w:r>
          </w:p>
          <w:p w:rsidR="00FA131F" w:rsidRPr="0064034D" w:rsidRDefault="00FA131F" w:rsidP="0019560D">
            <w:pPr>
              <w:pStyle w:val="Texto"/>
              <w:spacing w:before="40" w:after="40" w:line="240" w:lineRule="auto"/>
              <w:ind w:firstLine="0"/>
              <w:rPr>
                <w:szCs w:val="18"/>
              </w:rPr>
            </w:pPr>
            <w:r w:rsidRPr="0064034D">
              <w:rPr>
                <w:szCs w:val="18"/>
              </w:rPr>
              <w:t>Son los ingresos propios obtenidos por los Poderes Legislativo y Judicial, los Órganos Autónomos y las entidades de la administración pública paraestatal y paramunicipal por sus actividades diversas no inherentes a su operación que generan recursos y que no sean ingresos por venta de bienes o prestación de servicios, tales como donativos, entre otros.</w:t>
            </w:r>
          </w:p>
        </w:tc>
      </w:tr>
      <w:tr w:rsidR="00FA131F" w:rsidRPr="0064034D" w:rsidTr="00FD13C6">
        <w:trPr>
          <w:trHeight w:val="874"/>
        </w:trPr>
        <w:tc>
          <w:tcPr>
            <w:tcW w:w="258" w:type="dxa"/>
          </w:tcPr>
          <w:p w:rsidR="00FA131F" w:rsidRPr="0064034D" w:rsidRDefault="00FA131F" w:rsidP="003875E1">
            <w:pPr>
              <w:pStyle w:val="Texto"/>
              <w:spacing w:before="60" w:after="60" w:line="220" w:lineRule="exact"/>
              <w:ind w:firstLine="0"/>
              <w:rPr>
                <w:b/>
                <w:szCs w:val="18"/>
              </w:rPr>
            </w:pPr>
            <w:r w:rsidRPr="0064034D">
              <w:rPr>
                <w:b/>
                <w:szCs w:val="18"/>
              </w:rPr>
              <w:t>8</w:t>
            </w:r>
          </w:p>
        </w:tc>
        <w:tc>
          <w:tcPr>
            <w:tcW w:w="44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b/>
                <w:szCs w:val="18"/>
              </w:rPr>
            </w:pPr>
          </w:p>
        </w:tc>
        <w:tc>
          <w:tcPr>
            <w:tcW w:w="160" w:type="dxa"/>
            <w:gridSpan w:val="2"/>
          </w:tcPr>
          <w:p w:rsidR="00FA131F" w:rsidRPr="0064034D" w:rsidRDefault="00FA131F" w:rsidP="003875E1">
            <w:pPr>
              <w:pStyle w:val="Texto"/>
              <w:spacing w:before="60" w:after="60" w:line="220" w:lineRule="exact"/>
              <w:ind w:firstLine="0"/>
              <w:rPr>
                <w:b/>
                <w:szCs w:val="18"/>
              </w:rPr>
            </w:pPr>
          </w:p>
        </w:tc>
        <w:tc>
          <w:tcPr>
            <w:tcW w:w="8122" w:type="dxa"/>
          </w:tcPr>
          <w:p w:rsidR="00FA131F" w:rsidRPr="0064034D" w:rsidRDefault="00FA131F" w:rsidP="003875E1">
            <w:pPr>
              <w:pStyle w:val="Texto"/>
              <w:spacing w:before="60" w:after="60" w:line="220" w:lineRule="exact"/>
              <w:ind w:firstLine="0"/>
              <w:rPr>
                <w:b/>
                <w:szCs w:val="18"/>
              </w:rPr>
            </w:pPr>
            <w:r w:rsidRPr="0064034D">
              <w:rPr>
                <w:b/>
                <w:szCs w:val="18"/>
              </w:rPr>
              <w:t>Participaciones, Aportaciones, Convenios, Incentivos Derivados de la Colaboración Fiscal y Fondos Distintos de Aportaciones</w:t>
            </w:r>
          </w:p>
          <w:p w:rsidR="00FA131F" w:rsidRPr="0064034D" w:rsidRDefault="00FA131F" w:rsidP="003875E1">
            <w:pPr>
              <w:pStyle w:val="Texto"/>
              <w:spacing w:before="60" w:after="60" w:line="220" w:lineRule="exact"/>
              <w:ind w:firstLine="0"/>
              <w:rPr>
                <w:szCs w:val="18"/>
              </w:rPr>
            </w:pPr>
            <w:r w:rsidRPr="0064034D">
              <w:rPr>
                <w:b/>
                <w:szCs w:val="18"/>
              </w:rPr>
              <w:t>Son los recursos que reciben las Entidades Federativas y los Municipios por concepto de participaciones, aportaciones, convenios, incentivos derivados de la colaboración fiscal y fondos distintos de aportaciones.</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81</w:t>
            </w: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Participaciones</w:t>
            </w:r>
          </w:p>
          <w:p w:rsidR="00FA131F" w:rsidRPr="0064034D" w:rsidRDefault="00FA131F" w:rsidP="00FD13C6">
            <w:pPr>
              <w:pStyle w:val="Texto"/>
              <w:spacing w:before="40" w:after="40" w:line="220" w:lineRule="exact"/>
              <w:ind w:firstLine="0"/>
              <w:rPr>
                <w:szCs w:val="18"/>
              </w:rPr>
            </w:pPr>
            <w:r w:rsidRPr="0064034D">
              <w:rPr>
                <w:szCs w:val="18"/>
              </w:rPr>
              <w:t>Son los ingresos que reciben las Entidades Federativas y Municipios que se derivan de la adhesión al Sistema Nacional de Coordinación Fiscal, así como las que correspondan a sistemas estatales de coordinación fiscal, determinados por las leyes correspondientes.</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82</w:t>
            </w: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Aportaciones</w:t>
            </w:r>
          </w:p>
          <w:p w:rsidR="00FA131F" w:rsidRPr="0064034D" w:rsidRDefault="00FA131F" w:rsidP="00FD13C6">
            <w:pPr>
              <w:pStyle w:val="Texto"/>
              <w:spacing w:before="40" w:after="40" w:line="220" w:lineRule="exact"/>
              <w:ind w:firstLine="0"/>
              <w:rPr>
                <w:szCs w:val="18"/>
              </w:rPr>
            </w:pPr>
            <w:r w:rsidRPr="0064034D">
              <w:rPr>
                <w:szCs w:val="18"/>
              </w:rPr>
              <w:t>Son los ingresos que reciben las Entidades Federativas y Municipios previstos en la Ley de Coordinación Fiscal, cuyo gasto está condicionado a la consecución y cumplimiento de los objetivos que para cada tipo de aportación establece la legislación aplicable en la materia.</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83</w:t>
            </w: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Convenios</w:t>
            </w:r>
          </w:p>
          <w:p w:rsidR="00FA131F" w:rsidRPr="0064034D" w:rsidRDefault="00FA131F" w:rsidP="00FD13C6">
            <w:pPr>
              <w:pStyle w:val="Texto"/>
              <w:spacing w:before="40" w:after="40" w:line="220" w:lineRule="exact"/>
              <w:ind w:firstLine="0"/>
              <w:rPr>
                <w:szCs w:val="18"/>
              </w:rPr>
            </w:pPr>
            <w:r w:rsidRPr="0064034D">
              <w:rPr>
                <w:szCs w:val="18"/>
              </w:rPr>
              <w:t>Son los ingresos que reciben las Entidades Federativas y Municipios derivados de convenios de coordinación, colaboración, reasignación o descentralización según corresponda, los cuales se acuerdan entre la Federación, las Entidades Federativas y/o los Municipios.</w:t>
            </w:r>
          </w:p>
        </w:tc>
      </w:tr>
      <w:tr w:rsidR="00FA131F" w:rsidRPr="0064034D" w:rsidTr="0019560D">
        <w:trPr>
          <w:trHeight w:val="144"/>
        </w:trPr>
        <w:tc>
          <w:tcPr>
            <w:tcW w:w="258" w:type="dxa"/>
          </w:tcPr>
          <w:p w:rsidR="00FA131F" w:rsidRPr="0064034D" w:rsidRDefault="00FA131F" w:rsidP="00FD13C6">
            <w:pPr>
              <w:pStyle w:val="Texto"/>
              <w:spacing w:before="40" w:after="40" w:line="220" w:lineRule="exact"/>
              <w:ind w:firstLine="0"/>
              <w:rPr>
                <w:szCs w:val="18"/>
              </w:rPr>
            </w:pPr>
          </w:p>
        </w:tc>
        <w:tc>
          <w:tcPr>
            <w:tcW w:w="440" w:type="dxa"/>
            <w:gridSpan w:val="2"/>
          </w:tcPr>
          <w:p w:rsidR="00FA131F" w:rsidRPr="0064034D" w:rsidRDefault="00FA131F" w:rsidP="00FD13C6">
            <w:pPr>
              <w:pStyle w:val="Texto"/>
              <w:spacing w:before="40" w:after="40" w:line="220" w:lineRule="exact"/>
              <w:ind w:firstLine="0"/>
              <w:rPr>
                <w:szCs w:val="18"/>
              </w:rPr>
            </w:pPr>
            <w:r w:rsidRPr="0064034D">
              <w:rPr>
                <w:szCs w:val="18"/>
              </w:rPr>
              <w:t>84</w:t>
            </w: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160" w:type="dxa"/>
            <w:gridSpan w:val="2"/>
          </w:tcPr>
          <w:p w:rsidR="00FA131F" w:rsidRPr="0064034D" w:rsidRDefault="00FA131F" w:rsidP="00FD13C6">
            <w:pPr>
              <w:pStyle w:val="Texto"/>
              <w:spacing w:before="40" w:after="40" w:line="220" w:lineRule="exact"/>
              <w:ind w:firstLine="0"/>
              <w:rPr>
                <w:b/>
                <w:szCs w:val="18"/>
              </w:rPr>
            </w:pPr>
          </w:p>
        </w:tc>
        <w:tc>
          <w:tcPr>
            <w:tcW w:w="8122" w:type="dxa"/>
          </w:tcPr>
          <w:p w:rsidR="00FA131F" w:rsidRPr="0064034D" w:rsidRDefault="00FA131F" w:rsidP="00FD13C6">
            <w:pPr>
              <w:pStyle w:val="Texto"/>
              <w:spacing w:before="40" w:after="40" w:line="220" w:lineRule="exact"/>
              <w:ind w:firstLine="0"/>
              <w:rPr>
                <w:szCs w:val="18"/>
              </w:rPr>
            </w:pPr>
            <w:r w:rsidRPr="0064034D">
              <w:rPr>
                <w:szCs w:val="18"/>
              </w:rPr>
              <w:t>Incentivos Derivados de la Colaboración Fiscal</w:t>
            </w:r>
          </w:p>
          <w:p w:rsidR="00FA131F" w:rsidRPr="0064034D" w:rsidRDefault="00FA131F" w:rsidP="00FD13C6">
            <w:pPr>
              <w:pStyle w:val="Texto"/>
              <w:spacing w:before="40" w:after="40" w:line="220" w:lineRule="exact"/>
              <w:ind w:firstLine="0"/>
              <w:rPr>
                <w:szCs w:val="18"/>
              </w:rPr>
            </w:pPr>
            <w:r w:rsidRPr="0064034D">
              <w:rPr>
                <w:szCs w:val="18"/>
              </w:rPr>
              <w:t>Son los ingresos que reciben las Entidades Federativas y Municipios derivados del ejercicio de facultades delegadas por la Federación mediante la celebración de convenios de colaboración administrativa en materia fiscal; que comprenden las funciones de recaudación, fiscalización y administración de ingresos federales y por las que a cambio reciben incentivos económicos que implican la retribución de su colaboración.</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85</w:t>
            </w:r>
          </w:p>
        </w:tc>
        <w:tc>
          <w:tcPr>
            <w:tcW w:w="160" w:type="dxa"/>
            <w:gridSpan w:val="2"/>
          </w:tcPr>
          <w:p w:rsidR="00FA131F" w:rsidRPr="0064034D" w:rsidRDefault="00FA131F" w:rsidP="00FD13C6">
            <w:pPr>
              <w:pStyle w:val="Texto"/>
              <w:spacing w:before="40" w:after="40" w:line="240" w:lineRule="auto"/>
              <w:ind w:firstLine="0"/>
              <w:rPr>
                <w:b/>
                <w:szCs w:val="18"/>
              </w:rPr>
            </w:pPr>
          </w:p>
        </w:tc>
        <w:tc>
          <w:tcPr>
            <w:tcW w:w="160" w:type="dxa"/>
            <w:gridSpan w:val="2"/>
          </w:tcPr>
          <w:p w:rsidR="00FA131F" w:rsidRPr="0064034D" w:rsidRDefault="00FA131F" w:rsidP="00FD13C6">
            <w:pPr>
              <w:pStyle w:val="Texto"/>
              <w:spacing w:before="40" w:after="40" w:line="240" w:lineRule="auto"/>
              <w:ind w:firstLine="0"/>
              <w:rPr>
                <w:b/>
                <w:szCs w:val="18"/>
              </w:rPr>
            </w:pPr>
          </w:p>
        </w:tc>
        <w:tc>
          <w:tcPr>
            <w:tcW w:w="8122" w:type="dxa"/>
          </w:tcPr>
          <w:p w:rsidR="00FA131F" w:rsidRPr="0064034D" w:rsidRDefault="00FA131F" w:rsidP="00FD13C6">
            <w:pPr>
              <w:spacing w:before="40" w:after="40"/>
              <w:jc w:val="both"/>
              <w:rPr>
                <w:rFonts w:ascii="Arial" w:hAnsi="Arial" w:cs="Arial"/>
                <w:sz w:val="18"/>
                <w:szCs w:val="18"/>
              </w:rPr>
            </w:pPr>
            <w:r w:rsidRPr="0064034D">
              <w:rPr>
                <w:rFonts w:ascii="Arial" w:hAnsi="Arial" w:cs="Arial"/>
                <w:sz w:val="18"/>
                <w:szCs w:val="18"/>
              </w:rPr>
              <w:t>Fondos Distintos de Aportaciones</w:t>
            </w:r>
          </w:p>
          <w:p w:rsidR="00FA131F" w:rsidRPr="0064034D" w:rsidRDefault="00FA131F" w:rsidP="00FD13C6">
            <w:pPr>
              <w:pStyle w:val="Texto"/>
              <w:spacing w:before="40" w:after="40" w:line="240" w:lineRule="auto"/>
              <w:ind w:firstLine="0"/>
              <w:rPr>
                <w:szCs w:val="18"/>
              </w:rPr>
            </w:pPr>
            <w:r w:rsidRPr="0064034D">
              <w:rPr>
                <w:szCs w:val="18"/>
              </w:rPr>
              <w:t xml:space="preserve">Son los ingresos que reciben las Entidades Federativas y Municipios derivados de fondos distintos de aportaciones y previstos en disposiciones específicas, tales como: Fondo para Entidades </w:t>
            </w:r>
            <w:r w:rsidRPr="0064034D">
              <w:rPr>
                <w:szCs w:val="18"/>
              </w:rPr>
              <w:lastRenderedPageBreak/>
              <w:t>Federativas y Municipios Productores de Hidrocarburos, y Fondo para el Desarrollo Regional Sustentable de Estados y Municipios Mineros (Fondo Minero), entre otros.</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r w:rsidRPr="0064034D">
              <w:rPr>
                <w:b/>
                <w:szCs w:val="18"/>
              </w:rPr>
              <w:lastRenderedPageBreak/>
              <w:t>9</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Transferencias, Asignaciones, Subsidios y Subvenciones, y Pensiones y Jubilaciones</w:t>
            </w:r>
          </w:p>
          <w:p w:rsidR="00FA131F" w:rsidRPr="0064034D" w:rsidRDefault="00FA131F" w:rsidP="0019560D">
            <w:pPr>
              <w:pStyle w:val="Texto"/>
              <w:spacing w:before="60" w:after="60" w:line="240" w:lineRule="auto"/>
              <w:ind w:firstLine="0"/>
              <w:rPr>
                <w:b/>
                <w:szCs w:val="18"/>
              </w:rPr>
            </w:pPr>
            <w:r w:rsidRPr="0064034D">
              <w:rPr>
                <w:b/>
                <w:szCs w:val="18"/>
              </w:rPr>
              <w:t>Son los recursos que reciben en forma directa o indirecta los entes públicos como parte de su política económica y social, de acuerdo a las estrategias y prioridades de desarrollo para el sostenimiento y desempeño de sus actividades.</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91</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Transferencias y Asignaciones</w:t>
            </w:r>
          </w:p>
          <w:p w:rsidR="00FA131F" w:rsidRPr="0064034D" w:rsidRDefault="00FA131F" w:rsidP="00FD13C6">
            <w:pPr>
              <w:pStyle w:val="Texto"/>
              <w:spacing w:before="40" w:after="40" w:line="240" w:lineRule="auto"/>
              <w:ind w:firstLine="0"/>
              <w:rPr>
                <w:szCs w:val="18"/>
              </w:rPr>
            </w:pPr>
            <w:r w:rsidRPr="0064034D">
              <w:rPr>
                <w:szCs w:val="18"/>
              </w:rPr>
              <w:t>Son los ingresos que reciben los entes públicos con el objeto de sufragar gastos inherentes a sus atribuciones.</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92</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Transferencias al Resto del Sector Público (Derogado)</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93</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Subsidios y Subvenciones</w:t>
            </w:r>
          </w:p>
          <w:p w:rsidR="00FA131F" w:rsidRPr="0064034D" w:rsidRDefault="00FA131F" w:rsidP="00FD13C6">
            <w:pPr>
              <w:pStyle w:val="Texto"/>
              <w:spacing w:before="40" w:after="40" w:line="240" w:lineRule="auto"/>
              <w:ind w:firstLine="0"/>
              <w:rPr>
                <w:szCs w:val="18"/>
              </w:rPr>
            </w:pPr>
            <w:r w:rsidRPr="0064034D">
              <w:rPr>
                <w:szCs w:val="18"/>
              </w:rPr>
              <w:t>Son los ingresos destinados para el desarrollo de actividades prioritarias de interés general, que reciben los entes públicos mediante asignación directa de recursos, con el fin de favorecer a los diferentes sectores de la sociedad para: apoyar en sus operaciones, mantener los niveles en los precios, apoyar el consumo, la distribución y comercialización de bienes, motivar la inversión, cubrir impactos financieros, promover la innovación tecnológica, y para el fomento de las actividades agropecuarias, industriales o de servicios.</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94</w:t>
            </w:r>
          </w:p>
        </w:tc>
        <w:tc>
          <w:tcPr>
            <w:tcW w:w="160" w:type="dxa"/>
            <w:gridSpan w:val="2"/>
          </w:tcPr>
          <w:p w:rsidR="00FA131F" w:rsidRPr="0064034D" w:rsidRDefault="00FA131F" w:rsidP="00FD13C6">
            <w:pPr>
              <w:pStyle w:val="Texto"/>
              <w:spacing w:before="40" w:after="40" w:line="240" w:lineRule="auto"/>
              <w:ind w:firstLine="0"/>
              <w:rPr>
                <w:szCs w:val="18"/>
              </w:rPr>
            </w:pPr>
          </w:p>
        </w:tc>
        <w:tc>
          <w:tcPr>
            <w:tcW w:w="160" w:type="dxa"/>
            <w:gridSpan w:val="2"/>
          </w:tcPr>
          <w:p w:rsidR="00FA131F" w:rsidRPr="0064034D" w:rsidRDefault="00FA131F" w:rsidP="00FD13C6">
            <w:pPr>
              <w:pStyle w:val="Texto"/>
              <w:spacing w:before="40" w:after="40" w:line="240" w:lineRule="auto"/>
              <w:ind w:firstLine="0"/>
              <w:rPr>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Ayudas Sociales (Derogado)</w:t>
            </w:r>
          </w:p>
        </w:tc>
      </w:tr>
      <w:tr w:rsidR="00FA131F" w:rsidRPr="0064034D" w:rsidTr="0019560D">
        <w:trPr>
          <w:trHeight w:val="144"/>
        </w:trPr>
        <w:tc>
          <w:tcPr>
            <w:tcW w:w="258" w:type="dxa"/>
          </w:tcPr>
          <w:p w:rsidR="00FA131F" w:rsidRPr="0064034D" w:rsidRDefault="00FA131F" w:rsidP="00FD13C6">
            <w:pPr>
              <w:pStyle w:val="Texto"/>
              <w:spacing w:before="40" w:after="40" w:line="240" w:lineRule="auto"/>
              <w:ind w:firstLine="0"/>
              <w:rPr>
                <w:b/>
                <w:szCs w:val="18"/>
              </w:rPr>
            </w:pPr>
          </w:p>
        </w:tc>
        <w:tc>
          <w:tcPr>
            <w:tcW w:w="440" w:type="dxa"/>
            <w:gridSpan w:val="2"/>
          </w:tcPr>
          <w:p w:rsidR="00FA131F" w:rsidRPr="0064034D" w:rsidRDefault="00FA131F" w:rsidP="00FD13C6">
            <w:pPr>
              <w:pStyle w:val="Texto"/>
              <w:spacing w:before="40" w:after="40" w:line="240" w:lineRule="auto"/>
              <w:ind w:firstLine="0"/>
              <w:rPr>
                <w:szCs w:val="18"/>
              </w:rPr>
            </w:pPr>
            <w:r w:rsidRPr="0064034D">
              <w:rPr>
                <w:szCs w:val="18"/>
              </w:rPr>
              <w:t>95</w:t>
            </w:r>
          </w:p>
        </w:tc>
        <w:tc>
          <w:tcPr>
            <w:tcW w:w="160" w:type="dxa"/>
            <w:gridSpan w:val="2"/>
          </w:tcPr>
          <w:p w:rsidR="00FA131F" w:rsidRPr="0064034D" w:rsidRDefault="00FA131F" w:rsidP="00FD13C6">
            <w:pPr>
              <w:pStyle w:val="Texto"/>
              <w:spacing w:before="40" w:after="40" w:line="240" w:lineRule="auto"/>
              <w:ind w:firstLine="0"/>
              <w:rPr>
                <w:b/>
                <w:szCs w:val="18"/>
              </w:rPr>
            </w:pPr>
          </w:p>
        </w:tc>
        <w:tc>
          <w:tcPr>
            <w:tcW w:w="160" w:type="dxa"/>
            <w:gridSpan w:val="2"/>
          </w:tcPr>
          <w:p w:rsidR="00FA131F" w:rsidRPr="0064034D" w:rsidRDefault="00FA131F" w:rsidP="00FD13C6">
            <w:pPr>
              <w:pStyle w:val="Texto"/>
              <w:spacing w:before="40" w:after="40" w:line="240" w:lineRule="auto"/>
              <w:ind w:firstLine="0"/>
              <w:rPr>
                <w:b/>
                <w:szCs w:val="18"/>
              </w:rPr>
            </w:pPr>
          </w:p>
        </w:tc>
        <w:tc>
          <w:tcPr>
            <w:tcW w:w="8122" w:type="dxa"/>
          </w:tcPr>
          <w:p w:rsidR="00FA131F" w:rsidRPr="0064034D" w:rsidRDefault="00FA131F" w:rsidP="00FD13C6">
            <w:pPr>
              <w:pStyle w:val="Texto"/>
              <w:spacing w:before="40" w:after="40" w:line="240" w:lineRule="auto"/>
              <w:ind w:firstLine="0"/>
              <w:rPr>
                <w:szCs w:val="18"/>
              </w:rPr>
            </w:pPr>
            <w:r w:rsidRPr="0064034D">
              <w:rPr>
                <w:szCs w:val="18"/>
              </w:rPr>
              <w:t>Pensiones y Jubilaciones</w:t>
            </w:r>
          </w:p>
          <w:p w:rsidR="00FA131F" w:rsidRPr="0064034D" w:rsidRDefault="00FA131F" w:rsidP="00FD13C6">
            <w:pPr>
              <w:pStyle w:val="Texto"/>
              <w:spacing w:before="40" w:after="40" w:line="240" w:lineRule="auto"/>
              <w:ind w:firstLine="0"/>
              <w:rPr>
                <w:szCs w:val="18"/>
              </w:rPr>
            </w:pPr>
            <w:r w:rsidRPr="0064034D">
              <w:rPr>
                <w:szCs w:val="18"/>
              </w:rPr>
              <w:t>Son los ingresos que reciben los entes públicos de seguridad social, que cubre el Gobierno Federal, Estatal o Municipal según corresponda, por el pago de pensiones y jubilaciones.</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96</w:t>
            </w: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Transferencias a Fideicomisos, Mandatos y Análogos (Derogado)</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97</w:t>
            </w: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8122" w:type="dxa"/>
          </w:tcPr>
          <w:p w:rsidR="00FA131F" w:rsidRPr="0064034D" w:rsidRDefault="00FA131F" w:rsidP="0019560D">
            <w:pPr>
              <w:spacing w:before="60" w:after="60"/>
              <w:jc w:val="both"/>
              <w:rPr>
                <w:rFonts w:ascii="Arial" w:hAnsi="Arial" w:cs="Arial"/>
                <w:sz w:val="18"/>
                <w:szCs w:val="18"/>
              </w:rPr>
            </w:pPr>
            <w:r w:rsidRPr="0064034D">
              <w:rPr>
                <w:rFonts w:ascii="Arial" w:hAnsi="Arial" w:cs="Arial"/>
                <w:sz w:val="18"/>
                <w:szCs w:val="18"/>
              </w:rPr>
              <w:t>Transferencias del Fondo Mexicano del Petróleo para la Estabilización y el Desarrollo</w:t>
            </w:r>
          </w:p>
          <w:p w:rsidR="00FA131F" w:rsidRPr="0064034D" w:rsidRDefault="00FA131F" w:rsidP="0019560D">
            <w:pPr>
              <w:pStyle w:val="Texto"/>
              <w:spacing w:before="40" w:after="40" w:line="240" w:lineRule="auto"/>
              <w:ind w:firstLine="0"/>
              <w:rPr>
                <w:szCs w:val="18"/>
              </w:rPr>
            </w:pPr>
            <w:r w:rsidRPr="0064034D">
              <w:rPr>
                <w:szCs w:val="18"/>
              </w:rPr>
              <w:t>Son los ingresos que reciben los entes públicos por transferencias del Fondo Mexicano del Petróleo para la Estabilización y el Desarrollo.</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b/>
                <w:szCs w:val="18"/>
              </w:rPr>
            </w:pPr>
            <w:r w:rsidRPr="0064034D">
              <w:rPr>
                <w:b/>
                <w:szCs w:val="18"/>
              </w:rPr>
              <w:t>0</w:t>
            </w:r>
          </w:p>
        </w:tc>
        <w:tc>
          <w:tcPr>
            <w:tcW w:w="44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160" w:type="dxa"/>
            <w:gridSpan w:val="2"/>
          </w:tcPr>
          <w:p w:rsidR="00FA131F" w:rsidRPr="0064034D" w:rsidRDefault="00FA131F" w:rsidP="0019560D">
            <w:pPr>
              <w:pStyle w:val="Texto"/>
              <w:spacing w:before="60" w:after="60" w:line="240" w:lineRule="auto"/>
              <w:ind w:firstLine="0"/>
              <w:rPr>
                <w:b/>
                <w:szCs w:val="18"/>
              </w:rPr>
            </w:pPr>
          </w:p>
        </w:tc>
        <w:tc>
          <w:tcPr>
            <w:tcW w:w="8122" w:type="dxa"/>
          </w:tcPr>
          <w:p w:rsidR="00FA131F" w:rsidRPr="0064034D" w:rsidRDefault="00FA131F" w:rsidP="0019560D">
            <w:pPr>
              <w:pStyle w:val="Texto"/>
              <w:spacing w:before="60" w:after="60" w:line="240" w:lineRule="auto"/>
              <w:ind w:firstLine="0"/>
              <w:rPr>
                <w:b/>
                <w:szCs w:val="18"/>
              </w:rPr>
            </w:pPr>
            <w:r w:rsidRPr="0064034D">
              <w:rPr>
                <w:b/>
                <w:szCs w:val="18"/>
              </w:rPr>
              <w:t>Ingresos Derivados de Financiamientos</w:t>
            </w:r>
          </w:p>
          <w:p w:rsidR="00FA131F" w:rsidRPr="0064034D" w:rsidRDefault="00FA131F" w:rsidP="0019560D">
            <w:pPr>
              <w:pStyle w:val="Texto"/>
              <w:spacing w:before="60" w:after="60" w:line="240" w:lineRule="auto"/>
              <w:ind w:firstLine="0"/>
              <w:rPr>
                <w:b/>
                <w:szCs w:val="18"/>
              </w:rPr>
            </w:pPr>
            <w:r w:rsidRPr="0064034D">
              <w:rPr>
                <w:b/>
                <w:szCs w:val="18"/>
              </w:rPr>
              <w:t>Son los ingresos obtenidos por la celebración de empréstitos internos o externos, a corto o largo plazo, aprobados en términos de la legislación correspondiente. Los créditos que se obtienen son por: emisiones de instrumentos en mercados nacionales e internacionales de capital, organismos financieros internacionales, créditos bilaterales y otras fuentes.</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01</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Endeudamiento Interno</w:t>
            </w:r>
          </w:p>
          <w:p w:rsidR="00FA131F" w:rsidRPr="0064034D" w:rsidRDefault="00FA131F" w:rsidP="0019560D">
            <w:pPr>
              <w:pStyle w:val="Texto"/>
              <w:spacing w:before="60" w:after="60" w:line="240" w:lineRule="auto"/>
              <w:ind w:firstLine="0"/>
              <w:rPr>
                <w:szCs w:val="18"/>
              </w:rPr>
            </w:pPr>
            <w:r w:rsidRPr="0064034D">
              <w:rPr>
                <w:szCs w:val="18"/>
              </w:rPr>
              <w:t xml:space="preserve">Financiamiento derivado del resultado positivo neto de los recursos que provienen de obligaciones contraídas por </w:t>
            </w:r>
            <w:r w:rsidR="003A4FB7" w:rsidRPr="0064034D">
              <w:rPr>
                <w:szCs w:val="18"/>
              </w:rPr>
              <w:t>los entes públicos y empresas productivas del estado del ámbito federal, considerando lo previsto en la legislación aplicable en la materia,</w:t>
            </w:r>
            <w:r w:rsidRPr="0064034D">
              <w:rPr>
                <w:szCs w:val="18"/>
              </w:rPr>
              <w:t xml:space="preserve"> con acreedores nacionales y pagaderos en el interior del país en moneda nacional, incluye el diferimiento de pagos.</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02</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pStyle w:val="Texto"/>
              <w:spacing w:before="60" w:after="60" w:line="240" w:lineRule="auto"/>
              <w:ind w:firstLine="0"/>
              <w:rPr>
                <w:szCs w:val="18"/>
              </w:rPr>
            </w:pPr>
            <w:r w:rsidRPr="0064034D">
              <w:rPr>
                <w:szCs w:val="18"/>
              </w:rPr>
              <w:t>Endeudamiento Externo</w:t>
            </w:r>
          </w:p>
          <w:p w:rsidR="00FA131F" w:rsidRPr="0064034D" w:rsidRDefault="00FA131F" w:rsidP="0019560D">
            <w:pPr>
              <w:pStyle w:val="Texto"/>
              <w:spacing w:before="60" w:after="60" w:line="240" w:lineRule="auto"/>
              <w:ind w:firstLine="0"/>
              <w:rPr>
                <w:szCs w:val="18"/>
              </w:rPr>
            </w:pPr>
            <w:r w:rsidRPr="0064034D">
              <w:rPr>
                <w:szCs w:val="18"/>
              </w:rPr>
              <w:t xml:space="preserve">Financiamiento derivado del resultado positivo neto de los recursos que provienen de obligaciones contraídas por </w:t>
            </w:r>
            <w:r w:rsidR="003A4FB7" w:rsidRPr="0064034D">
              <w:rPr>
                <w:szCs w:val="18"/>
              </w:rPr>
              <w:t xml:space="preserve">los entes públicos y empresas productivas del estado del ámbito federal, considerando lo previsto en la legislación aplicable en la materia, </w:t>
            </w:r>
            <w:r w:rsidRPr="0064034D">
              <w:rPr>
                <w:szCs w:val="18"/>
              </w:rPr>
              <w:t>con acreedores extranjeros y pagaderos en el exterior del país en moneda extranjera.</w:t>
            </w:r>
          </w:p>
        </w:tc>
      </w:tr>
      <w:tr w:rsidR="00FA131F" w:rsidRPr="0064034D" w:rsidTr="0019560D">
        <w:trPr>
          <w:trHeight w:val="144"/>
        </w:trPr>
        <w:tc>
          <w:tcPr>
            <w:tcW w:w="258" w:type="dxa"/>
          </w:tcPr>
          <w:p w:rsidR="00FA131F" w:rsidRPr="0064034D" w:rsidRDefault="00FA131F" w:rsidP="0019560D">
            <w:pPr>
              <w:pStyle w:val="Texto"/>
              <w:spacing w:before="60" w:after="60" w:line="240" w:lineRule="auto"/>
              <w:ind w:firstLine="0"/>
              <w:rPr>
                <w:szCs w:val="18"/>
              </w:rPr>
            </w:pPr>
          </w:p>
        </w:tc>
        <w:tc>
          <w:tcPr>
            <w:tcW w:w="440" w:type="dxa"/>
            <w:gridSpan w:val="2"/>
          </w:tcPr>
          <w:p w:rsidR="00FA131F" w:rsidRPr="0064034D" w:rsidRDefault="00FA131F" w:rsidP="0019560D">
            <w:pPr>
              <w:pStyle w:val="Texto"/>
              <w:spacing w:before="60" w:after="60" w:line="240" w:lineRule="auto"/>
              <w:ind w:firstLine="0"/>
              <w:rPr>
                <w:szCs w:val="18"/>
              </w:rPr>
            </w:pPr>
            <w:r w:rsidRPr="0064034D">
              <w:rPr>
                <w:szCs w:val="18"/>
              </w:rPr>
              <w:t>03</w:t>
            </w:r>
          </w:p>
        </w:tc>
        <w:tc>
          <w:tcPr>
            <w:tcW w:w="160" w:type="dxa"/>
            <w:gridSpan w:val="2"/>
          </w:tcPr>
          <w:p w:rsidR="00FA131F" w:rsidRPr="0064034D" w:rsidRDefault="00FA131F" w:rsidP="0019560D">
            <w:pPr>
              <w:pStyle w:val="Texto"/>
              <w:spacing w:before="60" w:after="60" w:line="240" w:lineRule="auto"/>
              <w:ind w:firstLine="0"/>
              <w:rPr>
                <w:szCs w:val="18"/>
              </w:rPr>
            </w:pPr>
          </w:p>
        </w:tc>
        <w:tc>
          <w:tcPr>
            <w:tcW w:w="160" w:type="dxa"/>
            <w:gridSpan w:val="2"/>
          </w:tcPr>
          <w:p w:rsidR="00FA131F" w:rsidRPr="0064034D" w:rsidRDefault="00FA131F" w:rsidP="0019560D">
            <w:pPr>
              <w:pStyle w:val="Texto"/>
              <w:spacing w:before="60" w:after="60" w:line="240" w:lineRule="auto"/>
              <w:ind w:firstLine="0"/>
              <w:rPr>
                <w:szCs w:val="18"/>
              </w:rPr>
            </w:pPr>
          </w:p>
        </w:tc>
        <w:tc>
          <w:tcPr>
            <w:tcW w:w="8122" w:type="dxa"/>
          </w:tcPr>
          <w:p w:rsidR="00FA131F" w:rsidRPr="0064034D" w:rsidRDefault="00FA131F" w:rsidP="0019560D">
            <w:pPr>
              <w:spacing w:before="60" w:after="60"/>
              <w:jc w:val="both"/>
              <w:rPr>
                <w:rFonts w:ascii="Arial" w:hAnsi="Arial" w:cs="Arial"/>
                <w:sz w:val="18"/>
                <w:szCs w:val="18"/>
              </w:rPr>
            </w:pPr>
            <w:r w:rsidRPr="0064034D">
              <w:rPr>
                <w:rFonts w:ascii="Arial" w:hAnsi="Arial" w:cs="Arial"/>
                <w:sz w:val="18"/>
                <w:szCs w:val="18"/>
              </w:rPr>
              <w:t>Financiamiento Interno</w:t>
            </w:r>
          </w:p>
          <w:p w:rsidR="00FA131F" w:rsidRPr="0064034D" w:rsidRDefault="00FA131F" w:rsidP="0019560D">
            <w:pPr>
              <w:pStyle w:val="Texto"/>
              <w:spacing w:before="60" w:after="60" w:line="240" w:lineRule="auto"/>
              <w:ind w:firstLine="0"/>
              <w:rPr>
                <w:szCs w:val="18"/>
              </w:rPr>
            </w:pPr>
            <w:r w:rsidRPr="0064034D">
              <w:rPr>
                <w:szCs w:val="18"/>
              </w:rPr>
              <w:t xml:space="preserve">Son los recursos que provienen de obligaciones contraídas por las Entidades </w:t>
            </w:r>
            <w:r w:rsidR="003A4FB7" w:rsidRPr="0064034D">
              <w:rPr>
                <w:szCs w:val="18"/>
              </w:rPr>
              <w:t>Federativas, los Municipios y en su caso, las entidades del sector paraestatal o paramunicipal,</w:t>
            </w:r>
            <w:r w:rsidRPr="0064034D">
              <w:rPr>
                <w:szCs w:val="18"/>
              </w:rPr>
              <w:t xml:space="preserve"> a corto o largo plazo, con acreedores nacionales y pagaderos en el interior del país en moneda nacional, considerando lo previsto en la legislación aplicable en la materia.</w:t>
            </w:r>
          </w:p>
        </w:tc>
      </w:tr>
    </w:tbl>
    <w:p w:rsidR="00FA131F" w:rsidRPr="0064034D" w:rsidRDefault="00FA131F" w:rsidP="007E74AA">
      <w:pPr>
        <w:pStyle w:val="Texto"/>
        <w:spacing w:before="240" w:line="232" w:lineRule="exact"/>
        <w:ind w:firstLine="289"/>
        <w:rPr>
          <w:szCs w:val="24"/>
        </w:rPr>
      </w:pPr>
      <w:r w:rsidRPr="0064034D">
        <w:rPr>
          <w:b/>
          <w:szCs w:val="24"/>
        </w:rPr>
        <w:t>SEGUNDO.-</w:t>
      </w:r>
      <w:r w:rsidRPr="0064034D">
        <w:rPr>
          <w:szCs w:val="24"/>
        </w:rPr>
        <w:t xml:space="preserve"> De conformidad con los artículos 1 y 7 de la LGCG, los gobiernos de las Entidades Federativas deberán adoptar e implementar las decisiones del CONAC, vía la adecuación de sus marcos jurídicos, lo cual podría consistir en la eventual modificación o formulación de leyes o disposiciones administrativas de carácter local, según sea el caso.</w:t>
      </w:r>
    </w:p>
    <w:p w:rsidR="00B459C1" w:rsidRPr="0064034D" w:rsidRDefault="004535D7" w:rsidP="00B459C1">
      <w:pPr>
        <w:pStyle w:val="texto0"/>
        <w:spacing w:after="120" w:line="240" w:lineRule="auto"/>
        <w:ind w:firstLine="0"/>
        <w:jc w:val="right"/>
        <w:rPr>
          <w:color w:val="0000FF"/>
          <w:sz w:val="16"/>
          <w:szCs w:val="16"/>
          <w:lang w:val="es-ES" w:eastAsia="es-ES"/>
        </w:rPr>
      </w:pPr>
      <w:r>
        <w:rPr>
          <w:color w:val="0000FF"/>
          <w:sz w:val="16"/>
          <w:szCs w:val="16"/>
          <w:lang w:val="es-ES" w:eastAsia="es-ES"/>
        </w:rPr>
        <w:t>R</w:t>
      </w:r>
      <w:r w:rsidR="00B459C1" w:rsidRPr="0064034D">
        <w:rPr>
          <w:color w:val="0000FF"/>
          <w:sz w:val="16"/>
          <w:szCs w:val="16"/>
          <w:lang w:val="es-ES" w:eastAsia="es-ES"/>
        </w:rPr>
        <w:t xml:space="preserve">eforma DOF </w:t>
      </w:r>
      <w:r w:rsidR="00D90DFE" w:rsidRPr="007E74AA">
        <w:rPr>
          <w:color w:val="0000FF"/>
          <w:sz w:val="16"/>
          <w:szCs w:val="16"/>
          <w:lang w:val="es-ES" w:eastAsia="es-ES"/>
        </w:rPr>
        <w:t>09</w:t>
      </w:r>
      <w:r w:rsidR="004B27C1" w:rsidRPr="007E74AA">
        <w:rPr>
          <w:color w:val="0000FF"/>
          <w:sz w:val="16"/>
          <w:szCs w:val="16"/>
          <w:lang w:val="es-ES" w:eastAsia="es-ES"/>
        </w:rPr>
        <w:t>-</w:t>
      </w:r>
      <w:r w:rsidR="00D90DFE" w:rsidRPr="007E74AA">
        <w:rPr>
          <w:color w:val="0000FF"/>
          <w:sz w:val="16"/>
          <w:szCs w:val="16"/>
          <w:lang w:val="es-ES" w:eastAsia="es-ES"/>
        </w:rPr>
        <w:t>08</w:t>
      </w:r>
      <w:r w:rsidR="00B459C1" w:rsidRPr="007E74AA">
        <w:rPr>
          <w:color w:val="0000FF"/>
          <w:sz w:val="16"/>
          <w:szCs w:val="16"/>
          <w:lang w:val="es-ES" w:eastAsia="es-ES"/>
        </w:rPr>
        <w:t>-</w:t>
      </w:r>
      <w:r w:rsidR="00D90DFE" w:rsidRPr="007E74AA">
        <w:rPr>
          <w:color w:val="0000FF"/>
          <w:sz w:val="16"/>
          <w:szCs w:val="16"/>
          <w:lang w:val="es-ES" w:eastAsia="es-ES"/>
        </w:rPr>
        <w:t>2023</w:t>
      </w:r>
    </w:p>
    <w:p w:rsidR="00FA131F" w:rsidRPr="0064034D" w:rsidRDefault="00E529F7" w:rsidP="00A06B15">
      <w:pPr>
        <w:pStyle w:val="Texto"/>
        <w:spacing w:after="60" w:line="232" w:lineRule="exact"/>
        <w:ind w:firstLine="289"/>
        <w:rPr>
          <w:szCs w:val="24"/>
        </w:rPr>
      </w:pPr>
      <w:r>
        <w:rPr>
          <w:b/>
          <w:szCs w:val="24"/>
        </w:rPr>
        <w:t>TERCERO</w:t>
      </w:r>
      <w:r w:rsidR="00FA131F" w:rsidRPr="0064034D">
        <w:rPr>
          <w:b/>
          <w:szCs w:val="24"/>
        </w:rPr>
        <w:t>.-</w:t>
      </w:r>
      <w:r w:rsidR="00FA131F" w:rsidRPr="0064034D">
        <w:rPr>
          <w:szCs w:val="24"/>
        </w:rPr>
        <w:t xml:space="preserve"> De acuerdo con lo previsto en el artículo 1 de la LGCG, los gobiernos de las Entidades Federativas deberán coordinarse con los gobiernos municipales para que logren contar con un marco contable armonizado, a través del intercambio de información y experiencias entre ambos órdenes de gobierno.</w:t>
      </w:r>
    </w:p>
    <w:p w:rsidR="00B459C1" w:rsidRPr="0064034D" w:rsidRDefault="004535D7" w:rsidP="00B459C1">
      <w:pPr>
        <w:pStyle w:val="texto0"/>
        <w:spacing w:after="120" w:line="240" w:lineRule="auto"/>
        <w:ind w:firstLine="0"/>
        <w:jc w:val="right"/>
        <w:rPr>
          <w:color w:val="0000FF"/>
          <w:sz w:val="16"/>
          <w:szCs w:val="16"/>
          <w:lang w:val="es-ES" w:eastAsia="es-ES"/>
        </w:rPr>
      </w:pPr>
      <w:r>
        <w:rPr>
          <w:color w:val="0000FF"/>
          <w:sz w:val="16"/>
          <w:szCs w:val="16"/>
          <w:lang w:val="es-ES" w:eastAsia="es-ES"/>
        </w:rPr>
        <w:t>R</w:t>
      </w:r>
      <w:r w:rsidR="00B459C1" w:rsidRPr="0064034D">
        <w:rPr>
          <w:color w:val="0000FF"/>
          <w:sz w:val="16"/>
          <w:szCs w:val="16"/>
          <w:lang w:val="es-ES" w:eastAsia="es-ES"/>
        </w:rPr>
        <w:t xml:space="preserve">eforma DOF </w:t>
      </w:r>
      <w:r w:rsidR="00D90DFE" w:rsidRPr="007E74AA">
        <w:rPr>
          <w:color w:val="0000FF"/>
          <w:sz w:val="16"/>
          <w:szCs w:val="16"/>
          <w:lang w:val="es-ES" w:eastAsia="es-ES"/>
        </w:rPr>
        <w:t>09-08-2023</w:t>
      </w:r>
    </w:p>
    <w:p w:rsidR="00FA131F" w:rsidRPr="0064034D" w:rsidRDefault="00E529F7" w:rsidP="00A06B15">
      <w:pPr>
        <w:pStyle w:val="Texto"/>
        <w:spacing w:after="0" w:line="232" w:lineRule="exact"/>
        <w:ind w:firstLine="289"/>
        <w:rPr>
          <w:szCs w:val="24"/>
        </w:rPr>
      </w:pPr>
      <w:r>
        <w:rPr>
          <w:b/>
          <w:szCs w:val="24"/>
        </w:rPr>
        <w:lastRenderedPageBreak/>
        <w:t>CUARTO</w:t>
      </w:r>
      <w:r w:rsidR="00FA131F" w:rsidRPr="0064034D">
        <w:rPr>
          <w:b/>
          <w:szCs w:val="24"/>
        </w:rPr>
        <w:t xml:space="preserve">.- </w:t>
      </w:r>
      <w:r w:rsidR="00FA131F" w:rsidRPr="0064034D">
        <w:rPr>
          <w:szCs w:val="24"/>
        </w:rPr>
        <w:t>En términos de los artículos 7 y 15 de la LGCG, el Secretario Técnico llevará un registro público en una página de Internet de los actos que los gobiernos de las entidades federativas, municipios y demarcaciones territoriales del Distrito Federal realicen para la adopción e implementación del presente acuerdo. Para tales efectos, los gobiernos de las entidades federativas, los municipios y las demarcaciones territoriales del Distrito Federal remitirán al Secretario Técnico la información relacionada con dichos actos. Dicha información deberá ser enviada a la dirección electrónica conac_sriotecnico@hacienda.gob.mx, dentro de un plazo de 15 días hábiles contados a partir de la conclusión del plazo fijado por el CONAC.</w:t>
      </w:r>
    </w:p>
    <w:p w:rsidR="00B459C1" w:rsidRPr="0064034D" w:rsidRDefault="004535D7" w:rsidP="00B459C1">
      <w:pPr>
        <w:pStyle w:val="texto0"/>
        <w:spacing w:after="120" w:line="240" w:lineRule="auto"/>
        <w:ind w:firstLine="0"/>
        <w:jc w:val="right"/>
        <w:rPr>
          <w:color w:val="0000FF"/>
          <w:sz w:val="16"/>
          <w:szCs w:val="16"/>
          <w:lang w:val="es-ES" w:eastAsia="es-ES"/>
        </w:rPr>
      </w:pPr>
      <w:r>
        <w:rPr>
          <w:color w:val="0000FF"/>
          <w:sz w:val="16"/>
          <w:szCs w:val="16"/>
          <w:lang w:val="es-ES" w:eastAsia="es-ES"/>
        </w:rPr>
        <w:t>R</w:t>
      </w:r>
      <w:r w:rsidR="00B459C1" w:rsidRPr="0064034D">
        <w:rPr>
          <w:color w:val="0000FF"/>
          <w:sz w:val="16"/>
          <w:szCs w:val="16"/>
          <w:lang w:val="es-ES" w:eastAsia="es-ES"/>
        </w:rPr>
        <w:t xml:space="preserve">eforma DOF </w:t>
      </w:r>
      <w:r w:rsidR="00D90DFE" w:rsidRPr="007E74AA">
        <w:rPr>
          <w:color w:val="0000FF"/>
          <w:sz w:val="16"/>
          <w:szCs w:val="16"/>
          <w:lang w:val="es-ES" w:eastAsia="es-ES"/>
        </w:rPr>
        <w:t>09-08-2023</w:t>
      </w:r>
    </w:p>
    <w:p w:rsidR="00FA131F" w:rsidRPr="0064034D" w:rsidRDefault="00E529F7" w:rsidP="00A06B15">
      <w:pPr>
        <w:pStyle w:val="Texto"/>
        <w:spacing w:after="0" w:line="232" w:lineRule="exact"/>
        <w:ind w:firstLine="289"/>
        <w:rPr>
          <w:szCs w:val="24"/>
          <w:lang w:val="es-MX"/>
        </w:rPr>
      </w:pPr>
      <w:r>
        <w:rPr>
          <w:b/>
          <w:szCs w:val="24"/>
          <w:lang w:val="es-MX"/>
        </w:rPr>
        <w:t>QUINTO</w:t>
      </w:r>
      <w:r w:rsidR="00FA131F" w:rsidRPr="0064034D">
        <w:rPr>
          <w:b/>
          <w:szCs w:val="24"/>
          <w:lang w:val="es-MX"/>
        </w:rPr>
        <w:t xml:space="preserve">.- </w:t>
      </w:r>
      <w:r w:rsidR="00FA131F" w:rsidRPr="0064034D">
        <w:rPr>
          <w:szCs w:val="24"/>
          <w:lang w:val="es-MX"/>
        </w:rPr>
        <w:t xml:space="preserve">En términos del artículo </w:t>
      </w:r>
      <w:r w:rsidRPr="00E529F7">
        <w:rPr>
          <w:szCs w:val="24"/>
          <w:lang w:val="es-MX"/>
        </w:rPr>
        <w:t>51 de la Ley de Disciplina Financiera de las Entidades Federativas y Municipios (LDF)</w:t>
      </w:r>
      <w:r>
        <w:rPr>
          <w:szCs w:val="24"/>
          <w:lang w:val="es-MX"/>
        </w:rPr>
        <w:t>,</w:t>
      </w:r>
      <w:r w:rsidR="00FA131F" w:rsidRPr="0064034D">
        <w:rPr>
          <w:szCs w:val="24"/>
          <w:lang w:val="es-MX"/>
        </w:rPr>
        <w:t xml:space="preserve"> </w:t>
      </w:r>
      <w:r w:rsidRPr="00E529F7">
        <w:rPr>
          <w:szCs w:val="24"/>
          <w:lang w:val="es-MX"/>
        </w:rPr>
        <w:t>estos</w:t>
      </w:r>
      <w:r>
        <w:rPr>
          <w:szCs w:val="24"/>
          <w:lang w:val="es-MX"/>
        </w:rPr>
        <w:t xml:space="preserve"> </w:t>
      </w:r>
      <w:r w:rsidR="00FA131F" w:rsidRPr="0064034D">
        <w:rPr>
          <w:szCs w:val="24"/>
          <w:lang w:val="es-MX"/>
        </w:rPr>
        <w:t xml:space="preserve">sólo podrán inscribir sus obligaciones en el Registro </w:t>
      </w:r>
      <w:r w:rsidRPr="00E529F7">
        <w:rPr>
          <w:szCs w:val="24"/>
          <w:lang w:val="es-MX"/>
        </w:rPr>
        <w:t>Público Único de Financiamientos y Obligaciones de Entidades Federativas y Municipios</w:t>
      </w:r>
      <w:r w:rsidR="00FA131F" w:rsidRPr="0064034D">
        <w:rPr>
          <w:szCs w:val="24"/>
          <w:lang w:val="es-MX"/>
        </w:rPr>
        <w:t xml:space="preserve"> si </w:t>
      </w:r>
      <w:r w:rsidRPr="00E529F7">
        <w:rPr>
          <w:szCs w:val="24"/>
          <w:lang w:val="es-MX"/>
        </w:rPr>
        <w:t>cumplen con la publicación de la información de acuerdo con las disposiciones de la</w:t>
      </w:r>
      <w:r w:rsidR="00FA131F" w:rsidRPr="0064034D">
        <w:rPr>
          <w:szCs w:val="24"/>
          <w:lang w:val="es-MX"/>
        </w:rPr>
        <w:t xml:space="preserve"> LGCG</w:t>
      </w:r>
      <w:r>
        <w:rPr>
          <w:szCs w:val="24"/>
          <w:lang w:val="es-MX"/>
        </w:rPr>
        <w:t xml:space="preserve"> </w:t>
      </w:r>
      <w:r w:rsidRPr="00E529F7">
        <w:rPr>
          <w:szCs w:val="24"/>
          <w:lang w:val="es-MX"/>
        </w:rPr>
        <w:t>y las normas expedidas por el Consejo Nacional de Armonización Contable</w:t>
      </w:r>
      <w:r w:rsidR="00FA131F" w:rsidRPr="0064034D">
        <w:rPr>
          <w:szCs w:val="24"/>
          <w:lang w:val="es-MX"/>
        </w:rPr>
        <w:t>.</w:t>
      </w:r>
    </w:p>
    <w:p w:rsidR="00B459C1" w:rsidRPr="0064034D" w:rsidRDefault="004535D7" w:rsidP="00B459C1">
      <w:pPr>
        <w:pStyle w:val="texto0"/>
        <w:spacing w:after="120" w:line="240" w:lineRule="auto"/>
        <w:ind w:firstLine="0"/>
        <w:jc w:val="right"/>
        <w:rPr>
          <w:color w:val="0000FF"/>
          <w:sz w:val="16"/>
          <w:szCs w:val="16"/>
          <w:lang w:val="es-ES" w:eastAsia="es-ES"/>
        </w:rPr>
      </w:pPr>
      <w:r>
        <w:rPr>
          <w:color w:val="0000FF"/>
          <w:sz w:val="16"/>
          <w:szCs w:val="16"/>
          <w:lang w:val="es-ES" w:eastAsia="es-ES"/>
        </w:rPr>
        <w:t>R</w:t>
      </w:r>
      <w:r w:rsidR="00B459C1" w:rsidRPr="0064034D">
        <w:rPr>
          <w:color w:val="0000FF"/>
          <w:sz w:val="16"/>
          <w:szCs w:val="16"/>
          <w:lang w:val="es-ES" w:eastAsia="es-ES"/>
        </w:rPr>
        <w:t xml:space="preserve">eforma DOF </w:t>
      </w:r>
      <w:r w:rsidR="00D90DFE" w:rsidRPr="007E74AA">
        <w:rPr>
          <w:color w:val="0000FF"/>
          <w:sz w:val="16"/>
          <w:szCs w:val="16"/>
          <w:lang w:val="es-ES" w:eastAsia="es-ES"/>
        </w:rPr>
        <w:t>09</w:t>
      </w:r>
      <w:r w:rsidR="004B27C1" w:rsidRPr="007E74AA">
        <w:rPr>
          <w:color w:val="0000FF"/>
          <w:sz w:val="16"/>
          <w:szCs w:val="16"/>
          <w:lang w:val="es-ES" w:eastAsia="es-ES"/>
        </w:rPr>
        <w:t>-</w:t>
      </w:r>
      <w:r w:rsidR="002F1408" w:rsidRPr="007E74AA">
        <w:rPr>
          <w:color w:val="0000FF"/>
          <w:sz w:val="16"/>
          <w:szCs w:val="16"/>
          <w:lang w:val="es-ES" w:eastAsia="es-ES"/>
        </w:rPr>
        <w:t>0</w:t>
      </w:r>
      <w:r w:rsidR="00D90DFE" w:rsidRPr="007E74AA">
        <w:rPr>
          <w:color w:val="0000FF"/>
          <w:sz w:val="16"/>
          <w:szCs w:val="16"/>
          <w:lang w:val="es-ES" w:eastAsia="es-ES"/>
        </w:rPr>
        <w:t>8</w:t>
      </w:r>
      <w:r w:rsidR="00B459C1" w:rsidRPr="007E74AA">
        <w:rPr>
          <w:color w:val="0000FF"/>
          <w:sz w:val="16"/>
          <w:szCs w:val="16"/>
          <w:lang w:val="es-ES" w:eastAsia="es-ES"/>
        </w:rPr>
        <w:t>-</w:t>
      </w:r>
      <w:r w:rsidR="002F1408" w:rsidRPr="007E74AA">
        <w:rPr>
          <w:color w:val="0000FF"/>
          <w:sz w:val="16"/>
          <w:szCs w:val="16"/>
          <w:lang w:val="es-ES" w:eastAsia="es-ES"/>
        </w:rPr>
        <w:t>2023</w:t>
      </w:r>
    </w:p>
    <w:p w:rsidR="001D1D9E" w:rsidRPr="0064034D" w:rsidRDefault="001D1D9E" w:rsidP="00FD13C6">
      <w:pPr>
        <w:spacing w:before="101" w:after="101" w:line="218" w:lineRule="exact"/>
        <w:jc w:val="center"/>
        <w:rPr>
          <w:rFonts w:ascii="Arial" w:eastAsia="Calibri" w:hAnsi="Arial" w:cs="Arial"/>
          <w:b/>
          <w:sz w:val="18"/>
          <w:szCs w:val="18"/>
        </w:rPr>
      </w:pPr>
    </w:p>
    <w:p w:rsidR="00FD13C6" w:rsidRPr="0064034D" w:rsidRDefault="00235E80" w:rsidP="00FD13C6">
      <w:pPr>
        <w:spacing w:before="101" w:after="101" w:line="218" w:lineRule="exact"/>
        <w:jc w:val="center"/>
        <w:rPr>
          <w:rFonts w:ascii="Arial" w:eastAsia="Calibri" w:hAnsi="Arial" w:cs="Arial"/>
          <w:b/>
          <w:sz w:val="18"/>
          <w:szCs w:val="18"/>
        </w:rPr>
      </w:pPr>
      <w:r w:rsidRPr="0064034D">
        <w:rPr>
          <w:rFonts w:ascii="Arial" w:eastAsia="Calibri" w:hAnsi="Arial" w:cs="Arial"/>
          <w:b/>
          <w:sz w:val="18"/>
          <w:szCs w:val="18"/>
        </w:rPr>
        <w:t>MEJORAS A LOS DOCUMENTOS APROBADOS POR EL CONSEJO NACIONAL DE ARMONIZACIÓN CONTABLE</w:t>
      </w:r>
    </w:p>
    <w:p w:rsidR="00FD13C6" w:rsidRPr="0064034D" w:rsidRDefault="00FD13C6" w:rsidP="001D1D9E">
      <w:pPr>
        <w:pStyle w:val="ANOTACION"/>
        <w:spacing w:after="70" w:line="213" w:lineRule="exact"/>
        <w:rPr>
          <w:rFonts w:ascii="Arial" w:hAnsi="Arial" w:cs="Arial"/>
          <w:b w:val="0"/>
          <w:color w:val="0000FF"/>
          <w:szCs w:val="18"/>
          <w:lang w:val="es-ES"/>
        </w:rPr>
      </w:pPr>
      <w:r w:rsidRPr="0064034D">
        <w:rPr>
          <w:rFonts w:ascii="Arial" w:hAnsi="Arial" w:cs="Arial"/>
          <w:b w:val="0"/>
          <w:color w:val="0000FF"/>
          <w:szCs w:val="18"/>
          <w:lang w:val="es-ES"/>
        </w:rPr>
        <w:t>Publica</w:t>
      </w:r>
      <w:r w:rsidR="00A06B15" w:rsidRPr="0064034D">
        <w:rPr>
          <w:rFonts w:ascii="Arial" w:hAnsi="Arial" w:cs="Arial"/>
          <w:b w:val="0"/>
          <w:color w:val="0000FF"/>
          <w:szCs w:val="18"/>
          <w:lang w:val="es-ES"/>
        </w:rPr>
        <w:t>ción</w:t>
      </w:r>
      <w:r w:rsidRPr="0064034D">
        <w:rPr>
          <w:rFonts w:ascii="Arial" w:hAnsi="Arial" w:cs="Arial"/>
          <w:b w:val="0"/>
          <w:color w:val="0000FF"/>
          <w:szCs w:val="18"/>
          <w:lang w:val="es-ES"/>
        </w:rPr>
        <w:t xml:space="preserve"> DOF 02-01-2013</w:t>
      </w:r>
    </w:p>
    <w:p w:rsidR="00FD13C6" w:rsidRPr="0064034D" w:rsidRDefault="00FD13C6" w:rsidP="00FD13C6">
      <w:pPr>
        <w:pStyle w:val="Texto"/>
        <w:spacing w:line="229" w:lineRule="exact"/>
      </w:pPr>
      <w:r w:rsidRPr="0064034D">
        <w:rPr>
          <w:b/>
        </w:rPr>
        <w:t>PRIMERO.-</w:t>
      </w:r>
      <w:r w:rsidRPr="0064034D">
        <w:t xml:space="preserve"> Se emiten </w:t>
      </w:r>
      <w:r w:rsidRPr="0064034D">
        <w:rPr>
          <w:b/>
          <w:i/>
        </w:rPr>
        <w:t>Mejoras a los documentos aprobados por el CONAC</w:t>
      </w:r>
      <w:r w:rsidRPr="0064034D">
        <w:t>.</w:t>
      </w:r>
    </w:p>
    <w:p w:rsidR="00FD13C6" w:rsidRPr="0064034D" w:rsidRDefault="00FD13C6" w:rsidP="00FD13C6">
      <w:pPr>
        <w:pStyle w:val="Texto"/>
        <w:spacing w:line="229" w:lineRule="exact"/>
        <w:ind w:firstLine="0"/>
        <w:jc w:val="center"/>
        <w:rPr>
          <w:b/>
          <w:szCs w:val="18"/>
          <w:lang w:val="es-MX"/>
        </w:rPr>
      </w:pPr>
      <w:r w:rsidRPr="0064034D">
        <w:rPr>
          <w:b/>
          <w:szCs w:val="18"/>
          <w:lang w:val="es-MX"/>
        </w:rPr>
        <w:t>Índice</w:t>
      </w:r>
    </w:p>
    <w:p w:rsidR="00FD13C6" w:rsidRPr="0064034D" w:rsidRDefault="00FD13C6" w:rsidP="00FD13C6">
      <w:pPr>
        <w:pStyle w:val="INCISO"/>
        <w:spacing w:line="229" w:lineRule="exact"/>
        <w:rPr>
          <w:b/>
        </w:rPr>
      </w:pPr>
      <w:r w:rsidRPr="0064034D">
        <w:t>2.</w:t>
      </w:r>
      <w:r w:rsidRPr="0064034D">
        <w:tab/>
        <w:t>Clasificador por Rubros de Ingresos</w:t>
      </w:r>
    </w:p>
    <w:p w:rsidR="00FD13C6" w:rsidRPr="0064034D" w:rsidRDefault="00FD13C6" w:rsidP="00FD13C6">
      <w:pPr>
        <w:pStyle w:val="Texto"/>
        <w:spacing w:line="269" w:lineRule="exact"/>
      </w:pPr>
      <w:r w:rsidRPr="0064034D">
        <w:rPr>
          <w:b/>
        </w:rPr>
        <w:t>SEGUNDO.-</w:t>
      </w:r>
      <w:r w:rsidRPr="0064034D">
        <w:t xml:space="preserve"> En cumplimiento con los artículos 7, cuarto y quinto transitorios de la Ley General de Contabilidad Gubernamental, los poderes Ejecutivo, Legislativo y Judicial de la Federación, los estados y el Distrito Federal; los ayuntamientos de los municipios; los órganos político-administrativos de las demarcaciones territoriales del Distrito Federal; las entidades de la administración pública paraestatal, ya sean federales, estatales o municipales y los órganos autónomos federales y estatales, deberán implementar, con carácter obligatorio, las</w:t>
      </w:r>
      <w:r w:rsidRPr="0064034D">
        <w:rPr>
          <w:b/>
          <w:i/>
        </w:rPr>
        <w:t xml:space="preserve"> Mejoras a los documentos aprobados por el CONAC</w:t>
      </w:r>
      <w:r w:rsidRPr="0064034D">
        <w:t xml:space="preserve"> a partir del 1 de enero  de 2013.</w:t>
      </w:r>
    </w:p>
    <w:p w:rsidR="00FD13C6" w:rsidRPr="0064034D" w:rsidRDefault="00FD13C6" w:rsidP="00FD13C6">
      <w:pPr>
        <w:pStyle w:val="Texto"/>
        <w:spacing w:line="269" w:lineRule="exact"/>
      </w:pPr>
      <w:r w:rsidRPr="0064034D">
        <w:rPr>
          <w:b/>
        </w:rPr>
        <w:t>TERCERO.-</w:t>
      </w:r>
      <w:r w:rsidRPr="0064034D">
        <w:t xml:space="preserve"> Al implementar lo previsto en las presentes</w:t>
      </w:r>
      <w:r w:rsidRPr="0064034D">
        <w:rPr>
          <w:b/>
          <w:i/>
        </w:rPr>
        <w:t xml:space="preserve"> Mejoras a los documentos aprobados por el CONAC</w:t>
      </w:r>
      <w:r w:rsidRPr="0064034D">
        <w:t>, las autoridades en materia de Contabilidad Gubernamental y Presupuestal que corresponda en los poderes ejecutivos federal, locales y municipales establecerán la forma en que las entidades paraestatales y paramunicipales, respectivamente atendiendo a su naturaleza, se ajustarán al mismo. Lo anterior, en tanto el Consejo Nacional de Armonización Contable emite lo conducente.</w:t>
      </w:r>
    </w:p>
    <w:p w:rsidR="00FD13C6" w:rsidRPr="0064034D" w:rsidRDefault="00FD13C6" w:rsidP="00FD13C6">
      <w:pPr>
        <w:pStyle w:val="Texto"/>
        <w:spacing w:line="269" w:lineRule="exact"/>
      </w:pPr>
      <w:r w:rsidRPr="0064034D">
        <w:rPr>
          <w:b/>
        </w:rPr>
        <w:t>CUARTO.-</w:t>
      </w:r>
      <w:r w:rsidRPr="0064034D">
        <w:t xml:space="preserve"> De conformidad con los artículos 1 y 7 de la Ley General de Contabilidad Gubernamental, los gobiernos de las entidades federativas deberán adoptar e implementar las decisiones del CONAC, vía la adecuación de sus marcos jurídicos, lo cual podría consistir en la eventual modificación o formulación de leyes o disposiciones administrativas de carácter local, según sea el caso.</w:t>
      </w:r>
    </w:p>
    <w:p w:rsidR="00FD13C6" w:rsidRPr="0064034D" w:rsidRDefault="00FD13C6" w:rsidP="00FD13C6">
      <w:pPr>
        <w:pStyle w:val="Texto"/>
        <w:spacing w:line="269" w:lineRule="exact"/>
      </w:pPr>
      <w:r w:rsidRPr="0064034D">
        <w:rPr>
          <w:b/>
        </w:rPr>
        <w:t>QUINTO.-</w:t>
      </w:r>
      <w:r w:rsidRPr="0064034D">
        <w:t xml:space="preserve"> De acuerdo con lo previsto en el artículo 1 de la Ley General de Contabilidad Gubernamental, los gobiernos de las entidades federativas deberán coordinarse con los gobiernos municipales para que logren contar con un marco contable armonizado, a través del intercambio de información y experiencias entre ambos órdenes de gobierno.</w:t>
      </w:r>
    </w:p>
    <w:p w:rsidR="00FD13C6" w:rsidRPr="0064034D" w:rsidRDefault="00FD13C6" w:rsidP="00FD13C6">
      <w:pPr>
        <w:pStyle w:val="Texto"/>
        <w:spacing w:line="269" w:lineRule="exact"/>
      </w:pPr>
      <w:r w:rsidRPr="0064034D">
        <w:rPr>
          <w:b/>
        </w:rPr>
        <w:t>SEXTO.-</w:t>
      </w:r>
      <w:r w:rsidRPr="0064034D">
        <w:t xml:space="preserve"> En términos de los artículos 7 y 15 de la Ley General de Contabilidad Gubernamental, el Secretario Técnico llevará un registro público en una página de Internet de los actos que los gobiernos de las entidades federativas, municipios y demarcaciones territoriales del Distrito Federal realicen para la adopción e implementación de las presentes mejoras. Para tales efectos, los gobiernos de las entidades federativas, los municipios y las demarcaciones territoriales del Distrito Federal remitirán al Secretario Técnico la información relacionada con dichos actos. Dicha información deberá ser enviada a la dirección electrónica conac_sriotecnico@hacienda.gob.mx, dentro de un plazo de 15 días hábiles contados a partir de la conclusión del plazo fijado por el CONAC.</w:t>
      </w:r>
    </w:p>
    <w:p w:rsidR="00FD13C6" w:rsidRPr="0064034D" w:rsidRDefault="00FD13C6" w:rsidP="00FD13C6">
      <w:pPr>
        <w:pStyle w:val="Texto"/>
        <w:spacing w:line="269" w:lineRule="exact"/>
      </w:pPr>
      <w:r w:rsidRPr="0064034D">
        <w:rPr>
          <w:b/>
        </w:rPr>
        <w:lastRenderedPageBreak/>
        <w:t>SEPTIMO.-</w:t>
      </w:r>
      <w:r w:rsidRPr="0064034D">
        <w:t xml:space="preserve"> En términos del artículo 15 de la Ley de Contabilidad, la Secretaría de Hacienda y Crédito Público, no podrá inscribir en el Registro de Obligaciones y Empréstitos, las obligaciones de Entidades Federativas y Municipios que no se encuentran al corriente con las obligaciones contenidas en esta Ley.</w:t>
      </w:r>
    </w:p>
    <w:p w:rsidR="00FD13C6" w:rsidRPr="0064034D" w:rsidRDefault="00FD13C6" w:rsidP="00FD13C6">
      <w:pPr>
        <w:pStyle w:val="Texto"/>
        <w:spacing w:line="269" w:lineRule="exact"/>
      </w:pPr>
      <w:r w:rsidRPr="0064034D">
        <w:rPr>
          <w:b/>
        </w:rPr>
        <w:t>NOVENO.-</w:t>
      </w:r>
      <w:r w:rsidRPr="0064034D">
        <w:t xml:space="preserve"> En cumplimiento a lo dispuesto por el artículo 7, segundo párrafo de la Ley de Contabilidad, las</w:t>
      </w:r>
      <w:r w:rsidRPr="0064034D">
        <w:rPr>
          <w:b/>
          <w:i/>
        </w:rPr>
        <w:t xml:space="preserve"> Mejoras a los documentos aprobados por el CONAC</w:t>
      </w:r>
      <w:r w:rsidRPr="0064034D">
        <w:t xml:space="preserve"> serán publicadas en el Diario Oficial de la Federación, así como en los medios oficiales de difusión escritos y electrónicos de las Entidades Federativas. En el caso de los Municipios y demarcaciones territoriales del Distrito Federal, podrán publicarlos en sus páginas electrónicas o en los medios oficiales escritos.</w:t>
      </w:r>
    </w:p>
    <w:p w:rsidR="00FD13C6" w:rsidRPr="0064034D" w:rsidRDefault="00FD13C6" w:rsidP="00FD13C6">
      <w:pPr>
        <w:spacing w:before="101" w:after="101" w:line="218" w:lineRule="exact"/>
        <w:jc w:val="center"/>
        <w:rPr>
          <w:rFonts w:ascii="Arial" w:eastAsia="Calibri" w:hAnsi="Arial" w:cs="Arial"/>
          <w:b/>
          <w:sz w:val="18"/>
          <w:szCs w:val="18"/>
        </w:rPr>
      </w:pPr>
    </w:p>
    <w:p w:rsidR="00B636DE" w:rsidRPr="0064034D" w:rsidRDefault="00B636DE" w:rsidP="00FD13C6">
      <w:pPr>
        <w:spacing w:before="101" w:after="101" w:line="218" w:lineRule="exact"/>
        <w:jc w:val="center"/>
        <w:rPr>
          <w:rFonts w:ascii="Arial" w:eastAsia="Calibri" w:hAnsi="Arial" w:cs="Arial"/>
          <w:b/>
          <w:sz w:val="18"/>
          <w:szCs w:val="18"/>
        </w:rPr>
      </w:pPr>
    </w:p>
    <w:p w:rsidR="00A06B15" w:rsidRPr="0064034D" w:rsidRDefault="00843E31" w:rsidP="00FD13C6">
      <w:pPr>
        <w:spacing w:before="101" w:after="101" w:line="218" w:lineRule="exact"/>
        <w:jc w:val="center"/>
        <w:rPr>
          <w:rFonts w:ascii="Arial" w:eastAsia="Calibri" w:hAnsi="Arial" w:cs="Arial"/>
          <w:b/>
          <w:sz w:val="18"/>
          <w:szCs w:val="18"/>
        </w:rPr>
      </w:pPr>
      <w:r w:rsidRPr="0064034D">
        <w:rPr>
          <w:rFonts w:ascii="Arial" w:eastAsia="Calibri" w:hAnsi="Arial" w:cs="Arial"/>
          <w:b/>
          <w:sz w:val="18"/>
          <w:szCs w:val="18"/>
        </w:rPr>
        <w:t>Acuerdo por el que se reforma y adiciona el Clasificador por Rubros de Ingresos</w:t>
      </w:r>
    </w:p>
    <w:p w:rsidR="004B27C1" w:rsidRPr="0064034D" w:rsidRDefault="004B27C1" w:rsidP="004B27C1">
      <w:pPr>
        <w:pStyle w:val="ANOTACION"/>
        <w:spacing w:after="70" w:line="213" w:lineRule="exact"/>
        <w:rPr>
          <w:rFonts w:ascii="Arial" w:hAnsi="Arial" w:cs="Arial"/>
        </w:rPr>
      </w:pPr>
      <w:r w:rsidRPr="0064034D">
        <w:rPr>
          <w:rFonts w:ascii="Arial" w:hAnsi="Arial" w:cs="Arial"/>
        </w:rPr>
        <w:t>TRANSITORIOS</w:t>
      </w:r>
    </w:p>
    <w:p w:rsidR="004B27C1" w:rsidRPr="0064034D" w:rsidRDefault="004B27C1" w:rsidP="004B27C1">
      <w:pPr>
        <w:pStyle w:val="ANOTACION"/>
        <w:spacing w:after="70" w:line="213" w:lineRule="exact"/>
        <w:rPr>
          <w:rFonts w:ascii="Arial" w:hAnsi="Arial" w:cs="Arial"/>
          <w:b w:val="0"/>
          <w:szCs w:val="18"/>
        </w:rPr>
      </w:pPr>
      <w:r w:rsidRPr="0064034D">
        <w:rPr>
          <w:rFonts w:ascii="Arial" w:hAnsi="Arial" w:cs="Arial"/>
          <w:b w:val="0"/>
          <w:color w:val="0000FF"/>
          <w:szCs w:val="18"/>
        </w:rPr>
        <w:t>Publica</w:t>
      </w:r>
      <w:r w:rsidR="00A06B15" w:rsidRPr="0064034D">
        <w:rPr>
          <w:rFonts w:ascii="Arial" w:hAnsi="Arial" w:cs="Arial"/>
          <w:b w:val="0"/>
          <w:color w:val="0000FF"/>
          <w:szCs w:val="18"/>
        </w:rPr>
        <w:t>ción</w:t>
      </w:r>
      <w:r w:rsidRPr="0064034D">
        <w:rPr>
          <w:rFonts w:ascii="Arial" w:hAnsi="Arial" w:cs="Arial"/>
          <w:b w:val="0"/>
          <w:color w:val="0000FF"/>
          <w:szCs w:val="18"/>
        </w:rPr>
        <w:t xml:space="preserve"> DOF </w:t>
      </w:r>
      <w:r w:rsidRPr="0064034D">
        <w:rPr>
          <w:rFonts w:ascii="Arial" w:hAnsi="Arial" w:cs="Arial"/>
          <w:b w:val="0"/>
          <w:color w:val="0000FF"/>
          <w:szCs w:val="18"/>
          <w:lang w:val="es-ES"/>
        </w:rPr>
        <w:t>11-06</w:t>
      </w:r>
      <w:r w:rsidRPr="0064034D">
        <w:rPr>
          <w:rFonts w:ascii="Arial" w:hAnsi="Arial" w:cs="Arial"/>
          <w:b w:val="0"/>
          <w:color w:val="0000FF"/>
          <w:szCs w:val="18"/>
        </w:rPr>
        <w:t>-2018</w:t>
      </w:r>
    </w:p>
    <w:p w:rsidR="004B27C1" w:rsidRPr="0064034D" w:rsidRDefault="004B27C1" w:rsidP="00A06B15">
      <w:pPr>
        <w:pStyle w:val="Texto"/>
        <w:spacing w:line="269" w:lineRule="exact"/>
      </w:pPr>
      <w:r w:rsidRPr="0064034D">
        <w:rPr>
          <w:b/>
        </w:rPr>
        <w:t xml:space="preserve">PRIMERO.- </w:t>
      </w:r>
      <w:r w:rsidRPr="0064034D">
        <w:t xml:space="preserve">El presente Acuerdo entrará en vigor al día siguiente de su publicación en el Diario Oficial de </w:t>
      </w:r>
      <w:smartTag w:uri="urn:schemas-microsoft-com:office:smarttags" w:element="PersonName">
        <w:smartTagPr>
          <w:attr w:name="ProductID" w:val="la Federaci￳n"/>
        </w:smartTagPr>
        <w:r w:rsidRPr="0064034D">
          <w:t>la Federación</w:t>
        </w:r>
      </w:smartTag>
      <w:r w:rsidRPr="0064034D">
        <w:t xml:space="preserve"> y surte efectos de manera obligatoria a partir del ejercicio 2019.</w:t>
      </w:r>
    </w:p>
    <w:p w:rsidR="004B27C1" w:rsidRPr="0064034D" w:rsidRDefault="004B27C1" w:rsidP="00A06B15">
      <w:pPr>
        <w:pStyle w:val="Texto"/>
        <w:spacing w:line="269" w:lineRule="exact"/>
      </w:pPr>
      <w:r w:rsidRPr="0064034D">
        <w:rPr>
          <w:b/>
        </w:rPr>
        <w:t>SEGUNDO.-</w:t>
      </w:r>
      <w:r w:rsidRPr="0064034D">
        <w:t xml:space="preserve"> Durante el ejercicio 2018, los entes públicos deberán utilizar el presente Acuerdo para la elaboración de la iniciativa de Ley de Ingresos del ejercicio 2019.</w:t>
      </w:r>
    </w:p>
    <w:p w:rsidR="004B27C1" w:rsidRPr="0064034D" w:rsidRDefault="004B27C1" w:rsidP="00A06B15">
      <w:pPr>
        <w:pStyle w:val="Texto"/>
        <w:spacing w:line="269" w:lineRule="exact"/>
      </w:pPr>
      <w:r w:rsidRPr="0064034D">
        <w:rPr>
          <w:b/>
        </w:rPr>
        <w:t xml:space="preserve">TERCERO.- </w:t>
      </w:r>
      <w:r w:rsidRPr="0064034D">
        <w:t>Se realizaran los cambios normativos correspondientes para la aplicación de la presente reforma, durante el segundo semestre de 2018.</w:t>
      </w:r>
    </w:p>
    <w:p w:rsidR="004B27C1" w:rsidRPr="0064034D" w:rsidRDefault="004B27C1" w:rsidP="00A06B15">
      <w:pPr>
        <w:pStyle w:val="Texto"/>
        <w:spacing w:line="269" w:lineRule="exact"/>
      </w:pPr>
      <w:r w:rsidRPr="0064034D">
        <w:rPr>
          <w:b/>
        </w:rPr>
        <w:t>CUARTO.-</w:t>
      </w:r>
      <w:r w:rsidRPr="0064034D">
        <w:t xml:space="preserve"> Las entidades federativas, en cumplimiento de lo dispuesto por el artículo 7, segundo párrafo, de </w:t>
      </w:r>
      <w:smartTag w:uri="urn:schemas-microsoft-com:office:smarttags" w:element="PersonName">
        <w:smartTagPr>
          <w:attr w:name="ProductID" w:val="la Ley General"/>
        </w:smartTagPr>
        <w:r w:rsidRPr="0064034D">
          <w:t>la Ley General</w:t>
        </w:r>
      </w:smartTag>
      <w:r w:rsidRPr="0064034D">
        <w:t xml:space="preserve"> de Contabilidad Gubernamental deberán publicar el presente Acuerdo, en sus medios oficiales de difusión escritos y electrónicos, dentro de un plazo de 30 días hábiles siguientes a la publicación del presente en el Diario Oficial de </w:t>
      </w:r>
      <w:smartTag w:uri="urn:schemas-microsoft-com:office:smarttags" w:element="PersonName">
        <w:smartTagPr>
          <w:attr w:name="ProductID" w:val="la Federaci￳n."/>
        </w:smartTagPr>
        <w:r w:rsidRPr="0064034D">
          <w:t>la Federación.</w:t>
        </w:r>
      </w:smartTag>
    </w:p>
    <w:p w:rsidR="00A06B15" w:rsidRPr="0064034D" w:rsidRDefault="00A06B15" w:rsidP="00A06B15">
      <w:pPr>
        <w:pStyle w:val="Texto"/>
        <w:spacing w:line="269" w:lineRule="exact"/>
        <w:rPr>
          <w:b/>
        </w:rPr>
      </w:pPr>
    </w:p>
    <w:p w:rsidR="004B27C1" w:rsidRPr="0064034D" w:rsidRDefault="004B27C1" w:rsidP="00A06B15">
      <w:pPr>
        <w:pStyle w:val="Texto"/>
        <w:spacing w:line="269" w:lineRule="exact"/>
      </w:pPr>
      <w:r w:rsidRPr="0064034D">
        <w:rPr>
          <w:b/>
        </w:rPr>
        <w:t xml:space="preserve">QUINTO.- </w:t>
      </w:r>
      <w:r w:rsidRPr="0064034D">
        <w:t xml:space="preserve">En términos del artículo 15 de </w:t>
      </w:r>
      <w:smartTag w:uri="urn:schemas-microsoft-com:office:smarttags" w:element="PersonName">
        <w:smartTagPr>
          <w:attr w:name="ProductID" w:val="la Ley General"/>
        </w:smartTagPr>
        <w:r w:rsidRPr="0064034D">
          <w:t>la Ley General</w:t>
        </w:r>
      </w:smartTag>
      <w:r w:rsidRPr="0064034D">
        <w:t xml:space="preserve"> de Contabilidad Gubernamental, el Secretario Técnico llevará un registro en una página de Internet de los actos que los entes públicos de las entidades federativas, municipios y demarcaciones territoriales de </w:t>
      </w:r>
      <w:smartTag w:uri="urn:schemas-microsoft-com:office:smarttags" w:element="PersonName">
        <w:smartTagPr>
          <w:attr w:name="ProductID" w:val="la Ciudad"/>
        </w:smartTagPr>
        <w:r w:rsidRPr="0064034D">
          <w:t>la Ciudad</w:t>
        </w:r>
      </w:smartTag>
      <w:r w:rsidRPr="0064034D">
        <w:t xml:space="preserve"> de México realicen para adoptar las decisiones del Consejo. Para tales efectos, los Consejos de Armonización Contable de las Entidades Federativas remitirán a </w:t>
      </w:r>
      <w:smartTag w:uri="urn:schemas-microsoft-com:office:smarttags" w:element="PersonName">
        <w:smartTagPr>
          <w:attr w:name="ProductID" w:val="la Secretaria T￩cnica"/>
        </w:smartTagPr>
        <w:r w:rsidRPr="0064034D">
          <w:t>la Secretaria Técnica</w:t>
        </w:r>
      </w:smartTag>
      <w:r w:rsidRPr="0064034D">
        <w:t xml:space="preserve"> la información relacionada con dichos actos a la dirección electrónica conac_sriotecnico@hacienda.gob.mx, dentro de un plazo de 15 días hábiles contados a partir de la conclusión del plazo fijado en el transitorio anterior.</w:t>
      </w:r>
    </w:p>
    <w:p w:rsidR="009A2CD3" w:rsidRPr="0064034D" w:rsidRDefault="009A2CD3" w:rsidP="009A2CD3">
      <w:pPr>
        <w:spacing w:before="101" w:after="101" w:line="218" w:lineRule="exact"/>
        <w:jc w:val="center"/>
        <w:rPr>
          <w:rFonts w:ascii="Arial" w:eastAsia="Calibri" w:hAnsi="Arial" w:cs="Arial"/>
          <w:b/>
          <w:sz w:val="18"/>
          <w:szCs w:val="18"/>
        </w:rPr>
      </w:pPr>
    </w:p>
    <w:p w:rsidR="009A2CD3" w:rsidRPr="0064034D" w:rsidRDefault="009A2CD3" w:rsidP="009A2CD3">
      <w:pPr>
        <w:spacing w:before="101" w:after="101" w:line="218" w:lineRule="exact"/>
        <w:jc w:val="center"/>
        <w:rPr>
          <w:rFonts w:ascii="Arial" w:eastAsia="Calibri" w:hAnsi="Arial" w:cs="Arial"/>
          <w:b/>
          <w:sz w:val="18"/>
          <w:szCs w:val="18"/>
        </w:rPr>
      </w:pPr>
      <w:r w:rsidRPr="0064034D">
        <w:rPr>
          <w:rFonts w:ascii="Arial" w:eastAsia="Calibri" w:hAnsi="Arial" w:cs="Arial"/>
          <w:b/>
          <w:sz w:val="18"/>
          <w:szCs w:val="18"/>
        </w:rPr>
        <w:t>Acuerdo por el que se reforma el Clasificador por Rubros de Ingresos</w:t>
      </w:r>
    </w:p>
    <w:p w:rsidR="009A2CD3" w:rsidRPr="0064034D" w:rsidRDefault="009A2CD3" w:rsidP="009A2CD3">
      <w:pPr>
        <w:pStyle w:val="ANOTACION"/>
        <w:spacing w:after="70" w:line="213" w:lineRule="exact"/>
        <w:rPr>
          <w:rFonts w:ascii="Arial" w:hAnsi="Arial" w:cs="Arial"/>
        </w:rPr>
      </w:pPr>
      <w:r w:rsidRPr="0064034D">
        <w:rPr>
          <w:rFonts w:ascii="Arial" w:hAnsi="Arial" w:cs="Arial"/>
        </w:rPr>
        <w:t>TRANSITORIOS</w:t>
      </w:r>
    </w:p>
    <w:p w:rsidR="009A2CD3" w:rsidRPr="0064034D" w:rsidRDefault="009A2CD3" w:rsidP="009A2CD3">
      <w:pPr>
        <w:pStyle w:val="ANOTACION"/>
        <w:spacing w:after="70" w:line="213" w:lineRule="exact"/>
        <w:rPr>
          <w:rFonts w:ascii="Arial" w:hAnsi="Arial" w:cs="Arial"/>
          <w:b w:val="0"/>
          <w:szCs w:val="18"/>
        </w:rPr>
      </w:pPr>
      <w:r w:rsidRPr="0064034D">
        <w:rPr>
          <w:rFonts w:ascii="Arial" w:hAnsi="Arial" w:cs="Arial"/>
          <w:b w:val="0"/>
          <w:color w:val="0000FF"/>
          <w:szCs w:val="18"/>
        </w:rPr>
        <w:t xml:space="preserve">Publicación DOF </w:t>
      </w:r>
      <w:r w:rsidR="0064034D" w:rsidRPr="0064034D">
        <w:rPr>
          <w:rFonts w:ascii="Arial" w:hAnsi="Arial" w:cs="Arial"/>
          <w:b w:val="0"/>
          <w:color w:val="0000FF"/>
          <w:szCs w:val="18"/>
        </w:rPr>
        <w:t>27-09-2018</w:t>
      </w:r>
    </w:p>
    <w:p w:rsidR="009A2CD3" w:rsidRPr="0064034D" w:rsidRDefault="009A2CD3" w:rsidP="009A2CD3">
      <w:pPr>
        <w:pStyle w:val="texto0"/>
        <w:spacing w:after="40" w:line="213" w:lineRule="exact"/>
        <w:ind w:firstLine="289"/>
      </w:pPr>
      <w:r w:rsidRPr="0064034D">
        <w:rPr>
          <w:b/>
        </w:rPr>
        <w:t xml:space="preserve">PRIMERO.- </w:t>
      </w:r>
      <w:r w:rsidRPr="0064034D">
        <w:t>El presente Acuerdo entrará en vigor al día siguiente de su publicación en el Diario Oficial de la Federación.</w:t>
      </w:r>
    </w:p>
    <w:p w:rsidR="009A2CD3" w:rsidRPr="0064034D" w:rsidRDefault="009A2CD3" w:rsidP="009A2CD3">
      <w:pPr>
        <w:pStyle w:val="texto0"/>
        <w:spacing w:after="40" w:line="213" w:lineRule="exact"/>
        <w:ind w:firstLine="289"/>
      </w:pPr>
      <w:r w:rsidRPr="0064034D">
        <w:rPr>
          <w:b/>
        </w:rPr>
        <w:t xml:space="preserve">SEGUNDO.- </w:t>
      </w:r>
      <w:r w:rsidRPr="0064034D">
        <w:t>Se deroga el artículo tercero de las “Mejoras a los documentos aprobados por el CONAC”, publicado en el Diario Oficial de la Federación el 2 de enero de 2013.</w:t>
      </w:r>
    </w:p>
    <w:p w:rsidR="009A2CD3" w:rsidRPr="0064034D" w:rsidRDefault="009A2CD3" w:rsidP="009A2CD3">
      <w:pPr>
        <w:pStyle w:val="texto0"/>
        <w:spacing w:after="40" w:line="213" w:lineRule="exact"/>
        <w:ind w:firstLine="289"/>
      </w:pPr>
      <w:r w:rsidRPr="0064034D">
        <w:rPr>
          <w:b/>
        </w:rPr>
        <w:t>TERCERO.-</w:t>
      </w:r>
      <w:r w:rsidRPr="0064034D">
        <w:t xml:space="preserve"> Las entidades federativas, en cumplimiento de lo dispuesto por el artículo 7, segundo párrafo, de </w:t>
      </w:r>
      <w:smartTag w:uri="urn:schemas-microsoft-com:office:smarttags" w:element="PersonName">
        <w:smartTagPr>
          <w:attr w:name="ProductID" w:val="la Ley General"/>
        </w:smartTagPr>
        <w:r w:rsidRPr="0064034D">
          <w:t>la Ley General</w:t>
        </w:r>
      </w:smartTag>
      <w:r w:rsidRPr="0064034D">
        <w:t xml:space="preserve"> de Contabilidad Gubernamental deberán publicar el presente Acuerdo, en sus medios oficiales de difusión escritos y electrónicos, dentro de un plazo de 30 días hábiles siguientes a la publicación del presente en el Diario Oficial de la Federación.</w:t>
      </w:r>
    </w:p>
    <w:p w:rsidR="009A2CD3" w:rsidRPr="0064034D" w:rsidRDefault="009A2CD3" w:rsidP="009A2CD3">
      <w:pPr>
        <w:pStyle w:val="texto0"/>
        <w:spacing w:after="40" w:line="213" w:lineRule="exact"/>
        <w:ind w:firstLine="289"/>
      </w:pPr>
      <w:r w:rsidRPr="0064034D">
        <w:rPr>
          <w:b/>
        </w:rPr>
        <w:t xml:space="preserve">CUARTO.- </w:t>
      </w:r>
      <w:r w:rsidRPr="0064034D">
        <w:t xml:space="preserve">En términos del artículo 15 de </w:t>
      </w:r>
      <w:smartTag w:uri="urn:schemas-microsoft-com:office:smarttags" w:element="PersonName">
        <w:smartTagPr>
          <w:attr w:name="ProductID" w:val="la Ley General"/>
        </w:smartTagPr>
        <w:r w:rsidRPr="0064034D">
          <w:t>la Ley General</w:t>
        </w:r>
      </w:smartTag>
      <w:r w:rsidRPr="0064034D">
        <w:t xml:space="preserve"> de Contabilidad Gubernamental, el Secretario Técnico llevará un registro en una página de Internet de los actos que los entes públicos de las entidades federativas, municipios y demarcaciones territoriales de </w:t>
      </w:r>
      <w:smartTag w:uri="urn:schemas-microsoft-com:office:smarttags" w:element="PersonName">
        <w:smartTagPr>
          <w:attr w:name="ProductID" w:val="la Ciudad"/>
        </w:smartTagPr>
        <w:r w:rsidRPr="0064034D">
          <w:t>la Ciudad</w:t>
        </w:r>
      </w:smartTag>
      <w:r w:rsidRPr="0064034D">
        <w:t xml:space="preserve"> de México realicen para adoptar las decisiones del Consejo. Para tales efectos, los Consejos de Armonización Contable de las Entidades Federativas remitirán a </w:t>
      </w:r>
      <w:smartTag w:uri="urn:schemas-microsoft-com:office:smarttags" w:element="PersonName">
        <w:smartTagPr>
          <w:attr w:name="ProductID" w:val="la Secretaria T￩cnica"/>
        </w:smartTagPr>
        <w:r w:rsidRPr="0064034D">
          <w:t>la Secretaria Técnica</w:t>
        </w:r>
      </w:smartTag>
      <w:r w:rsidRPr="0064034D">
        <w:t xml:space="preserve"> la información relacionada con dichos actos a la dirección </w:t>
      </w:r>
      <w:r w:rsidRPr="0064034D">
        <w:lastRenderedPageBreak/>
        <w:t>electrónica conac_sriotecnico@hacienda.gob.mx, dentro de un plazo de 15 días hábiles contados a partir de la conclusión del plazo fijado en el transitorio anterior.</w:t>
      </w:r>
    </w:p>
    <w:p w:rsidR="009A2CD3" w:rsidRDefault="009A2CD3" w:rsidP="009A2CD3">
      <w:pPr>
        <w:pStyle w:val="Texto"/>
        <w:spacing w:after="0"/>
        <w:ind w:firstLine="289"/>
        <w:rPr>
          <w:szCs w:val="18"/>
        </w:rPr>
      </w:pPr>
      <w:r w:rsidRPr="0064034D">
        <w:rPr>
          <w:szCs w:val="18"/>
        </w:rPr>
        <w:t xml:space="preserve">En la Ciudad de México, siendo las trece horas del día 30 de agosto del año dos mil </w:t>
      </w:r>
      <w:r w:rsidRPr="0064034D">
        <w:rPr>
          <w:szCs w:val="18"/>
          <w:lang w:val="es-MX"/>
        </w:rPr>
        <w:t>dieciocho</w:t>
      </w:r>
      <w:r w:rsidRPr="0064034D">
        <w:rPr>
          <w:szCs w:val="18"/>
        </w:rPr>
        <w:t xml:space="preserve">, con fundamento en los artículos 11 de la Ley General de Contabilidad Gubernamental, 12, fracción IV, y 64 del Reglamento Interior de la Secretaría de Hacienda y Crédito Público, el Titular de la Unidad de Contabilidad Gubernamental de la Subsecretaría de Egresos de la Secretaría de Hacienda y Crédito Público, en mi calidad de Secretaria Técnica del Consejo Nacional de Armonización Contable, </w:t>
      </w:r>
      <w:r w:rsidRPr="0064034D">
        <w:rPr>
          <w:b/>
          <w:szCs w:val="18"/>
        </w:rPr>
        <w:t>HAGO CONSTAR Y CERTIFICO</w:t>
      </w:r>
      <w:r w:rsidRPr="0064034D">
        <w:rPr>
          <w:szCs w:val="18"/>
        </w:rPr>
        <w:t xml:space="preserve"> que el documento consistente en 1 foja útil, rubricada y cotejada, corresponde con el texto del Acuerdo por el que se reforma el Clasificador por Rubros de Ingresos</w:t>
      </w:r>
      <w:r w:rsidRPr="0064034D">
        <w:rPr>
          <w:szCs w:val="18"/>
          <w:lang w:val="es-MX"/>
        </w:rPr>
        <w:t xml:space="preserve">, </w:t>
      </w:r>
      <w:r w:rsidRPr="0064034D">
        <w:rPr>
          <w:szCs w:val="18"/>
        </w:rPr>
        <w:t xml:space="preserve">aprobado por el Consejo Nacional de Armonización Contable, mismo que estuvo a la vista de los integrantes de dicho Consejo en su tercera reunión celebrada, en segunda convocatoria, el 29 de agosto del presente año, situación que se certifica para los efectos legales conducentes. </w:t>
      </w:r>
      <w:r w:rsidRPr="0064034D">
        <w:t xml:space="preserve">La Secretaria Técnica del Consejo Nacional de Armonización Contable, </w:t>
      </w:r>
      <w:r w:rsidRPr="0064034D">
        <w:rPr>
          <w:b/>
        </w:rPr>
        <w:t xml:space="preserve">María Teresa Castro </w:t>
      </w:r>
      <w:proofErr w:type="gramStart"/>
      <w:r w:rsidRPr="0064034D">
        <w:rPr>
          <w:b/>
        </w:rPr>
        <w:t>Corro</w:t>
      </w:r>
      <w:r w:rsidRPr="0064034D">
        <w:t>.-</w:t>
      </w:r>
      <w:proofErr w:type="gramEnd"/>
      <w:r w:rsidRPr="0064034D">
        <w:t xml:space="preserve"> Rubrica</w:t>
      </w:r>
      <w:r w:rsidRPr="0064034D">
        <w:rPr>
          <w:szCs w:val="18"/>
        </w:rPr>
        <w:t>.</w:t>
      </w:r>
    </w:p>
    <w:p w:rsidR="00175E2E" w:rsidRDefault="00175E2E" w:rsidP="009A2CD3">
      <w:pPr>
        <w:pStyle w:val="Texto"/>
        <w:spacing w:after="0"/>
        <w:ind w:firstLine="289"/>
      </w:pPr>
    </w:p>
    <w:p w:rsidR="00175E2E" w:rsidRDefault="00175E2E" w:rsidP="007E74AA">
      <w:pPr>
        <w:pStyle w:val="Texto"/>
        <w:spacing w:after="0"/>
        <w:ind w:firstLine="289"/>
        <w:jc w:val="center"/>
        <w:rPr>
          <w:rFonts w:eastAsia="Calibri"/>
          <w:b/>
          <w:szCs w:val="18"/>
        </w:rPr>
      </w:pPr>
      <w:r w:rsidRPr="0064034D">
        <w:rPr>
          <w:rFonts w:eastAsia="Calibri"/>
          <w:b/>
          <w:szCs w:val="18"/>
        </w:rPr>
        <w:t>Acuerdo por el que se reforma el Clasificador por Rubros de Ingresos</w:t>
      </w:r>
    </w:p>
    <w:p w:rsidR="00175E2E" w:rsidRDefault="00175E2E" w:rsidP="007E74AA">
      <w:pPr>
        <w:pStyle w:val="Texto"/>
        <w:spacing w:after="0"/>
        <w:ind w:firstLine="289"/>
        <w:jc w:val="center"/>
        <w:rPr>
          <w:rFonts w:eastAsia="Calibri"/>
          <w:b/>
          <w:szCs w:val="18"/>
        </w:rPr>
      </w:pPr>
    </w:p>
    <w:p w:rsidR="00175E2E" w:rsidRDefault="00175E2E" w:rsidP="007E74AA">
      <w:pPr>
        <w:pStyle w:val="Default"/>
        <w:spacing w:before="101" w:after="61" w:line="213" w:lineRule="exact"/>
        <w:jc w:val="center"/>
        <w:rPr>
          <w:sz w:val="18"/>
          <w:szCs w:val="18"/>
        </w:rPr>
      </w:pPr>
      <w:r>
        <w:rPr>
          <w:b/>
          <w:bCs/>
          <w:sz w:val="18"/>
          <w:szCs w:val="18"/>
        </w:rPr>
        <w:t>TRANSITORIOS</w:t>
      </w:r>
    </w:p>
    <w:p w:rsidR="00175E2E" w:rsidRDefault="00175E2E" w:rsidP="007E74AA">
      <w:pPr>
        <w:pStyle w:val="Default"/>
        <w:spacing w:after="120"/>
        <w:ind w:firstLine="289"/>
        <w:jc w:val="both"/>
        <w:rPr>
          <w:sz w:val="18"/>
          <w:szCs w:val="18"/>
        </w:rPr>
      </w:pPr>
      <w:proofErr w:type="gramStart"/>
      <w:r>
        <w:rPr>
          <w:b/>
          <w:bCs/>
          <w:sz w:val="18"/>
          <w:szCs w:val="18"/>
        </w:rPr>
        <w:t>PRIMERO.-</w:t>
      </w:r>
      <w:proofErr w:type="gramEnd"/>
      <w:r>
        <w:rPr>
          <w:b/>
          <w:bCs/>
          <w:sz w:val="18"/>
          <w:szCs w:val="18"/>
        </w:rPr>
        <w:t xml:space="preserve"> </w:t>
      </w:r>
      <w:r>
        <w:rPr>
          <w:sz w:val="18"/>
          <w:szCs w:val="18"/>
        </w:rPr>
        <w:t>El presente Acuerdo entrará en vigor al día siguiente de su publicación en el Diario Oficial de la Federación y su aplicación será obligatoria a partir del 1o.</w:t>
      </w:r>
      <w:r w:rsidR="00F67A6E">
        <w:rPr>
          <w:sz w:val="18"/>
          <w:szCs w:val="18"/>
        </w:rPr>
        <w:t xml:space="preserve"> </w:t>
      </w:r>
      <w:r>
        <w:rPr>
          <w:sz w:val="18"/>
          <w:szCs w:val="18"/>
        </w:rPr>
        <w:t xml:space="preserve">de enero de 2024. </w:t>
      </w:r>
    </w:p>
    <w:p w:rsidR="00175E2E" w:rsidRDefault="00175E2E" w:rsidP="007E74AA">
      <w:pPr>
        <w:pStyle w:val="Default"/>
        <w:spacing w:after="120"/>
        <w:ind w:firstLine="289"/>
        <w:jc w:val="both"/>
        <w:rPr>
          <w:sz w:val="18"/>
          <w:szCs w:val="18"/>
        </w:rPr>
      </w:pPr>
      <w:r>
        <w:rPr>
          <w:b/>
          <w:bCs/>
          <w:sz w:val="18"/>
          <w:szCs w:val="18"/>
        </w:rPr>
        <w:t xml:space="preserve">SEGUNDO.- </w:t>
      </w:r>
      <w:r>
        <w:rPr>
          <w:sz w:val="18"/>
          <w:szCs w:val="18"/>
        </w:rPr>
        <w:t xml:space="preserve">Durante el ejercicio 2023, los entes públicos deberán observar el presente Acuerdo para la elaboración de la iniciativa de Ley de Ingresos del ejercicio 2024. </w:t>
      </w:r>
    </w:p>
    <w:p w:rsidR="00175E2E" w:rsidRDefault="00175E2E" w:rsidP="007E74AA">
      <w:pPr>
        <w:pStyle w:val="Default"/>
        <w:spacing w:after="120"/>
        <w:ind w:firstLine="289"/>
        <w:jc w:val="both"/>
        <w:rPr>
          <w:sz w:val="18"/>
          <w:szCs w:val="18"/>
        </w:rPr>
      </w:pPr>
      <w:r>
        <w:rPr>
          <w:b/>
          <w:bCs/>
          <w:sz w:val="18"/>
          <w:szCs w:val="18"/>
        </w:rPr>
        <w:t xml:space="preserve">TERCERO.- </w:t>
      </w:r>
      <w:r>
        <w:rPr>
          <w:sz w:val="18"/>
          <w:szCs w:val="18"/>
        </w:rPr>
        <w:t xml:space="preserve">Las entidades federativas, en cumplimiento al artículo 7, segundo párrafo, de la Ley General de Contabilidad Gubernamental deberán publicar el presente Acuerdo, en sus medios oficiales de difusión escritos y electrónicos, dentro de un plazo de 30 días hábiles siguientes a la publicación del presente en el Diario Oficial de la Federación. </w:t>
      </w:r>
    </w:p>
    <w:p w:rsidR="00175E2E" w:rsidRDefault="00175E2E" w:rsidP="007E74AA">
      <w:pPr>
        <w:pStyle w:val="Default"/>
        <w:spacing w:after="120"/>
        <w:ind w:firstLine="289"/>
        <w:jc w:val="both"/>
        <w:rPr>
          <w:sz w:val="18"/>
          <w:szCs w:val="18"/>
        </w:rPr>
      </w:pPr>
      <w:r>
        <w:rPr>
          <w:b/>
          <w:bCs/>
          <w:sz w:val="18"/>
          <w:szCs w:val="18"/>
        </w:rPr>
        <w:t xml:space="preserve">CUARTO.- </w:t>
      </w:r>
      <w:r>
        <w:rPr>
          <w:sz w:val="18"/>
          <w:szCs w:val="18"/>
        </w:rPr>
        <w:t>En términos del artículo 15 de la Ley General de Contabilidad Gubernamental, el Secretario Técnico llevará un registro en una página de Internet de los actos que los entes públicos de las entidades federativas, municipios y demarcaciones territoriales de la Ciudad de México realicen para adoptar las decisiones del Consejo. Para tales efectos, los Consejos de Armonización Contable de las Entidades Federativas remitirán a la Secretaría Técnica la información relacionada con dichos actos a la dirección electrónica conac_sriotecnico@hacienda.gob.mx, dentro de un plazo de 15 días hábiles contados a partir de la conclusión del plazo fijado en el transitorio anterior</w:t>
      </w:r>
      <w:r w:rsidR="00F67A6E">
        <w:rPr>
          <w:sz w:val="18"/>
          <w:szCs w:val="18"/>
        </w:rPr>
        <w:t>.</w:t>
      </w:r>
    </w:p>
    <w:p w:rsidR="00D90DFE" w:rsidRDefault="00D90DFE" w:rsidP="00D90DFE">
      <w:pPr>
        <w:pStyle w:val="Texto"/>
        <w:spacing w:line="240" w:lineRule="auto"/>
        <w:ind w:firstLine="289"/>
        <w:rPr>
          <w:szCs w:val="18"/>
        </w:rPr>
      </w:pPr>
      <w:r w:rsidRPr="00C52A55">
        <w:rPr>
          <w:szCs w:val="18"/>
        </w:rPr>
        <w:t xml:space="preserve">En la Ciudad de México, siendo las once horas del día  28 de julio del año dos mil veintitrés, con fundamento en los artículos 11 de la Ley General de Contabilidad Gubernamental, 12, fracción IV, y </w:t>
      </w:r>
      <w:r>
        <w:rPr>
          <w:szCs w:val="18"/>
        </w:rPr>
        <w:t>23</w:t>
      </w:r>
      <w:r w:rsidRPr="00C52A55">
        <w:rPr>
          <w:szCs w:val="18"/>
        </w:rPr>
        <w:t xml:space="preserve"> del Reglamento Interior de la Secretaría de Hacienda y Crédito Público, el Titular de la Unidad de Contabilidad Gubernamental de la Subsecretaría de Egresos de la Secretaría de Hacienda y Crédito Público, en mi calidad de Secretario Técnico del Consejo Nacional de Armonización Contable, </w:t>
      </w:r>
      <w:r w:rsidRPr="00C52A55">
        <w:rPr>
          <w:b/>
          <w:szCs w:val="18"/>
        </w:rPr>
        <w:t>HAGO CONSTAR Y CERTIFICO</w:t>
      </w:r>
      <w:r w:rsidRPr="00C52A55">
        <w:rPr>
          <w:szCs w:val="18"/>
        </w:rPr>
        <w:t xml:space="preserve"> que el documento consistente en 3 fojas útiles, rubricadas y cotejadas, corresponde con el texto del ACUERDO POR EL QUE SE REFORMA EL CLASIFICADOR POR RUBROS DE INGRESOS, aprobado por el Consejo Nacional de Armonización Contable, mismo que estuvo a la vista de los integrantes de dicho Consejo en su segunda sesión celebrada, en primera convocatoria, el 18 de julio del presente año, situación que se certifica para los efectos legales conducentes. El Secretario Técnico del Consejo Nacional de Armonización Contable, </w:t>
      </w:r>
      <w:bookmarkStart w:id="0" w:name="_GoBack"/>
      <w:r w:rsidRPr="00F67A6E">
        <w:rPr>
          <w:szCs w:val="18"/>
        </w:rPr>
        <w:t>L.C.P.</w:t>
      </w:r>
      <w:bookmarkEnd w:id="0"/>
      <w:r w:rsidRPr="00C52A55">
        <w:rPr>
          <w:b/>
          <w:szCs w:val="18"/>
        </w:rPr>
        <w:t xml:space="preserve"> Juan Torres </w:t>
      </w:r>
      <w:proofErr w:type="gramStart"/>
      <w:r w:rsidRPr="00C52A55">
        <w:rPr>
          <w:b/>
          <w:szCs w:val="18"/>
        </w:rPr>
        <w:t>García</w:t>
      </w:r>
      <w:r w:rsidRPr="00C52A55">
        <w:rPr>
          <w:szCs w:val="18"/>
        </w:rPr>
        <w:t>.-</w:t>
      </w:r>
      <w:proofErr w:type="gramEnd"/>
      <w:r w:rsidRPr="00C52A55">
        <w:rPr>
          <w:szCs w:val="18"/>
        </w:rPr>
        <w:t xml:space="preserve"> Rúbrica.</w:t>
      </w:r>
    </w:p>
    <w:p w:rsidR="00D90DFE" w:rsidRPr="004B27C1" w:rsidRDefault="00D90DFE" w:rsidP="007E74AA">
      <w:pPr>
        <w:pStyle w:val="Default"/>
        <w:spacing w:after="120"/>
        <w:ind w:firstLine="289"/>
        <w:jc w:val="both"/>
      </w:pPr>
    </w:p>
    <w:sectPr w:rsidR="00D90DFE" w:rsidRPr="004B27C1" w:rsidSect="00FA131F">
      <w:footerReference w:type="default" r:id="rId8"/>
      <w:pgSz w:w="12240" w:h="15840" w:code="1"/>
      <w:pgMar w:top="1152" w:right="1699" w:bottom="993" w:left="1699"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DA0" w:rsidRDefault="00043DA0">
      <w:r>
        <w:separator/>
      </w:r>
    </w:p>
  </w:endnote>
  <w:endnote w:type="continuationSeparator" w:id="0">
    <w:p w:rsidR="00043DA0" w:rsidRDefault="0004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762" w:rsidRPr="00FA131F" w:rsidRDefault="009F7762" w:rsidP="00FA131F">
    <w:pPr>
      <w:pStyle w:val="Piedepgina"/>
      <w:jc w:val="right"/>
      <w:rPr>
        <w:rFonts w:ascii="Arial" w:hAnsi="Arial" w:cs="Arial"/>
        <w:sz w:val="18"/>
        <w:szCs w:val="18"/>
      </w:rPr>
    </w:pPr>
    <w:r w:rsidRPr="00920042">
      <w:rPr>
        <w:rFonts w:ascii="Arial" w:hAnsi="Arial" w:cs="Arial"/>
        <w:sz w:val="18"/>
        <w:szCs w:val="18"/>
      </w:rPr>
      <w:fldChar w:fldCharType="begin"/>
    </w:r>
    <w:r w:rsidRPr="00920042">
      <w:rPr>
        <w:rFonts w:ascii="Arial" w:hAnsi="Arial" w:cs="Arial"/>
        <w:sz w:val="18"/>
        <w:szCs w:val="18"/>
      </w:rPr>
      <w:instrText>PAGE   \* MERGEFORMAT</w:instrText>
    </w:r>
    <w:r w:rsidRPr="00920042">
      <w:rPr>
        <w:rFonts w:ascii="Arial" w:hAnsi="Arial" w:cs="Arial"/>
        <w:sz w:val="18"/>
        <w:szCs w:val="18"/>
      </w:rPr>
      <w:fldChar w:fldCharType="separate"/>
    </w:r>
    <w:r w:rsidR="00F67A6E">
      <w:rPr>
        <w:rFonts w:ascii="Arial" w:hAnsi="Arial" w:cs="Arial"/>
        <w:noProof/>
        <w:sz w:val="18"/>
        <w:szCs w:val="18"/>
      </w:rPr>
      <w:t>11</w:t>
    </w:r>
    <w:r w:rsidRPr="00920042">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DA0" w:rsidRDefault="00043DA0">
      <w:r>
        <w:separator/>
      </w:r>
    </w:p>
  </w:footnote>
  <w:footnote w:type="continuationSeparator" w:id="0">
    <w:p w:rsidR="00043DA0" w:rsidRDefault="00043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786E"/>
    <w:multiLevelType w:val="hybridMultilevel"/>
    <w:tmpl w:val="C0168D18"/>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 w15:restartNumberingAfterBreak="0">
    <w:nsid w:val="1433104E"/>
    <w:multiLevelType w:val="hybridMultilevel"/>
    <w:tmpl w:val="6BC85116"/>
    <w:lvl w:ilvl="0" w:tplc="080A0017">
      <w:start w:val="1"/>
      <w:numFmt w:val="lowerLetter"/>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 w15:restartNumberingAfterBreak="0">
    <w:nsid w:val="29625147"/>
    <w:multiLevelType w:val="hybridMultilevel"/>
    <w:tmpl w:val="8F147502"/>
    <w:lvl w:ilvl="0" w:tplc="BB36BFBC">
      <w:start w:val="1"/>
      <w:numFmt w:val="bullet"/>
      <w:lvlRestart w:val="0"/>
      <w:lvlText w:val=""/>
      <w:lvlJc w:val="left"/>
      <w:pPr>
        <w:tabs>
          <w:tab w:val="num" w:pos="720"/>
        </w:tabs>
        <w:ind w:left="720" w:hanging="432"/>
      </w:pPr>
      <w:rPr>
        <w:rFonts w:ascii="Symbol" w:hAnsi="Symbol" w:hint="default"/>
      </w:rPr>
    </w:lvl>
    <w:lvl w:ilvl="1" w:tplc="0C0A0003" w:tentative="1">
      <w:start w:val="1"/>
      <w:numFmt w:val="bullet"/>
      <w:lvlText w:val="o"/>
      <w:lvlJc w:val="left"/>
      <w:pPr>
        <w:tabs>
          <w:tab w:val="num" w:pos="1728"/>
        </w:tabs>
        <w:ind w:left="1728" w:hanging="360"/>
      </w:pPr>
      <w:rPr>
        <w:rFonts w:ascii="Courier New" w:hAnsi="Courier New" w:cs="Courier New" w:hint="default"/>
      </w:rPr>
    </w:lvl>
    <w:lvl w:ilvl="2" w:tplc="0C0A0005" w:tentative="1">
      <w:start w:val="1"/>
      <w:numFmt w:val="bullet"/>
      <w:lvlText w:val=""/>
      <w:lvlJc w:val="left"/>
      <w:pPr>
        <w:tabs>
          <w:tab w:val="num" w:pos="2448"/>
        </w:tabs>
        <w:ind w:left="2448" w:hanging="360"/>
      </w:pPr>
      <w:rPr>
        <w:rFonts w:ascii="Wingdings" w:hAnsi="Wingdings" w:hint="default"/>
      </w:rPr>
    </w:lvl>
    <w:lvl w:ilvl="3" w:tplc="0C0A0001" w:tentative="1">
      <w:start w:val="1"/>
      <w:numFmt w:val="bullet"/>
      <w:lvlText w:val=""/>
      <w:lvlJc w:val="left"/>
      <w:pPr>
        <w:tabs>
          <w:tab w:val="num" w:pos="3168"/>
        </w:tabs>
        <w:ind w:left="3168" w:hanging="360"/>
      </w:pPr>
      <w:rPr>
        <w:rFonts w:ascii="Symbol" w:hAnsi="Symbol" w:hint="default"/>
      </w:rPr>
    </w:lvl>
    <w:lvl w:ilvl="4" w:tplc="0C0A0003" w:tentative="1">
      <w:start w:val="1"/>
      <w:numFmt w:val="bullet"/>
      <w:lvlText w:val="o"/>
      <w:lvlJc w:val="left"/>
      <w:pPr>
        <w:tabs>
          <w:tab w:val="num" w:pos="3888"/>
        </w:tabs>
        <w:ind w:left="3888" w:hanging="360"/>
      </w:pPr>
      <w:rPr>
        <w:rFonts w:ascii="Courier New" w:hAnsi="Courier New" w:cs="Courier New" w:hint="default"/>
      </w:rPr>
    </w:lvl>
    <w:lvl w:ilvl="5" w:tplc="0C0A0005" w:tentative="1">
      <w:start w:val="1"/>
      <w:numFmt w:val="bullet"/>
      <w:lvlText w:val=""/>
      <w:lvlJc w:val="left"/>
      <w:pPr>
        <w:tabs>
          <w:tab w:val="num" w:pos="4608"/>
        </w:tabs>
        <w:ind w:left="4608" w:hanging="360"/>
      </w:pPr>
      <w:rPr>
        <w:rFonts w:ascii="Wingdings" w:hAnsi="Wingdings" w:hint="default"/>
      </w:rPr>
    </w:lvl>
    <w:lvl w:ilvl="6" w:tplc="0C0A0001" w:tentative="1">
      <w:start w:val="1"/>
      <w:numFmt w:val="bullet"/>
      <w:lvlText w:val=""/>
      <w:lvlJc w:val="left"/>
      <w:pPr>
        <w:tabs>
          <w:tab w:val="num" w:pos="5328"/>
        </w:tabs>
        <w:ind w:left="5328" w:hanging="360"/>
      </w:pPr>
      <w:rPr>
        <w:rFonts w:ascii="Symbol" w:hAnsi="Symbol" w:hint="default"/>
      </w:rPr>
    </w:lvl>
    <w:lvl w:ilvl="7" w:tplc="0C0A0003" w:tentative="1">
      <w:start w:val="1"/>
      <w:numFmt w:val="bullet"/>
      <w:lvlText w:val="o"/>
      <w:lvlJc w:val="left"/>
      <w:pPr>
        <w:tabs>
          <w:tab w:val="num" w:pos="6048"/>
        </w:tabs>
        <w:ind w:left="6048" w:hanging="360"/>
      </w:pPr>
      <w:rPr>
        <w:rFonts w:ascii="Courier New" w:hAnsi="Courier New" w:cs="Courier New" w:hint="default"/>
      </w:rPr>
    </w:lvl>
    <w:lvl w:ilvl="8" w:tplc="0C0A0005" w:tentative="1">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30352CDD"/>
    <w:multiLevelType w:val="hybridMultilevel"/>
    <w:tmpl w:val="B9E2BAFA"/>
    <w:lvl w:ilvl="0" w:tplc="BB36BFBC">
      <w:start w:val="1"/>
      <w:numFmt w:val="bullet"/>
      <w:lvlRestart w:val="0"/>
      <w:lvlText w:val=""/>
      <w:lvlJc w:val="left"/>
      <w:pPr>
        <w:tabs>
          <w:tab w:val="num" w:pos="720"/>
        </w:tabs>
        <w:ind w:left="720" w:hanging="432"/>
      </w:pPr>
      <w:rPr>
        <w:rFonts w:ascii="Symbol" w:hAnsi="Symbol" w:hint="default"/>
      </w:rPr>
    </w:lvl>
    <w:lvl w:ilvl="1" w:tplc="0C0A0003" w:tentative="1">
      <w:start w:val="1"/>
      <w:numFmt w:val="bullet"/>
      <w:lvlText w:val="o"/>
      <w:lvlJc w:val="left"/>
      <w:pPr>
        <w:tabs>
          <w:tab w:val="num" w:pos="1728"/>
        </w:tabs>
        <w:ind w:left="1728" w:hanging="360"/>
      </w:pPr>
      <w:rPr>
        <w:rFonts w:ascii="Courier New" w:hAnsi="Courier New" w:cs="Courier New" w:hint="default"/>
      </w:rPr>
    </w:lvl>
    <w:lvl w:ilvl="2" w:tplc="0C0A0005" w:tentative="1">
      <w:start w:val="1"/>
      <w:numFmt w:val="bullet"/>
      <w:lvlText w:val=""/>
      <w:lvlJc w:val="left"/>
      <w:pPr>
        <w:tabs>
          <w:tab w:val="num" w:pos="2448"/>
        </w:tabs>
        <w:ind w:left="2448" w:hanging="360"/>
      </w:pPr>
      <w:rPr>
        <w:rFonts w:ascii="Wingdings" w:hAnsi="Wingdings" w:hint="default"/>
      </w:rPr>
    </w:lvl>
    <w:lvl w:ilvl="3" w:tplc="0C0A0001" w:tentative="1">
      <w:start w:val="1"/>
      <w:numFmt w:val="bullet"/>
      <w:lvlText w:val=""/>
      <w:lvlJc w:val="left"/>
      <w:pPr>
        <w:tabs>
          <w:tab w:val="num" w:pos="3168"/>
        </w:tabs>
        <w:ind w:left="3168" w:hanging="360"/>
      </w:pPr>
      <w:rPr>
        <w:rFonts w:ascii="Symbol" w:hAnsi="Symbol" w:hint="default"/>
      </w:rPr>
    </w:lvl>
    <w:lvl w:ilvl="4" w:tplc="0C0A0003" w:tentative="1">
      <w:start w:val="1"/>
      <w:numFmt w:val="bullet"/>
      <w:lvlText w:val="o"/>
      <w:lvlJc w:val="left"/>
      <w:pPr>
        <w:tabs>
          <w:tab w:val="num" w:pos="3888"/>
        </w:tabs>
        <w:ind w:left="3888" w:hanging="360"/>
      </w:pPr>
      <w:rPr>
        <w:rFonts w:ascii="Courier New" w:hAnsi="Courier New" w:cs="Courier New" w:hint="default"/>
      </w:rPr>
    </w:lvl>
    <w:lvl w:ilvl="5" w:tplc="0C0A0005" w:tentative="1">
      <w:start w:val="1"/>
      <w:numFmt w:val="bullet"/>
      <w:lvlText w:val=""/>
      <w:lvlJc w:val="left"/>
      <w:pPr>
        <w:tabs>
          <w:tab w:val="num" w:pos="4608"/>
        </w:tabs>
        <w:ind w:left="4608" w:hanging="360"/>
      </w:pPr>
      <w:rPr>
        <w:rFonts w:ascii="Wingdings" w:hAnsi="Wingdings" w:hint="default"/>
      </w:rPr>
    </w:lvl>
    <w:lvl w:ilvl="6" w:tplc="0C0A0001" w:tentative="1">
      <w:start w:val="1"/>
      <w:numFmt w:val="bullet"/>
      <w:lvlText w:val=""/>
      <w:lvlJc w:val="left"/>
      <w:pPr>
        <w:tabs>
          <w:tab w:val="num" w:pos="5328"/>
        </w:tabs>
        <w:ind w:left="5328" w:hanging="360"/>
      </w:pPr>
      <w:rPr>
        <w:rFonts w:ascii="Symbol" w:hAnsi="Symbol" w:hint="default"/>
      </w:rPr>
    </w:lvl>
    <w:lvl w:ilvl="7" w:tplc="0C0A0003" w:tentative="1">
      <w:start w:val="1"/>
      <w:numFmt w:val="bullet"/>
      <w:lvlText w:val="o"/>
      <w:lvlJc w:val="left"/>
      <w:pPr>
        <w:tabs>
          <w:tab w:val="num" w:pos="6048"/>
        </w:tabs>
        <w:ind w:left="6048" w:hanging="360"/>
      </w:pPr>
      <w:rPr>
        <w:rFonts w:ascii="Courier New" w:hAnsi="Courier New" w:cs="Courier New" w:hint="default"/>
      </w:rPr>
    </w:lvl>
    <w:lvl w:ilvl="8" w:tplc="0C0A0005" w:tentative="1">
      <w:start w:val="1"/>
      <w:numFmt w:val="bullet"/>
      <w:lvlText w:val=""/>
      <w:lvlJc w:val="left"/>
      <w:pPr>
        <w:tabs>
          <w:tab w:val="num" w:pos="6768"/>
        </w:tabs>
        <w:ind w:left="6768" w:hanging="360"/>
      </w:pPr>
      <w:rPr>
        <w:rFonts w:ascii="Wingdings" w:hAnsi="Wingdings" w:hint="default"/>
      </w:rPr>
    </w:lvl>
  </w:abstractNum>
  <w:abstractNum w:abstractNumId="4" w15:restartNumberingAfterBreak="0">
    <w:nsid w:val="33F15708"/>
    <w:multiLevelType w:val="hybridMultilevel"/>
    <w:tmpl w:val="CA6E747C"/>
    <w:lvl w:ilvl="0" w:tplc="BFEC31A4">
      <w:start w:val="1"/>
      <w:numFmt w:val="lowerLetter"/>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56B93E34"/>
    <w:multiLevelType w:val="hybridMultilevel"/>
    <w:tmpl w:val="9E9432AA"/>
    <w:lvl w:ilvl="0" w:tplc="8F24D8DA">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ES" w:vendorID="64" w:dllVersion="4096" w:nlCheck="1" w:checkStyle="0"/>
  <w:activeWritingStyle w:appName="MSWord" w:lang="es-ES_tradnl"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83"/>
    <w:rsid w:val="0000411E"/>
    <w:rsid w:val="00005398"/>
    <w:rsid w:val="000069C5"/>
    <w:rsid w:val="00011743"/>
    <w:rsid w:val="00026C5E"/>
    <w:rsid w:val="0004244C"/>
    <w:rsid w:val="00043DA0"/>
    <w:rsid w:val="0005315B"/>
    <w:rsid w:val="00074B69"/>
    <w:rsid w:val="000757DE"/>
    <w:rsid w:val="00083B96"/>
    <w:rsid w:val="00084052"/>
    <w:rsid w:val="00085CFF"/>
    <w:rsid w:val="00090755"/>
    <w:rsid w:val="000934C4"/>
    <w:rsid w:val="000B42E5"/>
    <w:rsid w:val="000C50D4"/>
    <w:rsid w:val="000C50FF"/>
    <w:rsid w:val="000D2FB0"/>
    <w:rsid w:val="000F0FA3"/>
    <w:rsid w:val="000F2C25"/>
    <w:rsid w:val="000F4C55"/>
    <w:rsid w:val="000F706A"/>
    <w:rsid w:val="00105F14"/>
    <w:rsid w:val="0010703B"/>
    <w:rsid w:val="00125752"/>
    <w:rsid w:val="001303A7"/>
    <w:rsid w:val="00140A5C"/>
    <w:rsid w:val="00144A11"/>
    <w:rsid w:val="00147211"/>
    <w:rsid w:val="00151580"/>
    <w:rsid w:val="00155A7E"/>
    <w:rsid w:val="001574EC"/>
    <w:rsid w:val="0016103C"/>
    <w:rsid w:val="001642EF"/>
    <w:rsid w:val="00175E2E"/>
    <w:rsid w:val="00176B02"/>
    <w:rsid w:val="00192AC1"/>
    <w:rsid w:val="0019473C"/>
    <w:rsid w:val="0019560D"/>
    <w:rsid w:val="001A0142"/>
    <w:rsid w:val="001B1641"/>
    <w:rsid w:val="001B6098"/>
    <w:rsid w:val="001B6981"/>
    <w:rsid w:val="001D1D9E"/>
    <w:rsid w:val="001D2137"/>
    <w:rsid w:val="001E6CB1"/>
    <w:rsid w:val="001F6325"/>
    <w:rsid w:val="0021103C"/>
    <w:rsid w:val="00214B53"/>
    <w:rsid w:val="002214D8"/>
    <w:rsid w:val="00226832"/>
    <w:rsid w:val="00234BCB"/>
    <w:rsid w:val="00235E80"/>
    <w:rsid w:val="00240B8E"/>
    <w:rsid w:val="00241442"/>
    <w:rsid w:val="0025082C"/>
    <w:rsid w:val="00255299"/>
    <w:rsid w:val="00285BE5"/>
    <w:rsid w:val="00286668"/>
    <w:rsid w:val="00290296"/>
    <w:rsid w:val="00291CA7"/>
    <w:rsid w:val="002940B6"/>
    <w:rsid w:val="002B00EE"/>
    <w:rsid w:val="002B127D"/>
    <w:rsid w:val="002B3857"/>
    <w:rsid w:val="002C3644"/>
    <w:rsid w:val="002C61DA"/>
    <w:rsid w:val="002D48E1"/>
    <w:rsid w:val="002D581C"/>
    <w:rsid w:val="002E0094"/>
    <w:rsid w:val="002F1408"/>
    <w:rsid w:val="002F30DE"/>
    <w:rsid w:val="002F6279"/>
    <w:rsid w:val="002F666A"/>
    <w:rsid w:val="0030321A"/>
    <w:rsid w:val="00311237"/>
    <w:rsid w:val="00323350"/>
    <w:rsid w:val="00323864"/>
    <w:rsid w:val="0032394E"/>
    <w:rsid w:val="00326B04"/>
    <w:rsid w:val="00330780"/>
    <w:rsid w:val="003340A4"/>
    <w:rsid w:val="00345F6D"/>
    <w:rsid w:val="00357A6B"/>
    <w:rsid w:val="0036410B"/>
    <w:rsid w:val="00364213"/>
    <w:rsid w:val="00364398"/>
    <w:rsid w:val="003656C6"/>
    <w:rsid w:val="00373DFE"/>
    <w:rsid w:val="003826D1"/>
    <w:rsid w:val="003875E1"/>
    <w:rsid w:val="0039202C"/>
    <w:rsid w:val="003A4FB7"/>
    <w:rsid w:val="003A78AB"/>
    <w:rsid w:val="003A79D5"/>
    <w:rsid w:val="003B074E"/>
    <w:rsid w:val="003C4B47"/>
    <w:rsid w:val="003C5EB9"/>
    <w:rsid w:val="003D0641"/>
    <w:rsid w:val="003D351A"/>
    <w:rsid w:val="003E5783"/>
    <w:rsid w:val="003E58B9"/>
    <w:rsid w:val="003E7472"/>
    <w:rsid w:val="003F591E"/>
    <w:rsid w:val="003F6B79"/>
    <w:rsid w:val="003F7705"/>
    <w:rsid w:val="004107F0"/>
    <w:rsid w:val="00410B8C"/>
    <w:rsid w:val="00410D87"/>
    <w:rsid w:val="00412ED6"/>
    <w:rsid w:val="004142D5"/>
    <w:rsid w:val="004155DD"/>
    <w:rsid w:val="004257B5"/>
    <w:rsid w:val="0042779F"/>
    <w:rsid w:val="004352A9"/>
    <w:rsid w:val="00440349"/>
    <w:rsid w:val="00451601"/>
    <w:rsid w:val="004535D7"/>
    <w:rsid w:val="00453A9B"/>
    <w:rsid w:val="004552C4"/>
    <w:rsid w:val="00464085"/>
    <w:rsid w:val="004652D9"/>
    <w:rsid w:val="00465E99"/>
    <w:rsid w:val="00466D8C"/>
    <w:rsid w:val="00491871"/>
    <w:rsid w:val="00492FAF"/>
    <w:rsid w:val="004A4C13"/>
    <w:rsid w:val="004A7426"/>
    <w:rsid w:val="004B27C1"/>
    <w:rsid w:val="004B2F2C"/>
    <w:rsid w:val="004C2FDF"/>
    <w:rsid w:val="004C49C6"/>
    <w:rsid w:val="004C7B17"/>
    <w:rsid w:val="004D4A72"/>
    <w:rsid w:val="004E4EB8"/>
    <w:rsid w:val="004E5209"/>
    <w:rsid w:val="004E6B1F"/>
    <w:rsid w:val="004E77FB"/>
    <w:rsid w:val="004E7904"/>
    <w:rsid w:val="004F3FE9"/>
    <w:rsid w:val="00505D4D"/>
    <w:rsid w:val="00512CDB"/>
    <w:rsid w:val="00514993"/>
    <w:rsid w:val="005225C4"/>
    <w:rsid w:val="0053121A"/>
    <w:rsid w:val="00534337"/>
    <w:rsid w:val="0053581A"/>
    <w:rsid w:val="00535845"/>
    <w:rsid w:val="005438AB"/>
    <w:rsid w:val="0054733E"/>
    <w:rsid w:val="00553393"/>
    <w:rsid w:val="0055349C"/>
    <w:rsid w:val="005A0268"/>
    <w:rsid w:val="005B52AB"/>
    <w:rsid w:val="005B7010"/>
    <w:rsid w:val="005C4019"/>
    <w:rsid w:val="005C417F"/>
    <w:rsid w:val="005C75DE"/>
    <w:rsid w:val="005D7D14"/>
    <w:rsid w:val="005E5B4E"/>
    <w:rsid w:val="00606057"/>
    <w:rsid w:val="006075F1"/>
    <w:rsid w:val="006104E2"/>
    <w:rsid w:val="006231E1"/>
    <w:rsid w:val="00627360"/>
    <w:rsid w:val="00627D1A"/>
    <w:rsid w:val="0063495E"/>
    <w:rsid w:val="00634C63"/>
    <w:rsid w:val="0064034D"/>
    <w:rsid w:val="00642CDF"/>
    <w:rsid w:val="00652A96"/>
    <w:rsid w:val="00656CFF"/>
    <w:rsid w:val="00663AA7"/>
    <w:rsid w:val="00664F4E"/>
    <w:rsid w:val="006711A8"/>
    <w:rsid w:val="00674139"/>
    <w:rsid w:val="0067451C"/>
    <w:rsid w:val="00681BC5"/>
    <w:rsid w:val="00691836"/>
    <w:rsid w:val="0069357B"/>
    <w:rsid w:val="00697B7C"/>
    <w:rsid w:val="006B71C1"/>
    <w:rsid w:val="006B7539"/>
    <w:rsid w:val="006B7754"/>
    <w:rsid w:val="006C2E2E"/>
    <w:rsid w:val="006D2E40"/>
    <w:rsid w:val="006E2487"/>
    <w:rsid w:val="006E4EE3"/>
    <w:rsid w:val="006E66EC"/>
    <w:rsid w:val="006F1E01"/>
    <w:rsid w:val="006F30D1"/>
    <w:rsid w:val="0070415B"/>
    <w:rsid w:val="00705572"/>
    <w:rsid w:val="00717A6D"/>
    <w:rsid w:val="00724703"/>
    <w:rsid w:val="00735E9D"/>
    <w:rsid w:val="00737435"/>
    <w:rsid w:val="00741ABD"/>
    <w:rsid w:val="007420FB"/>
    <w:rsid w:val="00746606"/>
    <w:rsid w:val="00746FC8"/>
    <w:rsid w:val="00751BF3"/>
    <w:rsid w:val="007578BE"/>
    <w:rsid w:val="00762C68"/>
    <w:rsid w:val="00794A04"/>
    <w:rsid w:val="00797AB4"/>
    <w:rsid w:val="007A0956"/>
    <w:rsid w:val="007A37F5"/>
    <w:rsid w:val="007B22D9"/>
    <w:rsid w:val="007D00B8"/>
    <w:rsid w:val="007D286A"/>
    <w:rsid w:val="007E74AA"/>
    <w:rsid w:val="007F3BE9"/>
    <w:rsid w:val="007F771E"/>
    <w:rsid w:val="00802693"/>
    <w:rsid w:val="0080651E"/>
    <w:rsid w:val="00807287"/>
    <w:rsid w:val="00820E17"/>
    <w:rsid w:val="0082406C"/>
    <w:rsid w:val="0082552E"/>
    <w:rsid w:val="00827CE1"/>
    <w:rsid w:val="0083080F"/>
    <w:rsid w:val="008377D9"/>
    <w:rsid w:val="00840532"/>
    <w:rsid w:val="008439B3"/>
    <w:rsid w:val="00843E31"/>
    <w:rsid w:val="0084555B"/>
    <w:rsid w:val="008651ED"/>
    <w:rsid w:val="00866A97"/>
    <w:rsid w:val="008755A1"/>
    <w:rsid w:val="00875A59"/>
    <w:rsid w:val="00881CDC"/>
    <w:rsid w:val="00882CB2"/>
    <w:rsid w:val="0089558E"/>
    <w:rsid w:val="008A23F3"/>
    <w:rsid w:val="008B2F90"/>
    <w:rsid w:val="008B5BD2"/>
    <w:rsid w:val="008D17A5"/>
    <w:rsid w:val="008D2443"/>
    <w:rsid w:val="008E35DF"/>
    <w:rsid w:val="008F3224"/>
    <w:rsid w:val="008F7A18"/>
    <w:rsid w:val="00913D77"/>
    <w:rsid w:val="009167A0"/>
    <w:rsid w:val="00920042"/>
    <w:rsid w:val="009200A2"/>
    <w:rsid w:val="0092432C"/>
    <w:rsid w:val="00926005"/>
    <w:rsid w:val="009329FB"/>
    <w:rsid w:val="00932AF8"/>
    <w:rsid w:val="00937018"/>
    <w:rsid w:val="00943003"/>
    <w:rsid w:val="00945F33"/>
    <w:rsid w:val="00953502"/>
    <w:rsid w:val="0096459F"/>
    <w:rsid w:val="00970902"/>
    <w:rsid w:val="00970AFC"/>
    <w:rsid w:val="009719FD"/>
    <w:rsid w:val="00982B1C"/>
    <w:rsid w:val="009932CA"/>
    <w:rsid w:val="009A2CD3"/>
    <w:rsid w:val="009A7654"/>
    <w:rsid w:val="009C02DA"/>
    <w:rsid w:val="009D1E53"/>
    <w:rsid w:val="009E1AC6"/>
    <w:rsid w:val="009E3B35"/>
    <w:rsid w:val="009E415F"/>
    <w:rsid w:val="009E63EA"/>
    <w:rsid w:val="009F050F"/>
    <w:rsid w:val="009F18A3"/>
    <w:rsid w:val="009F7762"/>
    <w:rsid w:val="00A02A42"/>
    <w:rsid w:val="00A06B15"/>
    <w:rsid w:val="00A31E9B"/>
    <w:rsid w:val="00A333DC"/>
    <w:rsid w:val="00A350F2"/>
    <w:rsid w:val="00A46DF0"/>
    <w:rsid w:val="00A52466"/>
    <w:rsid w:val="00A53D31"/>
    <w:rsid w:val="00A54F6A"/>
    <w:rsid w:val="00A55A37"/>
    <w:rsid w:val="00A62AFC"/>
    <w:rsid w:val="00A67104"/>
    <w:rsid w:val="00A71D72"/>
    <w:rsid w:val="00A73F8A"/>
    <w:rsid w:val="00A76032"/>
    <w:rsid w:val="00A8099D"/>
    <w:rsid w:val="00A81D62"/>
    <w:rsid w:val="00A84922"/>
    <w:rsid w:val="00A90C04"/>
    <w:rsid w:val="00A9295A"/>
    <w:rsid w:val="00A94C7F"/>
    <w:rsid w:val="00A963B6"/>
    <w:rsid w:val="00AA2957"/>
    <w:rsid w:val="00AA362F"/>
    <w:rsid w:val="00AC6F5A"/>
    <w:rsid w:val="00AD3BC5"/>
    <w:rsid w:val="00AD54E0"/>
    <w:rsid w:val="00AF71E1"/>
    <w:rsid w:val="00B00632"/>
    <w:rsid w:val="00B14C29"/>
    <w:rsid w:val="00B170E8"/>
    <w:rsid w:val="00B3769E"/>
    <w:rsid w:val="00B41119"/>
    <w:rsid w:val="00B41808"/>
    <w:rsid w:val="00B41F2A"/>
    <w:rsid w:val="00B459C1"/>
    <w:rsid w:val="00B47B45"/>
    <w:rsid w:val="00B563DA"/>
    <w:rsid w:val="00B63531"/>
    <w:rsid w:val="00B636DE"/>
    <w:rsid w:val="00B7008A"/>
    <w:rsid w:val="00B717B3"/>
    <w:rsid w:val="00BA4F56"/>
    <w:rsid w:val="00BB1A81"/>
    <w:rsid w:val="00BB1F00"/>
    <w:rsid w:val="00BC441E"/>
    <w:rsid w:val="00BD562C"/>
    <w:rsid w:val="00BD70E9"/>
    <w:rsid w:val="00BE42B6"/>
    <w:rsid w:val="00BE469B"/>
    <w:rsid w:val="00BE7781"/>
    <w:rsid w:val="00BF091C"/>
    <w:rsid w:val="00BF26E0"/>
    <w:rsid w:val="00C01B5D"/>
    <w:rsid w:val="00C07B63"/>
    <w:rsid w:val="00C258E4"/>
    <w:rsid w:val="00C25C34"/>
    <w:rsid w:val="00C35A95"/>
    <w:rsid w:val="00C461BF"/>
    <w:rsid w:val="00C54322"/>
    <w:rsid w:val="00C54BD6"/>
    <w:rsid w:val="00C72F0B"/>
    <w:rsid w:val="00C9060E"/>
    <w:rsid w:val="00C90DDD"/>
    <w:rsid w:val="00C96371"/>
    <w:rsid w:val="00CA2FDC"/>
    <w:rsid w:val="00CA3BBA"/>
    <w:rsid w:val="00CA7919"/>
    <w:rsid w:val="00CB1ECD"/>
    <w:rsid w:val="00CB4555"/>
    <w:rsid w:val="00CC00A9"/>
    <w:rsid w:val="00CC0602"/>
    <w:rsid w:val="00CC256B"/>
    <w:rsid w:val="00CC39A6"/>
    <w:rsid w:val="00CC71C5"/>
    <w:rsid w:val="00CD6850"/>
    <w:rsid w:val="00CE2DD9"/>
    <w:rsid w:val="00CE67E8"/>
    <w:rsid w:val="00CF4B57"/>
    <w:rsid w:val="00CF6193"/>
    <w:rsid w:val="00CF644B"/>
    <w:rsid w:val="00D04785"/>
    <w:rsid w:val="00D126EA"/>
    <w:rsid w:val="00D27A0F"/>
    <w:rsid w:val="00D32AC1"/>
    <w:rsid w:val="00D32C7D"/>
    <w:rsid w:val="00D34588"/>
    <w:rsid w:val="00D3478E"/>
    <w:rsid w:val="00D35611"/>
    <w:rsid w:val="00D41C08"/>
    <w:rsid w:val="00D42FD2"/>
    <w:rsid w:val="00D4468D"/>
    <w:rsid w:val="00D54C2F"/>
    <w:rsid w:val="00D622F1"/>
    <w:rsid w:val="00D64953"/>
    <w:rsid w:val="00D77000"/>
    <w:rsid w:val="00D809F4"/>
    <w:rsid w:val="00D81548"/>
    <w:rsid w:val="00D819F5"/>
    <w:rsid w:val="00D83CBC"/>
    <w:rsid w:val="00D8711B"/>
    <w:rsid w:val="00D87572"/>
    <w:rsid w:val="00D90DFE"/>
    <w:rsid w:val="00DA1BE4"/>
    <w:rsid w:val="00DA6A8A"/>
    <w:rsid w:val="00DA7A26"/>
    <w:rsid w:val="00DB694D"/>
    <w:rsid w:val="00DD16C7"/>
    <w:rsid w:val="00DD6205"/>
    <w:rsid w:val="00DE4C7A"/>
    <w:rsid w:val="00DE6424"/>
    <w:rsid w:val="00DF41E8"/>
    <w:rsid w:val="00DF6036"/>
    <w:rsid w:val="00DF6BC3"/>
    <w:rsid w:val="00E027A3"/>
    <w:rsid w:val="00E06B60"/>
    <w:rsid w:val="00E10DF5"/>
    <w:rsid w:val="00E21F6A"/>
    <w:rsid w:val="00E30B22"/>
    <w:rsid w:val="00E3798A"/>
    <w:rsid w:val="00E43983"/>
    <w:rsid w:val="00E45FAF"/>
    <w:rsid w:val="00E460F3"/>
    <w:rsid w:val="00E50177"/>
    <w:rsid w:val="00E5027B"/>
    <w:rsid w:val="00E529F7"/>
    <w:rsid w:val="00E5626A"/>
    <w:rsid w:val="00E772E5"/>
    <w:rsid w:val="00E82585"/>
    <w:rsid w:val="00E84455"/>
    <w:rsid w:val="00EA0ABD"/>
    <w:rsid w:val="00EA46E7"/>
    <w:rsid w:val="00EB3C2A"/>
    <w:rsid w:val="00EB42BF"/>
    <w:rsid w:val="00EB71D1"/>
    <w:rsid w:val="00EC2C40"/>
    <w:rsid w:val="00EC3E4C"/>
    <w:rsid w:val="00EC55EE"/>
    <w:rsid w:val="00ED5E55"/>
    <w:rsid w:val="00EE5A6C"/>
    <w:rsid w:val="00EE6353"/>
    <w:rsid w:val="00EF17A2"/>
    <w:rsid w:val="00EF1962"/>
    <w:rsid w:val="00EF226B"/>
    <w:rsid w:val="00EF4290"/>
    <w:rsid w:val="00F00313"/>
    <w:rsid w:val="00F00937"/>
    <w:rsid w:val="00F04D14"/>
    <w:rsid w:val="00F1427E"/>
    <w:rsid w:val="00F21950"/>
    <w:rsid w:val="00F22399"/>
    <w:rsid w:val="00F315C9"/>
    <w:rsid w:val="00F42E31"/>
    <w:rsid w:val="00F51E5E"/>
    <w:rsid w:val="00F52E56"/>
    <w:rsid w:val="00F571FE"/>
    <w:rsid w:val="00F6110D"/>
    <w:rsid w:val="00F64B32"/>
    <w:rsid w:val="00F67A6E"/>
    <w:rsid w:val="00F70C4B"/>
    <w:rsid w:val="00F7418C"/>
    <w:rsid w:val="00F808C0"/>
    <w:rsid w:val="00F83712"/>
    <w:rsid w:val="00F85CA3"/>
    <w:rsid w:val="00FA131F"/>
    <w:rsid w:val="00FA2710"/>
    <w:rsid w:val="00FA672D"/>
    <w:rsid w:val="00FC03A2"/>
    <w:rsid w:val="00FC1C47"/>
    <w:rsid w:val="00FC5DD1"/>
    <w:rsid w:val="00FD0D2C"/>
    <w:rsid w:val="00FD13C6"/>
    <w:rsid w:val="00FD435A"/>
    <w:rsid w:val="00FD44E8"/>
    <w:rsid w:val="00FD7200"/>
    <w:rsid w:val="00FE5F30"/>
    <w:rsid w:val="00FE6ABD"/>
    <w:rsid w:val="00FF3F79"/>
    <w:rsid w:val="00FF5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09"/>
    <o:shapelayout v:ext="edit">
      <o:idmap v:ext="edit" data="1"/>
    </o:shapelayout>
  </w:shapeDefaults>
  <w:decimalSymbol w:val="."/>
  <w:listSeparator w:val=","/>
  <w14:docId w14:val="6F76D07F"/>
  <w15:chartTrackingRefBased/>
  <w15:docId w15:val="{8C10FB19-C3CE-4308-9853-03B35FB7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link w:val="Ttulo2Car"/>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autoRedefine/>
    <w:qFormat/>
    <w:rsid w:val="00E43983"/>
    <w:pPr>
      <w:keepNext/>
      <w:tabs>
        <w:tab w:val="num" w:pos="851"/>
      </w:tabs>
      <w:ind w:left="993" w:hanging="993"/>
      <w:outlineLvl w:val="2"/>
    </w:pPr>
    <w:rPr>
      <w:rFonts w:ascii="Calibri" w:hAnsi="Calibri" w:cs="Calibri"/>
      <w:b/>
      <w:bCs/>
      <w:sz w:val="22"/>
      <w:szCs w:val="22"/>
      <w:lang w:val="es-MX"/>
    </w:rPr>
  </w:style>
  <w:style w:type="paragraph" w:styleId="Ttulo4">
    <w:name w:val="heading 4"/>
    <w:basedOn w:val="Normal"/>
    <w:next w:val="Normal"/>
    <w:link w:val="Ttulo4Car"/>
    <w:qFormat/>
    <w:rsid w:val="00E43983"/>
    <w:pPr>
      <w:keepNext/>
      <w:tabs>
        <w:tab w:val="num" w:pos="864"/>
        <w:tab w:val="left" w:pos="1021"/>
        <w:tab w:val="left" w:pos="1134"/>
        <w:tab w:val="left" w:pos="1560"/>
      </w:tabs>
      <w:spacing w:before="240" w:after="60"/>
      <w:ind w:left="864" w:hanging="864"/>
      <w:jc w:val="both"/>
      <w:outlineLvl w:val="3"/>
    </w:pPr>
    <w:rPr>
      <w:rFonts w:ascii="Arial" w:hAnsi="Arial"/>
      <w:b/>
      <w:bCs/>
      <w:szCs w:val="28"/>
    </w:rPr>
  </w:style>
  <w:style w:type="paragraph" w:styleId="Ttulo5">
    <w:name w:val="heading 5"/>
    <w:basedOn w:val="Normal"/>
    <w:next w:val="Normal"/>
    <w:link w:val="Ttulo5Car"/>
    <w:autoRedefine/>
    <w:qFormat/>
    <w:rsid w:val="00E43983"/>
    <w:pPr>
      <w:tabs>
        <w:tab w:val="left" w:pos="851"/>
      </w:tabs>
      <w:jc w:val="both"/>
      <w:outlineLvl w:val="4"/>
    </w:pPr>
    <w:rPr>
      <w:rFonts w:ascii="Calibri" w:hAnsi="Calibri" w:cs="Calibri"/>
      <w:bCs/>
      <w:iCs/>
      <w:sz w:val="20"/>
      <w:szCs w:val="20"/>
      <w:lang w:val="es-MX"/>
    </w:rPr>
  </w:style>
  <w:style w:type="paragraph" w:styleId="Ttulo6">
    <w:name w:val="heading 6"/>
    <w:basedOn w:val="Normal"/>
    <w:next w:val="Normal"/>
    <w:link w:val="Ttulo6Car"/>
    <w:qFormat/>
    <w:rsid w:val="00E43983"/>
    <w:pPr>
      <w:tabs>
        <w:tab w:val="num" w:pos="1152"/>
      </w:tabs>
      <w:spacing w:before="240" w:after="60"/>
      <w:ind w:left="1152" w:hanging="1152"/>
      <w:outlineLvl w:val="5"/>
    </w:pPr>
    <w:rPr>
      <w:b/>
      <w:bCs/>
      <w:sz w:val="22"/>
      <w:szCs w:val="22"/>
    </w:rPr>
  </w:style>
  <w:style w:type="paragraph" w:styleId="Ttulo7">
    <w:name w:val="heading 7"/>
    <w:basedOn w:val="Normal"/>
    <w:next w:val="Normal"/>
    <w:link w:val="Ttulo7Car"/>
    <w:qFormat/>
    <w:rsid w:val="00E43983"/>
    <w:pPr>
      <w:tabs>
        <w:tab w:val="num" w:pos="1296"/>
      </w:tabs>
      <w:spacing w:before="240" w:after="60"/>
      <w:ind w:left="1296" w:hanging="1296"/>
      <w:outlineLvl w:val="6"/>
    </w:pPr>
  </w:style>
  <w:style w:type="paragraph" w:styleId="Ttulo8">
    <w:name w:val="heading 8"/>
    <w:basedOn w:val="Normal"/>
    <w:next w:val="Normal"/>
    <w:link w:val="Ttulo8Car"/>
    <w:qFormat/>
    <w:rsid w:val="00E43983"/>
    <w:pPr>
      <w:tabs>
        <w:tab w:val="num" w:pos="1440"/>
      </w:tabs>
      <w:spacing w:before="240" w:after="60"/>
      <w:ind w:left="1440" w:hanging="1440"/>
      <w:outlineLvl w:val="7"/>
    </w:pPr>
    <w:rPr>
      <w:i/>
      <w:iCs/>
    </w:rPr>
  </w:style>
  <w:style w:type="paragraph" w:styleId="Ttulo9">
    <w:name w:val="heading 9"/>
    <w:basedOn w:val="Normal"/>
    <w:next w:val="Normal"/>
    <w:link w:val="Ttulo9Car"/>
    <w:qFormat/>
    <w:rsid w:val="00E43983"/>
    <w:pPr>
      <w:tabs>
        <w:tab w:val="num" w:pos="1584"/>
      </w:tabs>
      <w:spacing w:before="240" w:after="60"/>
      <w:ind w:left="1584" w:hanging="1584"/>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aliases w:val="independiente,independiente Car Car Car"/>
    <w:basedOn w:val="Normal"/>
    <w:link w:val="TextoCar"/>
    <w:qFormat/>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link w:val="EncabezadoC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uiPriority w:val="99"/>
    <w:rsid w:val="00140A5C"/>
    <w:pPr>
      <w:tabs>
        <w:tab w:val="center" w:pos="4419"/>
        <w:tab w:val="right" w:pos="8838"/>
      </w:tabs>
    </w:pPr>
  </w:style>
  <w:style w:type="character" w:styleId="Nmerodepgina">
    <w:name w:val="page number"/>
    <w:basedOn w:val="Fuentedeprrafopredeter"/>
    <w:rsid w:val="00140A5C"/>
  </w:style>
  <w:style w:type="character" w:customStyle="1" w:styleId="PiedepginaCar">
    <w:name w:val="Pie de página Car"/>
    <w:link w:val="Piedepgina"/>
    <w:uiPriority w:val="99"/>
    <w:rsid w:val="00E43983"/>
    <w:rPr>
      <w:sz w:val="24"/>
      <w:szCs w:val="24"/>
      <w:lang w:val="es-ES" w:eastAsia="es-ES"/>
    </w:rPr>
  </w:style>
  <w:style w:type="paragraph" w:styleId="Prrafodelista">
    <w:name w:val="List Paragraph"/>
    <w:basedOn w:val="Normal"/>
    <w:uiPriority w:val="34"/>
    <w:qFormat/>
    <w:rsid w:val="00E43983"/>
    <w:pPr>
      <w:spacing w:before="60"/>
      <w:ind w:left="720"/>
      <w:contextualSpacing/>
      <w:jc w:val="both"/>
    </w:pPr>
    <w:rPr>
      <w:rFonts w:ascii="Calibri" w:hAnsi="Calibri"/>
      <w:sz w:val="22"/>
      <w:szCs w:val="22"/>
      <w:lang w:eastAsia="en-US" w:bidi="en-US"/>
    </w:rPr>
  </w:style>
  <w:style w:type="character" w:customStyle="1" w:styleId="Ttulo3Car">
    <w:name w:val="Título 3 Car"/>
    <w:link w:val="Ttulo3"/>
    <w:rsid w:val="00E43983"/>
    <w:rPr>
      <w:rFonts w:ascii="Calibri" w:hAnsi="Calibri" w:cs="Calibri"/>
      <w:b/>
      <w:bCs/>
      <w:sz w:val="22"/>
      <w:szCs w:val="22"/>
      <w:lang w:eastAsia="es-ES"/>
    </w:rPr>
  </w:style>
  <w:style w:type="character" w:customStyle="1" w:styleId="Ttulo4Car">
    <w:name w:val="Título 4 Car"/>
    <w:link w:val="Ttulo4"/>
    <w:rsid w:val="00E43983"/>
    <w:rPr>
      <w:rFonts w:ascii="Arial" w:hAnsi="Arial"/>
      <w:b/>
      <w:bCs/>
      <w:sz w:val="24"/>
      <w:szCs w:val="28"/>
      <w:lang w:val="es-ES" w:eastAsia="es-ES"/>
    </w:rPr>
  </w:style>
  <w:style w:type="character" w:customStyle="1" w:styleId="Ttulo5Car">
    <w:name w:val="Título 5 Car"/>
    <w:link w:val="Ttulo5"/>
    <w:rsid w:val="00E43983"/>
    <w:rPr>
      <w:rFonts w:ascii="Calibri" w:hAnsi="Calibri" w:cs="Calibri"/>
      <w:bCs/>
      <w:iCs/>
      <w:lang w:eastAsia="es-ES"/>
    </w:rPr>
  </w:style>
  <w:style w:type="character" w:customStyle="1" w:styleId="Ttulo6Car">
    <w:name w:val="Título 6 Car"/>
    <w:link w:val="Ttulo6"/>
    <w:rsid w:val="00E43983"/>
    <w:rPr>
      <w:b/>
      <w:bCs/>
      <w:sz w:val="22"/>
      <w:szCs w:val="22"/>
      <w:lang w:val="es-ES" w:eastAsia="es-ES"/>
    </w:rPr>
  </w:style>
  <w:style w:type="character" w:customStyle="1" w:styleId="Ttulo7Car">
    <w:name w:val="Título 7 Car"/>
    <w:link w:val="Ttulo7"/>
    <w:rsid w:val="00E43983"/>
    <w:rPr>
      <w:sz w:val="24"/>
      <w:szCs w:val="24"/>
      <w:lang w:val="es-ES" w:eastAsia="es-ES"/>
    </w:rPr>
  </w:style>
  <w:style w:type="character" w:customStyle="1" w:styleId="Ttulo8Car">
    <w:name w:val="Título 8 Car"/>
    <w:link w:val="Ttulo8"/>
    <w:rsid w:val="00E43983"/>
    <w:rPr>
      <w:i/>
      <w:iCs/>
      <w:sz w:val="24"/>
      <w:szCs w:val="24"/>
      <w:lang w:val="es-ES" w:eastAsia="es-ES"/>
    </w:rPr>
  </w:style>
  <w:style w:type="character" w:customStyle="1" w:styleId="Ttulo9Car">
    <w:name w:val="Título 9 Car"/>
    <w:link w:val="Ttulo9"/>
    <w:rsid w:val="00E43983"/>
    <w:rPr>
      <w:rFonts w:ascii="Arial" w:hAnsi="Arial"/>
      <w:sz w:val="22"/>
      <w:szCs w:val="22"/>
      <w:lang w:val="es-ES" w:eastAsia="es-ES"/>
    </w:rPr>
  </w:style>
  <w:style w:type="character" w:customStyle="1" w:styleId="Ttulo1Car">
    <w:name w:val="Título 1 Car"/>
    <w:link w:val="Ttulo1"/>
    <w:locked/>
    <w:rsid w:val="00E43983"/>
    <w:rPr>
      <w:rFonts w:cs="CG Palacio (WN)"/>
      <w:b/>
      <w:sz w:val="18"/>
      <w:szCs w:val="24"/>
      <w:lang w:val="es-ES" w:eastAsia="es-ES"/>
    </w:rPr>
  </w:style>
  <w:style w:type="character" w:customStyle="1" w:styleId="Ttulo2Car">
    <w:name w:val="Título 2 Car"/>
    <w:link w:val="Ttulo2"/>
    <w:locked/>
    <w:rsid w:val="00E43983"/>
    <w:rPr>
      <w:rFonts w:ascii="Arial" w:hAnsi="Arial" w:cs="Helv"/>
      <w:sz w:val="18"/>
      <w:lang w:val="es-ES_tradnl"/>
    </w:rPr>
  </w:style>
  <w:style w:type="paragraph" w:customStyle="1" w:styleId="texto0">
    <w:name w:val="texto"/>
    <w:basedOn w:val="Normal"/>
    <w:rsid w:val="00E43983"/>
    <w:pPr>
      <w:spacing w:after="101" w:line="216" w:lineRule="exact"/>
      <w:ind w:firstLine="288"/>
      <w:jc w:val="both"/>
    </w:pPr>
    <w:rPr>
      <w:rFonts w:ascii="Arial" w:hAnsi="Arial" w:cs="Arial"/>
      <w:sz w:val="18"/>
      <w:szCs w:val="18"/>
      <w:lang w:val="es-MX" w:eastAsia="es-MX"/>
    </w:rPr>
  </w:style>
  <w:style w:type="paragraph" w:styleId="NormalWeb">
    <w:name w:val="Normal (Web)"/>
    <w:basedOn w:val="Normal"/>
    <w:uiPriority w:val="99"/>
    <w:rsid w:val="00E43983"/>
    <w:pPr>
      <w:spacing w:before="100" w:after="100"/>
    </w:pPr>
    <w:rPr>
      <w:szCs w:val="20"/>
    </w:rPr>
  </w:style>
  <w:style w:type="paragraph" w:customStyle="1" w:styleId="Prrafodelista1">
    <w:name w:val="Párrafo de lista1"/>
    <w:basedOn w:val="Normal"/>
    <w:rsid w:val="00E43983"/>
    <w:pPr>
      <w:spacing w:after="200" w:line="276" w:lineRule="atLeast"/>
      <w:ind w:left="720"/>
    </w:pPr>
    <w:rPr>
      <w:rFonts w:ascii="Calibri" w:hAnsi="Calibri" w:cs="Calibri"/>
      <w:sz w:val="22"/>
      <w:szCs w:val="20"/>
      <w:lang w:val="es-MX"/>
    </w:rPr>
  </w:style>
  <w:style w:type="character" w:customStyle="1" w:styleId="EncabezadoCar">
    <w:name w:val="Encabezado Car"/>
    <w:link w:val="Encabezado"/>
    <w:locked/>
    <w:rsid w:val="00E43983"/>
    <w:rPr>
      <w:sz w:val="24"/>
      <w:szCs w:val="24"/>
      <w:lang w:val="es-ES" w:eastAsia="es-ES"/>
    </w:rPr>
  </w:style>
  <w:style w:type="paragraph" w:styleId="Textonotapie">
    <w:name w:val="footnote text"/>
    <w:basedOn w:val="Normal"/>
    <w:link w:val="TextonotapieCar"/>
    <w:uiPriority w:val="99"/>
    <w:rsid w:val="00E43983"/>
    <w:pPr>
      <w:spacing w:before="360" w:after="200"/>
    </w:pPr>
    <w:rPr>
      <w:rFonts w:ascii="Calibri" w:hAnsi="Calibri" w:cs="Calibri"/>
      <w:sz w:val="20"/>
      <w:szCs w:val="20"/>
      <w:lang w:val="es-AR"/>
    </w:rPr>
  </w:style>
  <w:style w:type="character" w:customStyle="1" w:styleId="TextonotapieCar">
    <w:name w:val="Texto nota pie Car"/>
    <w:link w:val="Textonotapie"/>
    <w:uiPriority w:val="99"/>
    <w:rsid w:val="00E43983"/>
    <w:rPr>
      <w:rFonts w:ascii="Calibri" w:hAnsi="Calibri" w:cs="Calibri"/>
      <w:lang w:val="es-AR" w:eastAsia="es-ES"/>
    </w:rPr>
  </w:style>
  <w:style w:type="paragraph" w:customStyle="1" w:styleId="Textonormal">
    <w:name w:val="Texto normal"/>
    <w:basedOn w:val="Normal"/>
    <w:rsid w:val="00E43983"/>
    <w:pPr>
      <w:jc w:val="both"/>
    </w:pPr>
    <w:rPr>
      <w:rFonts w:ascii="Arial" w:hAnsi="Arial" w:cs="Arial"/>
      <w:sz w:val="22"/>
      <w:szCs w:val="20"/>
    </w:rPr>
  </w:style>
  <w:style w:type="paragraph" w:styleId="Sangradetextonormal">
    <w:name w:val="Body Text Indent"/>
    <w:basedOn w:val="Normal"/>
    <w:link w:val="SangradetextonormalCar"/>
    <w:rsid w:val="00E43983"/>
    <w:pPr>
      <w:spacing w:before="360" w:after="200"/>
      <w:ind w:firstLine="708"/>
      <w:jc w:val="both"/>
    </w:pPr>
    <w:rPr>
      <w:rFonts w:ascii="Arial" w:hAnsi="Arial" w:cs="Arial"/>
      <w:sz w:val="22"/>
      <w:szCs w:val="20"/>
      <w:lang w:val="es-AR"/>
    </w:rPr>
  </w:style>
  <w:style w:type="character" w:customStyle="1" w:styleId="SangradetextonormalCar">
    <w:name w:val="Sangría de texto normal Car"/>
    <w:link w:val="Sangradetextonormal"/>
    <w:rsid w:val="00E43983"/>
    <w:rPr>
      <w:rFonts w:ascii="Arial" w:hAnsi="Arial" w:cs="Arial"/>
      <w:sz w:val="22"/>
      <w:lang w:val="es-AR" w:eastAsia="es-ES"/>
    </w:rPr>
  </w:style>
  <w:style w:type="paragraph" w:customStyle="1" w:styleId="arial">
    <w:name w:val="arial"/>
    <w:basedOn w:val="Normal"/>
    <w:rsid w:val="00E43983"/>
    <w:rPr>
      <w:b/>
      <w:szCs w:val="20"/>
    </w:rPr>
  </w:style>
  <w:style w:type="paragraph" w:customStyle="1" w:styleId="Modelo1">
    <w:name w:val="Modelo 1"/>
    <w:basedOn w:val="Normal"/>
    <w:rsid w:val="00E43983"/>
    <w:pPr>
      <w:tabs>
        <w:tab w:val="left" w:pos="792"/>
      </w:tabs>
      <w:spacing w:before="60" w:after="60"/>
      <w:ind w:left="792" w:hanging="432"/>
      <w:jc w:val="both"/>
    </w:pPr>
    <w:rPr>
      <w:rFonts w:ascii="Arial" w:hAnsi="Arial" w:cs="Arial"/>
      <w:b/>
      <w:sz w:val="22"/>
      <w:szCs w:val="20"/>
      <w:lang w:val="es-MX"/>
    </w:rPr>
  </w:style>
  <w:style w:type="paragraph" w:styleId="Mapadeldocumento">
    <w:name w:val="Document Map"/>
    <w:basedOn w:val="Normal"/>
    <w:link w:val="MapadeldocumentoCar"/>
    <w:rsid w:val="00E43983"/>
    <w:pPr>
      <w:shd w:val="clear" w:color="auto" w:fill="000080"/>
    </w:pPr>
    <w:rPr>
      <w:rFonts w:ascii="Tahoma" w:hAnsi="Tahoma" w:cs="Tahoma"/>
      <w:sz w:val="20"/>
      <w:szCs w:val="20"/>
    </w:rPr>
  </w:style>
  <w:style w:type="character" w:customStyle="1" w:styleId="MapadeldocumentoCar">
    <w:name w:val="Mapa del documento Car"/>
    <w:link w:val="Mapadeldocumento"/>
    <w:rsid w:val="00E43983"/>
    <w:rPr>
      <w:rFonts w:ascii="Tahoma" w:hAnsi="Tahoma" w:cs="Tahoma"/>
      <w:shd w:val="clear" w:color="auto" w:fill="000080"/>
      <w:lang w:val="es-ES" w:eastAsia="es-ES"/>
    </w:rPr>
  </w:style>
  <w:style w:type="table" w:styleId="Tablaconcuadrcula">
    <w:name w:val="Table Grid"/>
    <w:basedOn w:val="Tablanormal"/>
    <w:uiPriority w:val="59"/>
    <w:rsid w:val="00E4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uiPriority w:val="99"/>
    <w:rsid w:val="00E43983"/>
    <w:rPr>
      <w:vertAlign w:val="superscript"/>
    </w:rPr>
  </w:style>
  <w:style w:type="paragraph" w:styleId="Textodeglobo">
    <w:name w:val="Balloon Text"/>
    <w:basedOn w:val="Normal"/>
    <w:link w:val="TextodegloboCar"/>
    <w:rsid w:val="00E43983"/>
    <w:rPr>
      <w:rFonts w:ascii="Tahoma" w:hAnsi="Tahoma" w:cs="Tahoma"/>
      <w:sz w:val="16"/>
      <w:szCs w:val="16"/>
    </w:rPr>
  </w:style>
  <w:style w:type="character" w:customStyle="1" w:styleId="TextodegloboCar">
    <w:name w:val="Texto de globo Car"/>
    <w:link w:val="Textodeglobo"/>
    <w:rsid w:val="00E43983"/>
    <w:rPr>
      <w:rFonts w:ascii="Tahoma" w:hAnsi="Tahoma" w:cs="Tahoma"/>
      <w:sz w:val="16"/>
      <w:szCs w:val="16"/>
      <w:lang w:val="es-ES" w:eastAsia="es-ES"/>
    </w:rPr>
  </w:style>
  <w:style w:type="character" w:customStyle="1" w:styleId="apartados">
    <w:name w:val="apartados"/>
    <w:rsid w:val="00E43983"/>
    <w:rPr>
      <w:rFonts w:ascii="Maiandra GD" w:hAnsi="Maiandra GD"/>
      <w:b/>
      <w:sz w:val="24"/>
    </w:rPr>
  </w:style>
  <w:style w:type="character" w:styleId="Hipervnculo">
    <w:name w:val="Hyperlink"/>
    <w:rsid w:val="00E43983"/>
    <w:rPr>
      <w:rFonts w:cs="Times New Roman"/>
      <w:color w:val="0000FF"/>
      <w:u w:val="single"/>
    </w:rPr>
  </w:style>
  <w:style w:type="paragraph" w:customStyle="1" w:styleId="EstiloTtulo1Verdana">
    <w:name w:val="Estilo Título 1 + Verdana"/>
    <w:basedOn w:val="Ttulo1"/>
    <w:rsid w:val="00E43983"/>
    <w:pPr>
      <w:keepNext/>
      <w:pBdr>
        <w:bottom w:val="none" w:sz="0" w:space="0" w:color="auto"/>
        <w:between w:val="none" w:sz="0" w:space="0" w:color="auto"/>
      </w:pBdr>
      <w:tabs>
        <w:tab w:val="left" w:pos="993"/>
      </w:tabs>
      <w:spacing w:before="0"/>
      <w:ind w:left="993" w:hanging="993"/>
    </w:pPr>
    <w:rPr>
      <w:rFonts w:ascii="Calibri" w:hAnsi="Calibri" w:cs="Calibri"/>
      <w:bCs/>
      <w:smallCaps/>
      <w:kern w:val="32"/>
      <w:sz w:val="24"/>
      <w:szCs w:val="20"/>
      <w:lang w:val="es-MX"/>
    </w:rPr>
  </w:style>
  <w:style w:type="paragraph" w:customStyle="1" w:styleId="paper">
    <w:name w:val="paper"/>
    <w:basedOn w:val="Normal"/>
    <w:rsid w:val="00E43983"/>
    <w:pPr>
      <w:spacing w:before="120"/>
      <w:ind w:firstLine="720"/>
      <w:jc w:val="both"/>
    </w:pPr>
    <w:rPr>
      <w:rFonts w:ascii="Garamond" w:hAnsi="Garamond" w:cs="Arial"/>
      <w:sz w:val="22"/>
      <w:szCs w:val="20"/>
      <w:lang w:val="en-US" w:eastAsia="en-US"/>
    </w:rPr>
  </w:style>
  <w:style w:type="paragraph" w:styleId="Textocomentario">
    <w:name w:val="annotation text"/>
    <w:basedOn w:val="Normal"/>
    <w:link w:val="TextocomentarioCar"/>
    <w:rsid w:val="00E43983"/>
    <w:rPr>
      <w:rFonts w:ascii="Verdana" w:hAnsi="Verdana"/>
      <w:sz w:val="20"/>
      <w:szCs w:val="20"/>
    </w:rPr>
  </w:style>
  <w:style w:type="character" w:customStyle="1" w:styleId="TextocomentarioCar">
    <w:name w:val="Texto comentario Car"/>
    <w:link w:val="Textocomentario"/>
    <w:rsid w:val="00E43983"/>
    <w:rPr>
      <w:rFonts w:ascii="Verdana" w:hAnsi="Verdana"/>
      <w:lang w:val="es-ES" w:eastAsia="es-ES"/>
    </w:rPr>
  </w:style>
  <w:style w:type="paragraph" w:styleId="Asuntodelcomentario">
    <w:name w:val="annotation subject"/>
    <w:basedOn w:val="Textocomentario"/>
    <w:next w:val="Textocomentario"/>
    <w:link w:val="AsuntodelcomentarioCar"/>
    <w:rsid w:val="00E43983"/>
    <w:rPr>
      <w:b/>
      <w:bCs/>
    </w:rPr>
  </w:style>
  <w:style w:type="character" w:customStyle="1" w:styleId="AsuntodelcomentarioCar">
    <w:name w:val="Asunto del comentario Car"/>
    <w:link w:val="Asuntodelcomentario"/>
    <w:rsid w:val="00E43983"/>
    <w:rPr>
      <w:rFonts w:ascii="Verdana" w:hAnsi="Verdana"/>
      <w:b/>
      <w:bCs/>
      <w:lang w:val="es-ES" w:eastAsia="es-ES"/>
    </w:rPr>
  </w:style>
  <w:style w:type="character" w:styleId="Hipervnculovisitado">
    <w:name w:val="FollowedHyperlink"/>
    <w:rsid w:val="00E43983"/>
    <w:rPr>
      <w:rFonts w:cs="Times New Roman"/>
      <w:color w:val="800080"/>
      <w:u w:val="single"/>
    </w:rPr>
  </w:style>
  <w:style w:type="paragraph" w:customStyle="1" w:styleId="font5">
    <w:name w:val="font5"/>
    <w:basedOn w:val="Normal"/>
    <w:rsid w:val="00E43983"/>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E43983"/>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E439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66">
    <w:name w:val="xl66"/>
    <w:basedOn w:val="Normal"/>
    <w:rsid w:val="00E43983"/>
    <w:pPr>
      <w:pBdr>
        <w:top w:val="single" w:sz="4" w:space="0" w:color="auto"/>
        <w:bottom w:val="single" w:sz="4" w:space="0" w:color="auto"/>
        <w:right w:val="single" w:sz="8" w:space="0" w:color="auto"/>
      </w:pBdr>
      <w:spacing w:before="100" w:beforeAutospacing="1" w:after="100" w:afterAutospacing="1"/>
      <w:jc w:val="both"/>
      <w:textAlignment w:val="top"/>
    </w:pPr>
    <w:rPr>
      <w:rFonts w:ascii="Verdana" w:hAnsi="Verdana"/>
    </w:rPr>
  </w:style>
  <w:style w:type="paragraph" w:customStyle="1" w:styleId="xl67">
    <w:name w:val="xl67"/>
    <w:basedOn w:val="Normal"/>
    <w:rsid w:val="00E439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68">
    <w:name w:val="xl68"/>
    <w:basedOn w:val="Normal"/>
    <w:rsid w:val="00E43983"/>
    <w:pPr>
      <w:pBdr>
        <w:top w:val="single" w:sz="4" w:space="0" w:color="auto"/>
        <w:bottom w:val="single" w:sz="4" w:space="0" w:color="auto"/>
        <w:right w:val="single" w:sz="8" w:space="0" w:color="auto"/>
      </w:pBdr>
      <w:spacing w:before="100" w:beforeAutospacing="1" w:after="100" w:afterAutospacing="1"/>
      <w:jc w:val="both"/>
      <w:textAlignment w:val="top"/>
    </w:pPr>
    <w:rPr>
      <w:rFonts w:ascii="Verdana" w:hAnsi="Verdana"/>
    </w:rPr>
  </w:style>
  <w:style w:type="paragraph" w:customStyle="1" w:styleId="xl69">
    <w:name w:val="xl69"/>
    <w:basedOn w:val="Normal"/>
    <w:rsid w:val="00E439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70">
    <w:name w:val="xl70"/>
    <w:basedOn w:val="Normal"/>
    <w:rsid w:val="00E43983"/>
    <w:pPr>
      <w:pBdr>
        <w:top w:val="single" w:sz="4" w:space="0" w:color="auto"/>
        <w:bottom w:val="single" w:sz="4" w:space="0" w:color="auto"/>
      </w:pBdr>
      <w:spacing w:before="100" w:beforeAutospacing="1" w:after="100" w:afterAutospacing="1"/>
      <w:textAlignment w:val="top"/>
    </w:pPr>
    <w:rPr>
      <w:rFonts w:ascii="Verdana" w:hAnsi="Verdana"/>
    </w:rPr>
  </w:style>
  <w:style w:type="paragraph" w:customStyle="1" w:styleId="xl71">
    <w:name w:val="xl71"/>
    <w:basedOn w:val="Normal"/>
    <w:rsid w:val="00E439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72">
    <w:name w:val="xl72"/>
    <w:basedOn w:val="Normal"/>
    <w:rsid w:val="00E43983"/>
    <w:pPr>
      <w:pBdr>
        <w:top w:val="single" w:sz="4" w:space="0" w:color="auto"/>
        <w:bottom w:val="single" w:sz="4" w:space="0" w:color="auto"/>
      </w:pBdr>
      <w:spacing w:before="100" w:beforeAutospacing="1" w:after="100" w:afterAutospacing="1"/>
      <w:textAlignment w:val="top"/>
    </w:pPr>
    <w:rPr>
      <w:rFonts w:ascii="Verdana" w:hAnsi="Verdana"/>
    </w:rPr>
  </w:style>
  <w:style w:type="paragraph" w:customStyle="1" w:styleId="xl73">
    <w:name w:val="xl73"/>
    <w:basedOn w:val="Normal"/>
    <w:rsid w:val="00E43983"/>
    <w:pPr>
      <w:pBdr>
        <w:top w:val="single" w:sz="4" w:space="0" w:color="auto"/>
        <w:left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74">
    <w:name w:val="xl74"/>
    <w:basedOn w:val="Normal"/>
    <w:rsid w:val="00E43983"/>
    <w:pPr>
      <w:pBdr>
        <w:top w:val="single" w:sz="4" w:space="0" w:color="auto"/>
      </w:pBdr>
      <w:spacing w:before="100" w:beforeAutospacing="1" w:after="100" w:afterAutospacing="1"/>
      <w:textAlignment w:val="top"/>
    </w:pPr>
    <w:rPr>
      <w:rFonts w:ascii="Verdana" w:hAnsi="Verdana"/>
    </w:rPr>
  </w:style>
  <w:style w:type="paragraph" w:customStyle="1" w:styleId="xl75">
    <w:name w:val="xl75"/>
    <w:basedOn w:val="Normal"/>
    <w:rsid w:val="00E43983"/>
    <w:pPr>
      <w:pBdr>
        <w:top w:val="single" w:sz="4" w:space="0" w:color="auto"/>
        <w:left w:val="single" w:sz="4" w:space="0" w:color="auto"/>
        <w:right w:val="single" w:sz="4" w:space="0" w:color="auto"/>
      </w:pBdr>
      <w:spacing w:before="100" w:beforeAutospacing="1" w:after="100" w:afterAutospacing="1"/>
      <w:textAlignment w:val="top"/>
    </w:pPr>
    <w:rPr>
      <w:rFonts w:ascii="Verdana" w:hAnsi="Verdana"/>
    </w:rPr>
  </w:style>
  <w:style w:type="paragraph" w:customStyle="1" w:styleId="xl76">
    <w:name w:val="xl76"/>
    <w:basedOn w:val="Normal"/>
    <w:rsid w:val="00E43983"/>
    <w:pPr>
      <w:pBdr>
        <w:top w:val="single" w:sz="4" w:space="0" w:color="auto"/>
        <w:right w:val="single" w:sz="8" w:space="0" w:color="auto"/>
      </w:pBdr>
      <w:spacing w:before="100" w:beforeAutospacing="1" w:after="100" w:afterAutospacing="1"/>
      <w:jc w:val="both"/>
      <w:textAlignment w:val="top"/>
    </w:pPr>
    <w:rPr>
      <w:rFonts w:ascii="Verdana" w:hAnsi="Verdana"/>
    </w:rPr>
  </w:style>
  <w:style w:type="paragraph" w:customStyle="1" w:styleId="xl77">
    <w:name w:val="xl77"/>
    <w:basedOn w:val="Normal"/>
    <w:rsid w:val="00E439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rPr>
  </w:style>
  <w:style w:type="character" w:styleId="nfasis">
    <w:name w:val="Emphasis"/>
    <w:qFormat/>
    <w:rsid w:val="00E43983"/>
    <w:rPr>
      <w:rFonts w:cs="Times New Roman"/>
      <w:i/>
    </w:rPr>
  </w:style>
  <w:style w:type="paragraph" w:styleId="Subttulo">
    <w:name w:val="Subtitle"/>
    <w:basedOn w:val="Normal"/>
    <w:next w:val="Normal"/>
    <w:link w:val="SubttuloCar"/>
    <w:qFormat/>
    <w:rsid w:val="00E43983"/>
    <w:pPr>
      <w:spacing w:after="60"/>
      <w:jc w:val="center"/>
      <w:outlineLvl w:val="1"/>
    </w:pPr>
    <w:rPr>
      <w:rFonts w:ascii="Cambria" w:hAnsi="Cambria"/>
    </w:rPr>
  </w:style>
  <w:style w:type="character" w:customStyle="1" w:styleId="SubttuloCar">
    <w:name w:val="Subtítulo Car"/>
    <w:link w:val="Subttulo"/>
    <w:rsid w:val="00E43983"/>
    <w:rPr>
      <w:rFonts w:ascii="Cambria" w:hAnsi="Cambria"/>
      <w:sz w:val="24"/>
      <w:szCs w:val="24"/>
      <w:lang w:val="es-ES" w:eastAsia="es-ES"/>
    </w:rPr>
  </w:style>
  <w:style w:type="character" w:styleId="Textoennegrita">
    <w:name w:val="Strong"/>
    <w:qFormat/>
    <w:rsid w:val="00E43983"/>
    <w:rPr>
      <w:rFonts w:cs="Times New Roman"/>
      <w:b/>
    </w:rPr>
  </w:style>
  <w:style w:type="paragraph" w:styleId="Ttulo">
    <w:name w:val="Title"/>
    <w:basedOn w:val="Normal"/>
    <w:next w:val="Normal"/>
    <w:link w:val="TtuloCar"/>
    <w:qFormat/>
    <w:rsid w:val="00E43983"/>
    <w:pPr>
      <w:spacing w:before="240" w:after="60"/>
      <w:jc w:val="center"/>
      <w:outlineLvl w:val="0"/>
    </w:pPr>
    <w:rPr>
      <w:rFonts w:ascii="Cambria" w:hAnsi="Cambria"/>
      <w:b/>
      <w:bCs/>
      <w:kern w:val="28"/>
      <w:sz w:val="32"/>
      <w:szCs w:val="32"/>
    </w:rPr>
  </w:style>
  <w:style w:type="character" w:customStyle="1" w:styleId="TtuloCar">
    <w:name w:val="Título Car"/>
    <w:link w:val="Ttulo"/>
    <w:rsid w:val="00E43983"/>
    <w:rPr>
      <w:rFonts w:ascii="Cambria" w:hAnsi="Cambria"/>
      <w:b/>
      <w:bCs/>
      <w:kern w:val="28"/>
      <w:sz w:val="32"/>
      <w:szCs w:val="32"/>
      <w:lang w:val="es-ES" w:eastAsia="es-ES"/>
    </w:rPr>
  </w:style>
  <w:style w:type="paragraph" w:customStyle="1" w:styleId="rom">
    <w:name w:val="rom"/>
    <w:basedOn w:val="Texto"/>
    <w:rsid w:val="00E43983"/>
    <w:pPr>
      <w:ind w:left="1080" w:hanging="792"/>
    </w:pPr>
    <w:rPr>
      <w:b/>
    </w:rPr>
  </w:style>
  <w:style w:type="paragraph" w:customStyle="1" w:styleId="Sumario">
    <w:name w:val="Sumario"/>
    <w:basedOn w:val="Normal"/>
    <w:rsid w:val="00E43983"/>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E43983"/>
    <w:pPr>
      <w:tabs>
        <w:tab w:val="right" w:leader="dot" w:pos="8100"/>
        <w:tab w:val="right" w:pos="8640"/>
      </w:tabs>
      <w:spacing w:line="334" w:lineRule="exact"/>
      <w:ind w:left="274" w:right="749"/>
      <w:jc w:val="both"/>
    </w:pPr>
    <w:rPr>
      <w:b/>
      <w:sz w:val="20"/>
      <w:szCs w:val="20"/>
      <w:u w:val="single"/>
      <w:lang w:val="es-ES_tradnl"/>
    </w:rPr>
  </w:style>
  <w:style w:type="paragraph" w:styleId="Textonotaalfinal">
    <w:name w:val="endnote text"/>
    <w:basedOn w:val="Normal"/>
    <w:link w:val="TextonotaalfinalCar"/>
    <w:rsid w:val="00E43983"/>
    <w:rPr>
      <w:sz w:val="20"/>
      <w:szCs w:val="20"/>
    </w:rPr>
  </w:style>
  <w:style w:type="character" w:customStyle="1" w:styleId="TextonotaalfinalCar">
    <w:name w:val="Texto nota al final Car"/>
    <w:link w:val="Textonotaalfinal"/>
    <w:rsid w:val="00E43983"/>
    <w:rPr>
      <w:lang w:val="es-ES" w:eastAsia="es-ES"/>
    </w:rPr>
  </w:style>
  <w:style w:type="character" w:styleId="Refdenotaalfinal">
    <w:name w:val="endnote reference"/>
    <w:rsid w:val="00E43983"/>
    <w:rPr>
      <w:vertAlign w:val="superscript"/>
    </w:rPr>
  </w:style>
  <w:style w:type="character" w:styleId="Refdecomentario">
    <w:name w:val="annotation reference"/>
    <w:rsid w:val="00E43983"/>
    <w:rPr>
      <w:sz w:val="16"/>
      <w:szCs w:val="16"/>
    </w:rPr>
  </w:style>
  <w:style w:type="paragraph" w:styleId="Revisin">
    <w:name w:val="Revision"/>
    <w:hidden/>
    <w:uiPriority w:val="99"/>
    <w:semiHidden/>
    <w:rsid w:val="00E43983"/>
    <w:rPr>
      <w:sz w:val="24"/>
      <w:szCs w:val="24"/>
      <w:lang w:val="es-ES" w:eastAsia="es-ES"/>
    </w:rPr>
  </w:style>
  <w:style w:type="paragraph" w:customStyle="1" w:styleId="Default">
    <w:name w:val="Default"/>
    <w:rsid w:val="00175E2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ende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31A6-209D-49B6-B331-DB5571BA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emplate>
  <TotalTime>22</TotalTime>
  <Pages>11</Pages>
  <Words>5979</Words>
  <Characters>34585</Characters>
  <Application>Microsoft Office Word</Application>
  <DocSecurity>0</DocSecurity>
  <Lines>288</Lines>
  <Paragraphs>80</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40484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Unidad de Contabilidad Gubernamental</cp:lastModifiedBy>
  <cp:revision>5</cp:revision>
  <cp:lastPrinted>2023-08-10T00:48:00Z</cp:lastPrinted>
  <dcterms:created xsi:type="dcterms:W3CDTF">2023-08-10T16:49:00Z</dcterms:created>
  <dcterms:modified xsi:type="dcterms:W3CDTF">2023-08-11T17:53:00Z</dcterms:modified>
</cp:coreProperties>
</file>