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EE14" w14:textId="77777777" w:rsidR="00F5396A" w:rsidRDefault="00CA5006">
      <w:pPr>
        <w:spacing w:after="40" w:line="360" w:lineRule="exact"/>
        <w:jc w:val="center"/>
      </w:pPr>
      <w:r>
        <w:rPr>
          <w:b/>
        </w:rPr>
        <w:t>Poder Judicial de la Nación</w:t>
      </w:r>
    </w:p>
    <w:p w14:paraId="662B5D0A" w14:textId="77777777" w:rsidR="00F5396A" w:rsidRDefault="00CA5006">
      <w:pPr>
        <w:spacing w:line="360" w:lineRule="exact"/>
        <w:jc w:val="center"/>
      </w:pPr>
      <w:r>
        <w:rPr>
          <w:b/>
        </w:rPr>
        <w:t>JUZGADO FEDERAL DE SALTA 2</w:t>
      </w:r>
    </w:p>
    <w:p w14:paraId="289D386D" w14:textId="52449AEF" w:rsidR="00F5396A" w:rsidRDefault="00CA5006" w:rsidP="00D25D6C">
      <w:pPr>
        <w:spacing w:after="120" w:line="360" w:lineRule="exact"/>
      </w:pPr>
      <w:r>
        <w:t xml:space="preserve">Salta, </w:t>
      </w:r>
      <w:proofErr w:type="gramStart"/>
      <w:r>
        <w:t xml:space="preserve">{{ </w:t>
      </w:r>
      <w:proofErr w:type="spellStart"/>
      <w:r>
        <w:t>fecha</w:t>
      </w:r>
      <w:proofErr w:type="gramEnd"/>
      <w:r>
        <w:t>_</w:t>
      </w:r>
      <w:proofErr w:type="gramStart"/>
      <w:r>
        <w:t>sentencia</w:t>
      </w:r>
      <w:proofErr w:type="spellEnd"/>
      <w:r>
        <w:t xml:space="preserve"> }</w:t>
      </w:r>
      <w:proofErr w:type="gramEnd"/>
      <w:r>
        <w:t>}.</w:t>
      </w:r>
    </w:p>
    <w:p w14:paraId="3E7667F9" w14:textId="77777777" w:rsidR="00D25D6C" w:rsidRDefault="00D25D6C" w:rsidP="00D25D6C">
      <w:pPr>
        <w:spacing w:after="120" w:line="360" w:lineRule="exact"/>
      </w:pPr>
    </w:p>
    <w:p w14:paraId="328A87BD" w14:textId="77777777" w:rsidR="00F5396A" w:rsidRDefault="00CA5006" w:rsidP="00D25D6C">
      <w:pPr>
        <w:spacing w:line="360" w:lineRule="exact"/>
        <w:ind w:firstLine="720"/>
        <w:jc w:val="both"/>
      </w:pPr>
      <w:r>
        <w:t xml:space="preserve">AUTOS Y VISTOS para dictar sentencia en este Expte. N° </w:t>
      </w:r>
      <w:proofErr w:type="gramStart"/>
      <w:r>
        <w:t>{{</w:t>
      </w:r>
      <w:r>
        <w:t xml:space="preserve"> </w:t>
      </w:r>
      <w:proofErr w:type="spellStart"/>
      <w:r>
        <w:t>numero</w:t>
      </w:r>
      <w:proofErr w:type="gramEnd"/>
      <w:r>
        <w:t>_</w:t>
      </w:r>
      <w:proofErr w:type="gramStart"/>
      <w:r>
        <w:t>expte</w:t>
      </w:r>
      <w:proofErr w:type="spellEnd"/>
      <w:r>
        <w:t xml:space="preserve"> }</w:t>
      </w:r>
      <w:proofErr w:type="gramEnd"/>
      <w:r>
        <w:t xml:space="preserve">} </w:t>
      </w:r>
      <w:proofErr w:type="spellStart"/>
      <w:r>
        <w:t>caratulado</w:t>
      </w:r>
      <w:proofErr w:type="spellEnd"/>
      <w:r>
        <w:t xml:space="preserve"> "</w:t>
      </w:r>
      <w:proofErr w:type="gramStart"/>
      <w:r>
        <w:t xml:space="preserve">{{ </w:t>
      </w:r>
      <w:proofErr w:type="spellStart"/>
      <w:r>
        <w:t>nombre</w:t>
      </w:r>
      <w:proofErr w:type="gramEnd"/>
      <w:r>
        <w:t>_</w:t>
      </w:r>
      <w:proofErr w:type="gramStart"/>
      <w:r>
        <w:t>caratula</w:t>
      </w:r>
      <w:proofErr w:type="spellEnd"/>
      <w:r>
        <w:t xml:space="preserve"> }}"</w:t>
      </w:r>
      <w:proofErr w:type="gramEnd"/>
      <w:r>
        <w:t xml:space="preserve">, del </w:t>
      </w:r>
      <w:proofErr w:type="spellStart"/>
      <w:r>
        <w:t>que</w:t>
      </w:r>
      <w:proofErr w:type="spellEnd"/>
    </w:p>
    <w:p w14:paraId="078624D9" w14:textId="77777777" w:rsidR="00F5396A" w:rsidRDefault="00CA5006" w:rsidP="00A65990">
      <w:pPr>
        <w:spacing w:before="120" w:after="160" w:line="360" w:lineRule="exact"/>
      </w:pPr>
      <w:r>
        <w:rPr>
          <w:b/>
        </w:rPr>
        <w:t>RESULTA:</w:t>
      </w:r>
    </w:p>
    <w:p w14:paraId="40403B60" w14:textId="77777777" w:rsidR="00F5396A" w:rsidRDefault="00CA5006">
      <w:pPr>
        <w:spacing w:after="80" w:line="360" w:lineRule="exact"/>
        <w:jc w:val="both"/>
      </w:pPr>
      <w:r>
        <w:t>I.- Que la parte actora, a través de su representante, dedujo demanda en contra de la Administración Nacional de la Seguridad Social, solicitando una nueva determinación del haber de origen del beneficio previsional que percibe, más el pago de retroactivos e intereses y costas. En abono de su pretensión manifestó:</w:t>
      </w:r>
    </w:p>
    <w:p w14:paraId="7B32A198" w14:textId="77777777" w:rsidR="00F5396A" w:rsidRDefault="00CA5006">
      <w:pPr>
        <w:spacing w:after="160" w:line="360" w:lineRule="exact"/>
        <w:ind w:firstLine="567"/>
        <w:jc w:val="both"/>
      </w:pPr>
      <w:r>
        <w:t>{{ minuta_actor }}</w:t>
      </w:r>
    </w:p>
    <w:p w14:paraId="606E4E9C" w14:textId="77777777" w:rsidR="00F5396A" w:rsidRDefault="00CA5006">
      <w:pPr>
        <w:spacing w:after="80" w:line="360" w:lineRule="exact"/>
        <w:jc w:val="both"/>
      </w:pPr>
      <w:r>
        <w:t>II.- Que la Administración Nacional de la Seguridad Social, a través de su representante legal, planteó la prescripción de la acción en los términos del art. 168 de la ley 24.241 y art. 82 de la ley 18.037, realizó una negativa general de los hechos y derecho invocados en la demanda, y ensayó una explicación del modo de calcular las prestaciones. En concreto:</w:t>
      </w:r>
    </w:p>
    <w:p w14:paraId="02CAA366" w14:textId="77777777" w:rsidR="00F5396A" w:rsidRDefault="00CA5006">
      <w:pPr>
        <w:spacing w:after="160" w:line="360" w:lineRule="exact"/>
        <w:ind w:firstLine="567"/>
        <w:jc w:val="both"/>
      </w:pPr>
      <w:r>
        <w:t>{{ minuta_anses }}</w:t>
      </w:r>
    </w:p>
    <w:p w14:paraId="32EB22AC" w14:textId="77777777" w:rsidR="00F5396A" w:rsidRDefault="00CA5006">
      <w:pPr>
        <w:spacing w:after="120" w:line="360" w:lineRule="auto"/>
        <w:jc w:val="both"/>
      </w:pPr>
      <w:r>
        <w:rPr>
          <w:sz w:val="2"/>
        </w:rPr>
        <w:t>{%p if cp_dictamen_fiscal %}</w:t>
      </w:r>
    </w:p>
    <w:p w14:paraId="019DF72F" w14:textId="77777777" w:rsidR="00F5396A" w:rsidRDefault="00CA5006">
      <w:pPr>
        <w:spacing w:after="120" w:line="360" w:lineRule="auto"/>
        <w:jc w:val="both"/>
      </w:pPr>
      <w:r>
        <w:t>III.- Que se corrió vista al Sr. Fiscal Federal, quien se pronunció en favor de la procedencia parcial de la demanda, dictaminando en favor de la pretensión.</w:t>
      </w:r>
    </w:p>
    <w:p w14:paraId="24207043" w14:textId="77777777" w:rsidR="00F5396A" w:rsidRDefault="00CA5006">
      <w:pPr>
        <w:spacing w:after="120" w:line="360" w:lineRule="auto"/>
        <w:jc w:val="both"/>
      </w:pPr>
      <w:r>
        <w:rPr>
          <w:sz w:val="2"/>
        </w:rPr>
        <w:t>{%p endif %}</w:t>
      </w:r>
    </w:p>
    <w:p w14:paraId="0B7F77F0" w14:textId="77777777" w:rsidR="00F5396A" w:rsidRDefault="00CA5006">
      <w:pPr>
        <w:spacing w:line="360" w:lineRule="exact"/>
        <w:jc w:val="both"/>
      </w:pPr>
      <w:r>
        <w:t>Finalmente, se llamaron autos para dictar sentencia; y</w:t>
      </w:r>
    </w:p>
    <w:p w14:paraId="3428D6A4" w14:textId="77777777" w:rsidR="00F5396A" w:rsidRDefault="00CA5006" w:rsidP="00A65990">
      <w:pPr>
        <w:spacing w:before="120" w:after="160" w:line="360" w:lineRule="exact"/>
      </w:pPr>
      <w:r>
        <w:rPr>
          <w:b/>
        </w:rPr>
        <w:t>CONSIDERANDO:</w:t>
      </w:r>
    </w:p>
    <w:p w14:paraId="1DBF265D" w14:textId="77777777" w:rsidR="00F5396A" w:rsidRDefault="00CA5006">
      <w:pPr>
        <w:spacing w:after="120" w:line="360" w:lineRule="exact"/>
        <w:jc w:val="both"/>
      </w:pPr>
      <w:r>
        <w:t>I.- Que tal como se ha sostenido en diversos precedentes, en el análisis y resolución de las controversias relacionadas con beneficios de carácter alimentario como el presente, no debe perderse de vista que, entre los principios fundamentales del derecho laboral y previsional, tiene vital importancia el protectorio, abarcador de distintas normas legales en particular, y criterio de interpretación del caso concreto. Así, es en base a la regla mencionada que deberán interpretarse las soluciones a las que se a</w:t>
      </w:r>
      <w:r>
        <w:t>rriben, con una apreciación de la prueba colectada que la valore con un carácter de amplitud, evitando a toda costa un excesivo rigorismo formal, y estando siempre a lo que sea más favorable a la persona involucrada.</w:t>
      </w:r>
    </w:p>
    <w:p w14:paraId="492F7246" w14:textId="77777777" w:rsidR="00F5396A" w:rsidRDefault="00CA5006">
      <w:pPr>
        <w:spacing w:line="360" w:lineRule="exact"/>
        <w:jc w:val="both"/>
      </w:pPr>
      <w:r>
        <w:lastRenderedPageBreak/>
        <w:t>En este sentido, la Corte Suprema de Justicia de la Nación ha dicho que "teniendo la seguridad social como cometido propio la cobertura integral de las consecuencias producidas por las contingencias sociales, el apego excesivo al texto de las normas sin apreciar las circunstancias particulares de cada caso, no se aviene con la cautela con que los jueces deben juzgar las peticiones vinculadas con la materia previsional" (Fallos: 313:79).</w:t>
      </w:r>
    </w:p>
    <w:p w14:paraId="3C3FB744" w14:textId="77777777" w:rsidR="00F5396A" w:rsidRDefault="00CA5006">
      <w:pPr>
        <w:spacing w:after="120" w:line="360" w:lineRule="exact"/>
        <w:jc w:val="both"/>
      </w:pPr>
      <w:r>
        <w:t>II.- Que según surge de las constancias de autos la parte actora accedió a su beneficio previsional N° {{ numero_beneficio }}, bajo el amparo de la ley 24.241, con fecha de adquisición del derecho al {{ fecha_adquisicion }}, la que comprende la Prestación Básica Universal (PBU) y la Prestación Compensatoria (PC).</w:t>
      </w:r>
    </w:p>
    <w:p w14:paraId="736686F7" w14:textId="77777777" w:rsidR="00F5396A" w:rsidRDefault="00CA5006">
      <w:pPr>
        <w:spacing w:after="0" w:line="20" w:lineRule="exact"/>
      </w:pPr>
      <w:r>
        <w:rPr>
          <w:sz w:val="2"/>
        </w:rPr>
        <w:t>{%p if cp_error_material %}</w:t>
      </w:r>
    </w:p>
    <w:p w14:paraId="3F5494B6" w14:textId="77777777" w:rsidR="00F5396A" w:rsidRDefault="00CA5006">
      <w:pPr>
        <w:spacing w:after="120" w:line="360" w:lineRule="exact"/>
        <w:jc w:val="both"/>
      </w:pPr>
      <w:r>
        <w:t>Que en cuanto al error material en las remuneraciones denunciado por la parte actora, se observa que resulta evidente y fácilmente comprobable a partir de la certificación de servicios acompañada, la que difiere notablemente de los montos consignados por la ANSeS en el cálculo del haber inicial.</w:t>
      </w:r>
    </w:p>
    <w:p w14:paraId="2AD9E202" w14:textId="77777777" w:rsidR="00F5396A" w:rsidRDefault="00CA5006">
      <w:pPr>
        <w:spacing w:after="120" w:line="360" w:lineRule="exact"/>
        <w:jc w:val="both"/>
      </w:pPr>
      <w:r>
        <w:t>En efecto, las remuneraciones que registra la parte actora para el período cuestionado distan totalmente de las consignadas por el organismo previsional, tal como se desprende de la documental obrante en autos.</w:t>
      </w:r>
    </w:p>
    <w:p w14:paraId="03C0430B" w14:textId="77777777" w:rsidR="00F5396A" w:rsidRDefault="00CA5006">
      <w:pPr>
        <w:spacing w:line="360" w:lineRule="exact"/>
        <w:jc w:val="both"/>
      </w:pPr>
      <w:r>
        <w:t>Por lo tanto, no caben dudas respecto al denunciado error material, el que se debe subsanar teniendo en cuenta que es doctrina de la Corte Suprema de Justicia de la Nación el deber de atender a las circunstancias existentes al momento de emitir el pronunciamiento (Fallos: 312:555 y 315:123, entre otros).</w:t>
      </w:r>
    </w:p>
    <w:p w14:paraId="01D8A816" w14:textId="77777777" w:rsidR="00F5396A" w:rsidRDefault="00CA5006">
      <w:pPr>
        <w:spacing w:after="0" w:line="20" w:lineRule="exact"/>
      </w:pPr>
      <w:r>
        <w:rPr>
          <w:sz w:val="2"/>
        </w:rPr>
        <w:t>{%p endif %}</w:t>
      </w:r>
    </w:p>
    <w:p w14:paraId="6FB4F21C" w14:textId="77777777" w:rsidR="00F5396A" w:rsidRDefault="00CA5006">
      <w:pPr>
        <w:spacing w:after="0" w:line="20" w:lineRule="exact"/>
      </w:pPr>
      <w:r>
        <w:rPr>
          <w:sz w:val="2"/>
        </w:rPr>
        <w:t>{%p if cp_reajuste_haberes or cp_pc %}</w:t>
      </w:r>
    </w:p>
    <w:p w14:paraId="0BB91D21" w14:textId="77777777" w:rsidR="00F5396A" w:rsidRDefault="00CA5006">
      <w:pPr>
        <w:spacing w:after="120" w:line="360" w:lineRule="exact"/>
        <w:jc w:val="both"/>
      </w:pPr>
      <w:r>
        <w:t xml:space="preserve">III.- Que una vez efectuadas las modificaciones señaladas en el considerando anterior deberán actualizarse las remuneraciones en base a la doctrina del Máximo Tribunal que surge del precedente "Elliff, Alberto" (Fallos: 332:1914), en el cual se ordenó la utilización del índice de los salarios básicos de la industria y la construcción –personal no calificado– escogido por la Resolución 140/95, sin limitación temporal. En consecuencia, las remuneraciones devengadas hasta el mensual febrero de 2009 inclusive, </w:t>
      </w:r>
      <w:r>
        <w:t>se ajustarán por el Índice de Salarios Básicos de la Industria y la Construcción (ISBIC) hasta dicha fecha y con el índice de la ley de movilidad, mientras que las posteriores lo harán por el art. 2 de la ley 26.417 y sus modificatorias, hasta la fecha de adquisición del derecho.</w:t>
      </w:r>
    </w:p>
    <w:p w14:paraId="579F3641" w14:textId="77777777" w:rsidR="00F5396A" w:rsidRDefault="00CA5006">
      <w:pPr>
        <w:spacing w:after="120" w:line="360" w:lineRule="exact"/>
        <w:jc w:val="both"/>
      </w:pPr>
      <w:r>
        <w:t xml:space="preserve">Que lo aquí dispuesto en torno al índice a aplicar no resulta modificado por lo dispuesto por la Resolución 56/18, motivo por el cual corresponde declarar inaplicable dicha resolución al caso concreto, toda vez que al pretender aplicarse retroactivamente a beneficios ya otorgados con </w:t>
      </w:r>
      <w:r>
        <w:lastRenderedPageBreak/>
        <w:t>anterioridad, resulta contraria a lo dispuesto por el Código Civil y Comercial de la Nación en su art. 7.</w:t>
      </w:r>
    </w:p>
    <w:p w14:paraId="11F14F75" w14:textId="77777777" w:rsidR="00F5396A" w:rsidRDefault="00CA5006">
      <w:pPr>
        <w:spacing w:after="120" w:line="360" w:lineRule="exact"/>
        <w:jc w:val="both"/>
      </w:pPr>
      <w:r>
        <w:t>Así lo resolvió la Cámara Federal de Apelaciones de Salta en los precedentes "García, Miguel c/ ANSeS s/ Reajustes Varios" y "Sánchez Ruiz, Jorge Alberto c/ ANSeS s/ Reajustes Varios", lo que concuerda con el criterio de la Corte Suprema en "Blanco, Lucio Orlando" (CSS 42272/2012, sentencia del 18 de diciembre de 2018), que confirmó la aplicación del precedente "Elliff" y declaró la inconstitucionalidad de las Resoluciones de ANSeS N° 56/2018 y de la Secretaría de Seguridad Social N° 1/2018.</w:t>
      </w:r>
    </w:p>
    <w:p w14:paraId="7181E7EF" w14:textId="77777777" w:rsidR="00F5396A" w:rsidRDefault="00CA5006">
      <w:pPr>
        <w:spacing w:after="120" w:line="360" w:lineRule="exact"/>
        <w:jc w:val="both"/>
      </w:pPr>
      <w:r>
        <w:t>Por lo tanto, atento a que las sentencias deben atender siempre a las circunstancias existentes al momento de su dictado (Fallos: 322:2953; 329:3644), corresponde aplicar los índices fijados en la Resolución 140/95, en base a la doctrina sentada por la Corte en el mencionado fallo "Elliff" hasta la fecha de adquisición del derecho, es decir, sin el límite temporal impuesto en dicha normativa.</w:t>
      </w:r>
    </w:p>
    <w:p w14:paraId="1FABB104" w14:textId="77777777" w:rsidR="00F5396A" w:rsidRDefault="00CA5006">
      <w:pPr>
        <w:spacing w:line="360" w:lineRule="exact"/>
        <w:jc w:val="both"/>
      </w:pPr>
      <w:r>
        <w:t>En caso de tratarse de un beneficio adquirido a partir de la entrada en vigencia de la ley 27.426, deberá estarse al índice combinado previsto en el art. 3, que sustituyera el art. 2 de la ley 26.417. Los importes que surgen del cálculo del haber inicial efectuado por el organismo previsional al momento de otorgar el beneficio, deberán ser considerados como parciales y a cuenta del mayor valor que surja de la aplicación de lo aquí dispuesto.</w:t>
      </w:r>
    </w:p>
    <w:p w14:paraId="18B29D3A" w14:textId="77777777" w:rsidR="00F5396A" w:rsidRDefault="00CA5006">
      <w:pPr>
        <w:spacing w:after="0" w:line="20" w:lineRule="exact"/>
      </w:pPr>
      <w:r>
        <w:rPr>
          <w:sz w:val="2"/>
        </w:rPr>
        <w:t>{%p endif %}</w:t>
      </w:r>
    </w:p>
    <w:p w14:paraId="17468B72" w14:textId="77777777" w:rsidR="00F5396A" w:rsidRDefault="00CA5006">
      <w:pPr>
        <w:spacing w:after="0" w:line="20" w:lineRule="exact"/>
      </w:pPr>
      <w:r>
        <w:rPr>
          <w:sz w:val="2"/>
        </w:rPr>
        <w:t>{%p if cp_movilidad %}</w:t>
      </w:r>
    </w:p>
    <w:p w14:paraId="086051EF" w14:textId="77777777" w:rsidR="00F5396A" w:rsidRDefault="00CA5006">
      <w:pPr>
        <w:spacing w:after="120" w:line="360" w:lineRule="exact"/>
        <w:jc w:val="both"/>
      </w:pPr>
      <w:r>
        <w:t>IV.- Que es dable resaltar que el Alto Tribunal tiene dicho que todo pronunciamiento judicial debe atender a las circunstancias existentes al momento de la decisión (Fallos: 310:112; 330:5064; 331:1869; 332:2497; 333:1474; entre muchos otros).</w:t>
      </w:r>
    </w:p>
    <w:p w14:paraId="7233F62B" w14:textId="77777777" w:rsidR="00F5396A" w:rsidRDefault="00CA5006">
      <w:pPr>
        <w:spacing w:after="120" w:line="360" w:lineRule="exact"/>
        <w:jc w:val="both"/>
      </w:pPr>
      <w:r>
        <w:t>Ello de ninguna manera importa incurrir en un exceso de jurisdicción, sino que, por el contrario, implica valorar en debida forma las pretensiones incoadas a la luz del derecho vigente al momento de sentenciar, encontrando también tal proceder su fundamento en los principios de celeridad y economía procesal.</w:t>
      </w:r>
    </w:p>
    <w:p w14:paraId="4E77C03D" w14:textId="77777777" w:rsidR="00F5396A" w:rsidRDefault="00CA5006">
      <w:pPr>
        <w:spacing w:after="120" w:line="360" w:lineRule="exact"/>
        <w:jc w:val="both"/>
      </w:pPr>
      <w:r>
        <w:t>Que en ese entendimiento, atento a la fecha de adquisición del derecho, corresponde que el haber de la parte actora sea calculado conforme a la movilidad dispuesta por la ley 27.426, sancionada el 18 de diciembre de 2017 y vigente desde el 29 de diciembre de ese mismo año, que establece que "la movilidad se basará en un setenta por ciento (70%) en las variaciones del Nivel General del Índice de Precios al Consumidor Nacional elaborado por el INDEC y en un treinta por ciento (30%) por el coeficiente que surj</w:t>
      </w:r>
      <w:r>
        <w:t>a de la variación de la Remuneración Imponible Promedio de los Trabajadores Estables (RIPTE)", aplicándose trimestralmente en los meses de marzo, junio, septiembre y diciembre de cada año calendario.</w:t>
      </w:r>
    </w:p>
    <w:p w14:paraId="6316BE4C" w14:textId="77777777" w:rsidR="00F5396A" w:rsidRDefault="00CA5006">
      <w:pPr>
        <w:spacing w:after="120" w:line="360" w:lineRule="exact"/>
        <w:jc w:val="both"/>
      </w:pPr>
      <w:r>
        <w:lastRenderedPageBreak/>
        <w:t>Ahora bien, el 23/12/19 se publicó en el B.O. la ley 27.541 que en su art. 1° declaró la emergencia pública previsional y dispuso la suspensión por el plazo de ciento ochenta (180) días de la aplicación de la movilidad fijada en el art. 32 de la ley 24.241, prorrogada hasta el 31 de diciembre de 2020 mediante Decreto de Necesidad y Urgencia N° 542/2020 de fecha 17.06.2020.</w:t>
      </w:r>
    </w:p>
    <w:p w14:paraId="7A8F5727" w14:textId="77777777" w:rsidR="00F5396A" w:rsidRDefault="00CA5006">
      <w:pPr>
        <w:spacing w:after="120" w:line="360" w:lineRule="exact"/>
        <w:jc w:val="both"/>
      </w:pPr>
      <w:r>
        <w:t>Respecto a la validez de la ley 27.541 y de los decretos dictados en consecuencia, corresponde estar a la doctrina sentada por la Cámara Federal de Apelaciones de Salta en fecha 13 de julio de 2020 en el precedente "Caliva, Roberto Daniel c/ ANSeS s/ Reajustes Varios" (Expte. N° FSA 1382/2016), en el que se entendió que las disposiciones relativas a la movilidad dispuestas a partir de la sanción de la ley 27.541 y sus decretos consecuentes no garantizaban por sí solas la sustitutividad del haber, disponiend</w:t>
      </w:r>
      <w:r>
        <w:t>o el reconocimiento de un piso mínimo de movilidad para el período de la suspensión, recurriendo al índice de la ley de alquileres N° 27.551.</w:t>
      </w:r>
    </w:p>
    <w:p w14:paraId="680F626F" w14:textId="77777777" w:rsidR="00F5396A" w:rsidRDefault="00CA5006">
      <w:pPr>
        <w:spacing w:after="120" w:line="360" w:lineRule="exact"/>
        <w:jc w:val="both"/>
      </w:pPr>
      <w:r>
        <w:t>En lo que respecta al importe correspondiente a la suma fija establecida mediante decreto 163/2020 como incremento general para todos los haberes previsionales a cargo de la ANSeS, se dispuso imputarlo específica y exclusivamente a la Prestación Básica Universal, componente con el que guarda una identificación sustantiva y teleológica.</w:t>
      </w:r>
    </w:p>
    <w:p w14:paraId="3140327D" w14:textId="77777777" w:rsidR="00F5396A" w:rsidRDefault="00CA5006">
      <w:pPr>
        <w:spacing w:after="120" w:line="360" w:lineRule="exact"/>
        <w:jc w:val="both"/>
      </w:pPr>
      <w:r>
        <w:t>A los fines de una adecuada comparación y eventual liquidación de los correspondientes retroactivos, en virtud del pronunciamiento de la Alzada en "Márquez, Reimundo c/ANSeS s/Reajustes Varios" (Expte. N° 18430/2016, sentencia del 26.11.2021), corresponde disponer que durante el tiempo de la suspensión examinada deberá efectuarse el cotejo teniendo en cuenta que en ese tiempo fueron liquidados cuatro incrementos en los mensuales de marzo, junio, septiembre y diciembre, con los siguientes pisos mínimos: para</w:t>
      </w:r>
      <w:r>
        <w:t xml:space="preserve"> el mensual marzo 2020: 10,79%; para el mensual junio 2020: 10,19%; para el mensual septiembre 2020: 11,08%; y para el mensual diciembre 2020: 10,84%.</w:t>
      </w:r>
    </w:p>
    <w:p w14:paraId="06DDAA0C" w14:textId="77777777" w:rsidR="00F5396A" w:rsidRDefault="00CA5006">
      <w:pPr>
        <w:spacing w:after="120" w:line="360" w:lineRule="exact"/>
        <w:jc w:val="both"/>
      </w:pPr>
      <w:r>
        <w:t>Por lo tanto, a partir de la sanción de la ley 27.541 corresponde estar a la aplicación de los aumentos dispuestos por el Poder Ejecutivo Nacional, con la salvedad de que la actualización de las prestaciones que integran el beneficio no sea inferior a las variaciones que registre el índice establecido por la ley 27.551, en base a los períodos y porcentajes consignados en el referido precedente "Márquez, Raimundo".</w:t>
      </w:r>
    </w:p>
    <w:p w14:paraId="00D15086" w14:textId="77777777" w:rsidR="00F5396A" w:rsidRDefault="00CA5006">
      <w:pPr>
        <w:spacing w:after="120" w:line="360" w:lineRule="exact"/>
        <w:jc w:val="both"/>
      </w:pPr>
      <w:r>
        <w:t>Ello, hasta la entrada en vigencia de la ley 27.609, publicada el 04/01/21, que sustituyó el art. 32 de la ley 24.241 y estableció una nueva movilidad trimestral de las prestaciones, cuya fórmula se encuentra integrada por la variación de los recursos tributarios por beneficio y por la variación de un índice combinado compuesto en partes iguales por el índice General de Salarios (IS) publicado por el INDEC y por la variación del RIPTE.</w:t>
      </w:r>
    </w:p>
    <w:p w14:paraId="790AE710" w14:textId="77777777" w:rsidR="00F5396A" w:rsidRDefault="00CA5006">
      <w:pPr>
        <w:spacing w:after="120" w:line="360" w:lineRule="exact"/>
        <w:jc w:val="both"/>
      </w:pPr>
      <w:r>
        <w:lastRenderedPageBreak/>
        <w:t>Atento al criterio sentado en fecha 5 de mayo de 2025 por la Sala II de la Cámara Federal de Apelaciones de Salta en los autos "Palavecino, José Rubén c/ ANSeS s/ Reajustes Varios" (Expte. N° 16057/2018), en donde se declarara la inconstitucionalidad de las pautas de movilidad instauradas por el art. 1° de la ley 27.609, el análisis del impacto de dicha fórmula en la evolución de los haberes de la parte actora deberá llevarse a cabo en los términos del referido precedente.</w:t>
      </w:r>
    </w:p>
    <w:p w14:paraId="324F4E78" w14:textId="77777777" w:rsidR="00F5396A" w:rsidRDefault="00CA5006">
      <w:pPr>
        <w:spacing w:line="360" w:lineRule="exact"/>
        <w:jc w:val="both"/>
      </w:pPr>
      <w:r>
        <w:t>Asimismo, cabe aclarar que actualmente se encuentra vigente el decreto DNU 274/2024 (BO 25/03/2024) que sustituyera el art. 32 de la ley 24.241, el que dispuso que los haberes se actualizarán mensualmente de acuerdo con las variaciones del Nivel General del Índice de Precios al Consumidor Nacional publicado por el INDEC, con primera actualización efectiva a partir del mes de julio de 2024. Por lo tanto, deberá estarse a los términos del mentado decreto.</w:t>
      </w:r>
    </w:p>
    <w:p w14:paraId="27822823" w14:textId="77777777" w:rsidR="00F5396A" w:rsidRDefault="00CA5006">
      <w:pPr>
        <w:spacing w:after="0" w:line="20" w:lineRule="exact"/>
      </w:pPr>
      <w:r>
        <w:rPr>
          <w:sz w:val="2"/>
        </w:rPr>
        <w:t>{%p endif %}</w:t>
      </w:r>
    </w:p>
    <w:p w14:paraId="474A98B0" w14:textId="77777777" w:rsidR="00F5396A" w:rsidRDefault="00CA5006">
      <w:pPr>
        <w:spacing w:after="0" w:line="20" w:lineRule="exact"/>
      </w:pPr>
      <w:r>
        <w:rPr>
          <w:sz w:val="2"/>
        </w:rPr>
        <w:t>{%p if cp_pbu %}</w:t>
      </w:r>
    </w:p>
    <w:p w14:paraId="13D066D7" w14:textId="77777777" w:rsidR="00F5396A" w:rsidRDefault="00CA5006">
      <w:pPr>
        <w:spacing w:after="120" w:line="360" w:lineRule="exact"/>
        <w:jc w:val="both"/>
      </w:pPr>
      <w:r>
        <w:t>V.- A) Que en relación a la pretensión de la parte actora en cuanto a la actualización de la Prestación Básica Universal (PBU) regulada por los artículos 19 y 20 de la ley 24.241, cabe destacar que la PBU quedó congelada desde el 01/04/97 hasta el 28/02/09 al ser el MOPRE sustituido por un valor fijo que no fue actualizado. En este punto es dable destacar que de la doctrina sentada por la Corte en el precedente "Quiroga" se desprende que la totalidad del haber inicial resulta revisable.</w:t>
      </w:r>
    </w:p>
    <w:p w14:paraId="3D0603D9" w14:textId="77777777" w:rsidR="00F5396A" w:rsidRDefault="00CA5006">
      <w:pPr>
        <w:spacing w:after="120" w:line="360" w:lineRule="exact"/>
        <w:jc w:val="both"/>
      </w:pPr>
      <w:r>
        <w:t>En tal entendimiento, aun tratándose la PBU de una suma fija para todo el universo pasivo, en la medida en que se demuestre que la falta de actualización del AMPO/MOPRE originario sobre el cual se determina la suma fija prevista en el art. 4 de la ley 26.417 implique una quita que resulte confiscatoria, corresponde diferir para el momento de determinarse las sumas de condena la demostración de la eventual confiscatoriedad de la merma en relación a toda la prestación.</w:t>
      </w:r>
    </w:p>
    <w:p w14:paraId="2ACE6916" w14:textId="77777777" w:rsidR="00F5396A" w:rsidRDefault="00CA5006">
      <w:pPr>
        <w:spacing w:after="120" w:line="360" w:lineRule="exact"/>
        <w:jc w:val="both"/>
      </w:pPr>
      <w:r>
        <w:t>B) Que en cuanto al índice a utilizar a los efectos de la demostración de la confiscatoriedad, la cuestión fue definida por la Sala II de la Cámara Federal de Apelaciones de Salta en las causas "Aguado, Nélida del Carmen c/ANSeS s/Reajustes Varios" y "Fernández, Gladis Inés c/ANSeS s/ Reajuste de Haberes", en las que se estableció que para actualizar los módulos que permiten determinar la PBU deberá utilizarse el mismo índice empleado para repotenciar los salarios percibidos por la actora, esto es, el ISBIC</w:t>
      </w:r>
      <w:r>
        <w:t xml:space="preserve"> hasta el 28/02/2009 y a partir de marzo de 2009 el índice combinado al que remite el art. 2 de la ley 26.417.</w:t>
      </w:r>
    </w:p>
    <w:p w14:paraId="4BA22EE2" w14:textId="77777777" w:rsidR="00F5396A" w:rsidRDefault="00CA5006">
      <w:pPr>
        <w:spacing w:line="360" w:lineRule="exact"/>
        <w:jc w:val="both"/>
      </w:pPr>
      <w:r>
        <w:t xml:space="preserve">C) Que sentado lo anterior, resta determinar el método para establecer si el nivel de quita resulta confiscatorio. Para ello se deberán seguir tres pasos: a) Establecer la Merma (M = PBUR – PBUO); b) Establecer la Incidencia Porcentual (IP = M x 100 / (PBU+PC+PAP)); c) Cotejar si esa incidencia porcentual supera el 15% que la CSJN ha considerado como afectación máxima </w:t>
      </w:r>
      <w:r>
        <w:lastRenderedPageBreak/>
        <w:t>tolerable (IP ≥ 15%). El Reajuste de la Prestación se calculará como RP = M / IP x NQC, y el nuevo valor de la PBU resultará: NPBU = RP + PBUO.</w:t>
      </w:r>
    </w:p>
    <w:p w14:paraId="27ED6F4B" w14:textId="77777777" w:rsidR="00F5396A" w:rsidRDefault="00CA5006">
      <w:pPr>
        <w:spacing w:after="0" w:line="20" w:lineRule="exact"/>
      </w:pPr>
      <w:r>
        <w:rPr>
          <w:sz w:val="2"/>
        </w:rPr>
        <w:t>{%p endif %}</w:t>
      </w:r>
    </w:p>
    <w:p w14:paraId="5AD345E5" w14:textId="77777777" w:rsidR="00F5396A" w:rsidRDefault="00CA5006">
      <w:pPr>
        <w:spacing w:line="360" w:lineRule="exact"/>
        <w:jc w:val="both"/>
      </w:pPr>
      <w:r>
        <w:t>VI.- Que cabe introducirse en el análisis de lo solicitado por la parte actora respecto a que se condene a la demandada a abonar un suplemento de sustitutividad. Al respecto, resulta de aplicación lo resuelto por la Corte Suprema de Justicia de la Nación el 12 de junio de 2018 en el precedente "Benoist, Gilberto" en cuanto dejó establecido que "no resulta necesaria la existencia de un porcentual para calcular el monto del beneficio, sino que este surge del empleo de las normas que regulan sus distintos comp</w:t>
      </w:r>
      <w:r>
        <w:t>onentes. De tal modo, el régimen vigente no se basa en una tasa de sustitución expresa y aplicable a todos los beneficiarios, sino que esa relación entre ingresos y prestaciones surge implícita de los cálculos realizados y varía según la cantidad de servicios con aportes que hubiere acreditado cada peticionario y del nivel de las remuneraciones percibidas" (Considerando 8°). Desde tal perspectiva, corresponde rechazar la pretensión introducida en la demanda para que se establezca una tasa de sustitución.</w:t>
      </w:r>
    </w:p>
    <w:p w14:paraId="762D3E20" w14:textId="77777777" w:rsidR="00F5396A" w:rsidRDefault="00CA5006">
      <w:pPr>
        <w:spacing w:after="0" w:line="20" w:lineRule="exact"/>
      </w:pPr>
      <w:r>
        <w:rPr>
          <w:sz w:val="2"/>
        </w:rPr>
        <w:t>{%p if cp_inconstitucionalidad %}</w:t>
      </w:r>
    </w:p>
    <w:p w14:paraId="40B54CF5" w14:textId="77777777" w:rsidR="00F5396A" w:rsidRDefault="00CA5006">
      <w:pPr>
        <w:spacing w:after="120" w:line="360" w:lineRule="exact"/>
        <w:jc w:val="both"/>
      </w:pPr>
      <w:r>
        <w:t>VII.- Que para el caso de que se hubieran acreditado servicios con anterioridad al 15 de julio de 1994 —fecha en la que comenzó a regir el Libro I de la ley 24.241 (conf. arts. 24 y 23 inc. b)— por un monto superior al tope de 35 años fijado por el art. 24 inc. a) de la ley 24.241, y en el supuesto de que no hubieran sido computados los años excedentes en el cómputo de la Prestación Compensatoria, corresponderá declarar la inconstitucionalidad del art. 24 inc. a) de la ley 24.241, con fundamento en la doctr</w:t>
      </w:r>
      <w:r>
        <w:t>ina sostenida por el Máximo Tribunal en los autos "Barrios, Idilio Anelio c/ ANSeS s/ Reajustes Varios" de fecha 21.08.2013.</w:t>
      </w:r>
    </w:p>
    <w:p w14:paraId="06562C3F" w14:textId="77777777" w:rsidR="00F5396A" w:rsidRDefault="00CA5006">
      <w:pPr>
        <w:spacing w:line="360" w:lineRule="exact"/>
        <w:jc w:val="both"/>
      </w:pPr>
      <w:r>
        <w:t>VIII.- Que en caso de que la Prestación Compensatoria redeterminada según pautas fijadas en este pronunciamiento resulte alcanzada por el tope del art. 26 de la ley 24.241, en cuanto la merma del haber resulte confiscatoria —de acuerdo con la doctrina de la Corte Suprema de Justicia de la Nación de Fallos: 323:4216 y 329:3211— corresponderá declarar su inconstitucionalidad, de conformidad al precedente "Argento, Federico Ernesto c/ ANSeS s/ Reajustes Varios", emitido por el Máximo Tribunal el 26.03.2013, en</w:t>
      </w:r>
      <w:r>
        <w:t xml:space="preserve"> donde se consideró que dicha norma introdujo como límite un factor extraño al esfuerzo contributivo personal.</w:t>
      </w:r>
    </w:p>
    <w:p w14:paraId="32EC2D2D" w14:textId="77777777" w:rsidR="00F5396A" w:rsidRDefault="00CA5006">
      <w:pPr>
        <w:spacing w:after="0" w:line="20" w:lineRule="exact"/>
      </w:pPr>
      <w:r>
        <w:rPr>
          <w:sz w:val="2"/>
        </w:rPr>
        <w:t>{%p endif %}</w:t>
      </w:r>
    </w:p>
    <w:p w14:paraId="298DEB58" w14:textId="77777777" w:rsidR="00F5396A" w:rsidRDefault="00CA5006">
      <w:pPr>
        <w:spacing w:line="360" w:lineRule="exact"/>
        <w:jc w:val="both"/>
      </w:pPr>
      <w:r>
        <w:t>IX.- Que en relación a los arts. 9 y 25 de la ley 24.241, el primero establece un límite máximo de base imponible equivalente a 75 veces el valor del MOPRE, y el segundo dispone que para establecer el promedio de las remuneraciones no se considerará el sueldo anual complementario ni los importes que excedan dicho máximo. Tal como reconociera la Corte Suprema en el antecedente "Gualtieri" del 11.04.2017, estas normas establecen un límite cuya razón de ser radica en que las cotizaciones también fueron limitad</w:t>
      </w:r>
      <w:r>
        <w:t xml:space="preserve">as, por lo que en caso de que el haber </w:t>
      </w:r>
      <w:r>
        <w:lastRenderedPageBreak/>
        <w:t>hubiera sido calculado con aplicación de dicho tope, corresponderá estar a lo dispuesto por la Corte Suprema en el mencionado precedente.</w:t>
      </w:r>
    </w:p>
    <w:p w14:paraId="448A5A32" w14:textId="77777777" w:rsidR="00F5396A" w:rsidRDefault="00CA5006">
      <w:pPr>
        <w:spacing w:line="360" w:lineRule="exact"/>
        <w:jc w:val="both"/>
      </w:pPr>
      <w:r>
        <w:t>X.- Que en cuanto al art. 14 de la Resolución SSS 6/09 que reglamentara el art. 24 de la ley 24.241 estableciendo un tope a las remuneraciones actualizadas, corresponde declarar su inaplicabilidad atento a que dicha norma incurre en un exceso reglamentario.</w:t>
      </w:r>
    </w:p>
    <w:p w14:paraId="0AB31818" w14:textId="77777777" w:rsidR="00F5396A" w:rsidRDefault="00CA5006">
      <w:pPr>
        <w:spacing w:after="0" w:line="20" w:lineRule="exact"/>
      </w:pPr>
      <w:r>
        <w:rPr>
          <w:sz w:val="2"/>
        </w:rPr>
        <w:t>{%p if cp_movilidad %}</w:t>
      </w:r>
    </w:p>
    <w:p w14:paraId="13B001BA" w14:textId="77777777" w:rsidR="00F5396A" w:rsidRDefault="00CA5006">
      <w:pPr>
        <w:spacing w:after="120" w:line="360" w:lineRule="exact"/>
        <w:jc w:val="both"/>
      </w:pPr>
      <w:r>
        <w:t>XI.- Que, asimismo, corresponde hacer lugar al planteo de la parte actora en torno a la movilidad del tope previsto en el art. 9 de la ley 24.463. Al respecto deberá estarse a lo resuelto por la Sala II de la Cámara Federal de Apelaciones de Salta en los autos "Inchaurrondo, José Luis c/ANSeS s/reajustes varios" (Expte. N° FSA 379/2020) en fecha 28.08.2023, en donde se ordenó que al tope del haber máximo dispuesto en el art. 9 inc. 3 de la ley 24.463 se lo actualice conforme a las pautas de movilidad del pr</w:t>
      </w:r>
      <w:r>
        <w:t>ecedente "Badaro" hasta diciembre de 2006 y sobre dicha base se apliquen luego los porcentajes de movilidad previstos en la normativa.</w:t>
      </w:r>
    </w:p>
    <w:p w14:paraId="623EE81A" w14:textId="77777777" w:rsidR="00F5396A" w:rsidRDefault="00CA5006">
      <w:pPr>
        <w:spacing w:line="360" w:lineRule="exact"/>
        <w:jc w:val="both"/>
      </w:pPr>
      <w:r>
        <w:t>Ahora bien, el análisis de la constitucionalidad de la aplicación de este tope corresponde sea diferido para la etapa de ejecución, sin perjuicio de que corresponde remitirse a lo expresado en los casos "Tudor, Enrique José c/ ANSeS" (Fallos: 327:3251) y "Actis Caporale, Loredano Luis Adolfo c/ INPS s/ reajustes por movilidad" (Fallos: 323:4216), en los que la Corte Suprema señaló que corresponde declarar la invalidez constitucional del tope cuando la aplicación al caso concreto importa un grave perjuicio e</w:t>
      </w:r>
      <w:r>
        <w:t>conómico al titular, considerando razonable toda quita que no supere el 15% del haber como una contribución solidaria a la Seguridad Social.</w:t>
      </w:r>
    </w:p>
    <w:p w14:paraId="225B1BBE" w14:textId="77777777" w:rsidR="00F5396A" w:rsidRDefault="00CA5006">
      <w:pPr>
        <w:spacing w:after="0" w:line="20" w:lineRule="exact"/>
      </w:pPr>
      <w:r>
        <w:rPr>
          <w:sz w:val="2"/>
        </w:rPr>
        <w:t>{%p endif %}</w:t>
      </w:r>
    </w:p>
    <w:p w14:paraId="1C4409E3" w14:textId="77777777" w:rsidR="00F5396A" w:rsidRDefault="00CA5006">
      <w:pPr>
        <w:spacing w:line="360" w:lineRule="exact"/>
        <w:jc w:val="both"/>
      </w:pPr>
      <w:r>
        <w:t>XII.- Que cabe señalar que el art. 7 de la ley 23.928 —modificado por el art. 4 de ley 25.561— estableció la prohibición de actualización monetaria, disposición que continúa vigente a la fecha del dictado de la presente. Por lo tanto, dicho planteo no podrá prosperar.</w:t>
      </w:r>
    </w:p>
    <w:p w14:paraId="793C1657" w14:textId="77777777" w:rsidR="00F5396A" w:rsidRDefault="00CA5006">
      <w:pPr>
        <w:spacing w:line="360" w:lineRule="exact"/>
        <w:jc w:val="both"/>
      </w:pPr>
      <w:r>
        <w:t>XIII.- Que las costas serán impuestas a la ANSeS en virtud del principio objetivo de la derrota, atento a lo dispuesto por la Corte Suprema de Justicia de la Nación en fecha 22 de junio de 2023 en los autos "Morales, Blanca Azucena c/ ANSeS s/impugnación de acto administrativo".</w:t>
      </w:r>
    </w:p>
    <w:p w14:paraId="1131EF62" w14:textId="77777777" w:rsidR="00F5396A" w:rsidRDefault="00CA5006">
      <w:pPr>
        <w:spacing w:line="360" w:lineRule="exact"/>
        <w:jc w:val="both"/>
      </w:pPr>
      <w:r>
        <w:t>XIV.- Que se ha dicho que la declaración de inconstitucionalidad de las leyes solamente puede efectuarse cuando es indispensable para resolver el caso ya que constituye un acto de suma gravedad institucional y una de las más delicadas funciones susceptibles de encomendarse a un tribunal de justicia y por ello debe ser considerada la última ratio del ordenamiento jurídico y sólo debe ejercerse cuando la repugnancia con la cláusula constitucional es manifiesta y la incompatibilidad inconciliable (Fallos: 304:</w:t>
      </w:r>
      <w:r>
        <w:t>849; 307:531; 322:919, entre muchos otros). Por tal motivo, serán rechazados los restantes planteos de inconstitucionalidad solicitados.</w:t>
      </w:r>
    </w:p>
    <w:p w14:paraId="43B94C1B" w14:textId="77777777" w:rsidR="00F5396A" w:rsidRDefault="00CA5006">
      <w:pPr>
        <w:spacing w:line="360" w:lineRule="exact"/>
        <w:jc w:val="both"/>
      </w:pPr>
      <w:r>
        <w:lastRenderedPageBreak/>
        <w:t>XV.- Que en cuanto a lo solicitado respecto a la tasa de interés, el planteo formulado encuentra adecuada respuesta en "Spitale" (Fallos: 327:3721), en el que se resolvió que la tasa pasiva promedio que elabora el Banco Central de la República Argentina es adecuadamente satisfactoria del menoscabo patrimonial sufrido por la demandante, en el marco de la índole previsional de la relación jurídica en examen, el carácter alimentario de las prestaciones adeudadas y el período de estabilidad del valor de la mone</w:t>
      </w:r>
      <w:r>
        <w:t>da durante el lapso que corresponde a la deuda reclamada.</w:t>
      </w:r>
    </w:p>
    <w:p w14:paraId="36A988EB" w14:textId="77777777" w:rsidR="00F5396A" w:rsidRDefault="00CA5006">
      <w:pPr>
        <w:spacing w:after="120" w:line="360" w:lineRule="exact"/>
        <w:jc w:val="both"/>
      </w:pPr>
      <w:r>
        <w:t>XVI.- Que restaría establecer los honorarios de la representación legal de la parte actora interviniente en estas actuaciones. Atendiendo a la fecha de interposición de la demanda resulta de aplicación la ley arancelaria N° 27.423 vigente desde el 22.12.2017 que instituye la Unidad de Medida Arancelaria (UMA) en su art. 19. Así las cosas, corresponderá tomar como base regulatoria en los términos del art. 16 inc. "a" de la referida norma, la suma que resulte de la liquidación a practicarse tal como establece</w:t>
      </w:r>
      <w:r>
        <w:t xml:space="preserve"> el art. 22, con más los intereses conforme dispone el art. 24 y una vez aprobada aplicar la escala establecida en el art. 21.</w:t>
      </w:r>
    </w:p>
    <w:p w14:paraId="20F6626F" w14:textId="77777777" w:rsidR="00F5396A" w:rsidRDefault="00CA5006">
      <w:pPr>
        <w:spacing w:after="120" w:line="360" w:lineRule="exact"/>
        <w:jc w:val="both"/>
      </w:pPr>
      <w:r>
        <w:t>Por lo tanto, sin perjuicio de lo establecido en el último párrafo del art. 15 y art. 52, difiérase la regulación de honorarios de la representación letrada de la parte actora para el momento en que se encuentre determinado el monto del proceso.</w:t>
      </w:r>
    </w:p>
    <w:p w14:paraId="272B059B" w14:textId="77777777" w:rsidR="00F5396A" w:rsidRDefault="00CA5006">
      <w:pPr>
        <w:spacing w:line="360" w:lineRule="exact"/>
        <w:jc w:val="both"/>
      </w:pPr>
      <w:r>
        <w:t>A todo evento, se hace saber a la parte actora que conforme al art. 6, inc. "c" de la ley 27.423, los honorarios del profesional interviniente no podrán ser objeto de cuotalitis, por lo que carece de validez cualquier acuerdo que establezca la obligación de abonar un porcentaje de las sumas de condena.</w:t>
      </w:r>
    </w:p>
    <w:p w14:paraId="3882D783" w14:textId="77777777" w:rsidR="00F5396A" w:rsidRDefault="00CA5006">
      <w:pPr>
        <w:spacing w:line="360" w:lineRule="exact"/>
        <w:jc w:val="both"/>
      </w:pPr>
      <w:r>
        <w:t>XVII.- Que atento a la prescripción deducida por la demandada, la suma que en concepto de retroactivos se determine en la etapa de liquidación se deberá circunscribir a los dos años anteriores a la fecha de presentación del reclamo en sede administrativa (art. 82 ley 18.037), es decir, a partir del {{ fecha_desde_retroactivo }}.</w:t>
      </w:r>
    </w:p>
    <w:p w14:paraId="0E928C04" w14:textId="77777777" w:rsidR="00F5396A" w:rsidRDefault="00CA5006">
      <w:pPr>
        <w:spacing w:after="120" w:line="360" w:lineRule="exact"/>
        <w:jc w:val="both"/>
      </w:pPr>
      <w:r>
        <w:t>XVIII.- Que el plazo de cumplimiento de la presente se fija en 120 días hábiles (art. 22 de la ley 24.463, modificado por el art. 2 de la ley 26.153), haciéndole saber a las partes que surgiendo del Sistema Lex 100 las sentencias y sus respectivas notificaciones, no se certificarán copias de dichas piezas.</w:t>
      </w:r>
    </w:p>
    <w:p w14:paraId="27123D9C" w14:textId="77777777" w:rsidR="00F5396A" w:rsidRDefault="00CA5006">
      <w:pPr>
        <w:spacing w:line="360" w:lineRule="exact"/>
        <w:jc w:val="both"/>
      </w:pPr>
      <w:r>
        <w:t>Asimismo, se hace saber que, en caso de no existir expedientes administrativos para devolver, el plazo de cumplimiento indicado se computará a partir de que quede firme la presente y no desde la recepción del oficio de cumplimiento de sentencia.</w:t>
      </w:r>
    </w:p>
    <w:p w14:paraId="01D26071" w14:textId="77777777" w:rsidR="00F5396A" w:rsidRDefault="00CA5006">
      <w:pPr>
        <w:spacing w:after="0" w:line="20" w:lineRule="exact"/>
      </w:pPr>
      <w:r>
        <w:rPr>
          <w:sz w:val="2"/>
        </w:rPr>
        <w:t>{%p if cp_ganancias %}</w:t>
      </w:r>
    </w:p>
    <w:p w14:paraId="7ECA8F8F" w14:textId="77777777" w:rsidR="00F5396A" w:rsidRDefault="00CA5006">
      <w:pPr>
        <w:spacing w:after="120" w:line="360" w:lineRule="exact"/>
        <w:jc w:val="both"/>
      </w:pPr>
      <w:r>
        <w:lastRenderedPageBreak/>
        <w:t>XIX.- Que en relación a la procedencia de la aplicación del impuesto a las ganancias, cabe estar a lo dispuesto por la Corte Suprema de Justicia de la Nación en fecha 26.03.2019, en el precedente "García, María Isabel c/AFIP s/ Acción meramente declarativa de inconstitucionalidad" (Fallos 342:411), en donde se declaró la inconstitucionalidad del art. 23 inc. c; art. 79 inc. c) y arts. 81 y 90 de la ley 20.628, considerando entre otros fundamentos, que "la sola capacidad contributiva como parámetro para el e</w:t>
      </w:r>
      <w:r>
        <w:t>stablecimiento de tributos a los jubilados, pensionados, retirados o subsidiados, resulta insuficiente si no se pondera la vulnerabilidad vital del colectivo concernido". Por lo tanto, con fundamento en la doctrina allí desarrollada, hágase saber que no podrá descontarse suma alguna sobre la prestación previsional en concepto de impuesto a las ganancias.</w:t>
      </w:r>
    </w:p>
    <w:p w14:paraId="3BF27037" w14:textId="77777777" w:rsidR="00F5396A" w:rsidRDefault="00CA5006">
      <w:pPr>
        <w:spacing w:line="360" w:lineRule="exact"/>
        <w:jc w:val="both"/>
      </w:pPr>
      <w:r>
        <w:t>Asimismo, en relación a la procedencia del mentado tributo sobre las sumas retroactivas a abonar, corresponderá estar al plenario dictado por la Cámara Federal de Apelaciones de Salta en fecha 29 de diciembre de 2020, en la causa "Percivaldi, Roberto Rene c/ Anses s/ Apela resolución" (Expte. N° 31000160/2009), en donde se resolvió que los retroactivos adeudados por la ANSeS por reajustes ordenados en sentencias judiciales no resultan ser ganancias gravadas, de conformidad con las disposiciones de la ley 20</w:t>
      </w:r>
      <w:r>
        <w:t>.628.</w:t>
      </w:r>
    </w:p>
    <w:p w14:paraId="5EC7C3EC" w14:textId="77777777" w:rsidR="00F5396A" w:rsidRDefault="00CA5006">
      <w:pPr>
        <w:spacing w:after="0" w:line="20" w:lineRule="exact"/>
      </w:pPr>
      <w:r>
        <w:rPr>
          <w:sz w:val="2"/>
        </w:rPr>
        <w:t>{%p endif %}</w:t>
      </w:r>
    </w:p>
    <w:p w14:paraId="30B41BB0" w14:textId="77777777" w:rsidR="00F5396A" w:rsidRDefault="00CA5006">
      <w:pPr>
        <w:spacing w:after="160" w:line="360" w:lineRule="exact"/>
        <w:jc w:val="both"/>
      </w:pPr>
      <w:r>
        <w:t>En mérito de lo cual,</w:t>
      </w:r>
    </w:p>
    <w:p w14:paraId="0896F872" w14:textId="77777777" w:rsidR="00F5396A" w:rsidRDefault="00CA5006" w:rsidP="0007128D">
      <w:pPr>
        <w:spacing w:before="80" w:line="360" w:lineRule="exact"/>
      </w:pPr>
      <w:r>
        <w:rPr>
          <w:b/>
        </w:rPr>
        <w:t>FALLO:</w:t>
      </w:r>
    </w:p>
    <w:p w14:paraId="22C5E829" w14:textId="77777777" w:rsidR="00F5396A" w:rsidRDefault="00CA5006">
      <w:pPr>
        <w:spacing w:after="160" w:line="360" w:lineRule="exact"/>
        <w:jc w:val="both"/>
      </w:pPr>
      <w:r>
        <w:t>I.- HACIENDO LUGAR PARCIALMENTE a la demanda promovida por {{ nombre_actora }} (DNI {{ dni_actora }}) contra la Administración Nacional de la Seguridad Social, y en consecuencia ORDENAR que se recalculen las prestaciones integrantes del haber inicial de su beneficio de conformidad a lo dispuesto en los considerandos precedentes y la aplicación de la posterior movilidad.</w:t>
      </w:r>
    </w:p>
    <w:p w14:paraId="1D682FF5" w14:textId="77777777" w:rsidR="00F5396A" w:rsidRDefault="00CA5006">
      <w:pPr>
        <w:spacing w:after="160" w:line="360" w:lineRule="exact"/>
        <w:jc w:val="both"/>
      </w:pPr>
      <w:r>
        <w:t>II.- ORDENANDO el pago de las sumas que en concepto de retroactivos se determinen en la etapa de liquidación, desde el {{ fecha_desde_retroactivo }}, más intereses según la tasa pasiva que publica el Banco Central de la República Argentina, hasta su efectivo pago.</w:t>
      </w:r>
    </w:p>
    <w:p w14:paraId="41049349" w14:textId="77777777" w:rsidR="00F5396A" w:rsidRDefault="00CA5006">
      <w:pPr>
        <w:spacing w:after="160" w:line="360" w:lineRule="exact"/>
        <w:jc w:val="both"/>
      </w:pPr>
      <w:r>
        <w:t>III.- DIFIRIENDO para la etapa de liquidación la valoración de la procedencia del recálculo de la Prestación Básica Universal de conformidad con los alcances ordenados por la Corte Suprema de Justicia de la Nación en la causa "Quiroga Carlos Alberto".</w:t>
      </w:r>
    </w:p>
    <w:p w14:paraId="679323B8" w14:textId="77777777" w:rsidR="00F5396A" w:rsidRDefault="00CA5006">
      <w:pPr>
        <w:spacing w:after="160" w:line="360" w:lineRule="exact"/>
        <w:jc w:val="both"/>
      </w:pPr>
      <w:r>
        <w:t>IV.- RECHAZANDO la procedencia de la tasa de sustitución.</w:t>
      </w:r>
    </w:p>
    <w:p w14:paraId="12CE3FA2" w14:textId="77777777" w:rsidR="00F5396A" w:rsidRDefault="00CA5006">
      <w:pPr>
        <w:spacing w:after="160" w:line="360" w:lineRule="exact"/>
        <w:jc w:val="both"/>
      </w:pPr>
      <w:r>
        <w:t>V.- DEJANDO aclarado los criterios a adoptarse en torno a los distintos topes, de conformidad a lo expresado en los considerandos precedentes.</w:t>
      </w:r>
    </w:p>
    <w:p w14:paraId="0D6BF203" w14:textId="77777777" w:rsidR="00F5396A" w:rsidRDefault="00CA5006">
      <w:pPr>
        <w:spacing w:after="160" w:line="360" w:lineRule="exact"/>
        <w:jc w:val="both"/>
      </w:pPr>
      <w:r>
        <w:lastRenderedPageBreak/>
        <w:t>VI.- HACIENDO LUGAR al planteo de movilidad respecto del tope del art. 9 inc. 3° de la ley 24.463, difiriendo el análisis de su aplicabilidad para la etapa de ejecución de sentencia conforme lo considerado y rechazando los restantes planteos de inconstitucionalidad.</w:t>
      </w:r>
    </w:p>
    <w:p w14:paraId="01300D7F" w14:textId="77777777" w:rsidR="00F5396A" w:rsidRDefault="00CA5006">
      <w:pPr>
        <w:spacing w:after="160" w:line="360" w:lineRule="exact"/>
        <w:jc w:val="both"/>
      </w:pPr>
      <w:r>
        <w:t>VII.- DIFIRIENDO la regulación de los honorarios para el momento en que se encuentre determinado el monto del proceso.</w:t>
      </w:r>
    </w:p>
    <w:p w14:paraId="2B8281A7" w14:textId="77777777" w:rsidR="00F5396A" w:rsidRDefault="00CA5006">
      <w:pPr>
        <w:spacing w:after="160" w:line="360" w:lineRule="exact"/>
        <w:jc w:val="both"/>
      </w:pPr>
      <w:r>
        <w:t>VIII.- ORDENANDO que el pago de los retroactivos y el reajuste aquí dispuesto se cumpla en el plazo de 120 días hábiles (art. 22 de la ley 24.463, modificado por el art. 2 de la ley 26.153).</w:t>
      </w:r>
    </w:p>
    <w:p w14:paraId="48B4A635" w14:textId="77777777" w:rsidR="00F5396A" w:rsidRDefault="00CA5006">
      <w:pPr>
        <w:spacing w:after="160" w:line="360" w:lineRule="exact"/>
        <w:jc w:val="both"/>
      </w:pPr>
      <w:r>
        <w:t>IX.- IMPONIENDO las costas a la ANSeS.</w:t>
      </w:r>
    </w:p>
    <w:p w14:paraId="5559099F" w14:textId="77777777" w:rsidR="00F5396A" w:rsidRDefault="00CA5006">
      <w:pPr>
        <w:spacing w:after="400" w:line="360" w:lineRule="exact"/>
        <w:jc w:val="both"/>
      </w:pPr>
      <w:r>
        <w:t>X.- REGISTRESE y notifíquese.</w:t>
      </w:r>
    </w:p>
    <w:sectPr w:rsidR="00F5396A"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37011068">
    <w:abstractNumId w:val="8"/>
  </w:num>
  <w:num w:numId="2" w16cid:durableId="1478300446">
    <w:abstractNumId w:val="6"/>
  </w:num>
  <w:num w:numId="3" w16cid:durableId="1349674034">
    <w:abstractNumId w:val="5"/>
  </w:num>
  <w:num w:numId="4" w16cid:durableId="2013020886">
    <w:abstractNumId w:val="4"/>
  </w:num>
  <w:num w:numId="5" w16cid:durableId="674766516">
    <w:abstractNumId w:val="7"/>
  </w:num>
  <w:num w:numId="6" w16cid:durableId="422724878">
    <w:abstractNumId w:val="3"/>
  </w:num>
  <w:num w:numId="7" w16cid:durableId="825896868">
    <w:abstractNumId w:val="2"/>
  </w:num>
  <w:num w:numId="8" w16cid:durableId="1588222567">
    <w:abstractNumId w:val="1"/>
  </w:num>
  <w:num w:numId="9" w16cid:durableId="20587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28D"/>
    <w:rsid w:val="0015074B"/>
    <w:rsid w:val="0029639D"/>
    <w:rsid w:val="00326F90"/>
    <w:rsid w:val="00A65990"/>
    <w:rsid w:val="00AA1D8D"/>
    <w:rsid w:val="00B47730"/>
    <w:rsid w:val="00CA5006"/>
    <w:rsid w:val="00CB0664"/>
    <w:rsid w:val="00CC6CFB"/>
    <w:rsid w:val="00D25D6C"/>
    <w:rsid w:val="00F539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B925DD-14E4-4772-92FB-ECF1F877E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3848</Words>
  <Characters>21167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Octavio Galván</cp:lastModifiedBy>
  <cp:revision>4</cp:revision>
  <dcterms:created xsi:type="dcterms:W3CDTF">2013-12-23T23:15:00Z</dcterms:created>
  <dcterms:modified xsi:type="dcterms:W3CDTF">2026-06-22T14:33:00Z</dcterms:modified>
  <cp:category/>
</cp:coreProperties>
</file>