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{{nombre}} </w:t>
      </w:r>
      <w:r w:rsidRPr="00136257">
        <w:rPr>
          <w:rFonts w:ascii="Aptos" w:eastAsia="Aptos" w:hAnsi="Aptos" w:cs="Times New Roman"/>
          <w:lang w:val="es-AR"/>
        </w:rPr>
        <w:t>a VS muy respetuosamente me presento y digo: </w:t>
      </w:r>
    </w:p>
    <w:p w14:paraId="432079C7" w14:textId="77777777"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Sra.</w:t>
      </w:r>
      <w:r w:rsidR="00721D1F">
        <w:rPr>
          <w:rFonts w:ascii="Aptos" w:eastAsia="Aptos" w:hAnsi="Aptos" w:cs="Times New Roman"/>
          <w:highlight w:val="yellow"/>
          <w:lang w:val="es-AR"/>
        </w:rPr>
        <w:t xml:space="preserve"> {{nombre}}</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DNI Nº </w:t>
      </w:r>
      <w:r w:rsidR="00721D1F">
        <w:rPr>
          <w:rFonts w:ascii="Aptos" w:eastAsia="Aptos" w:hAnsi="Aptos" w:cs="Times New Roman"/>
          <w:highlight w:val="yellow"/>
          <w:lang w:val="es-AR"/>
        </w:rPr>
        <w:t>{{</w:t>
      </w:r>
      <w:r w:rsidR="00AC3525">
        <w:rPr>
          <w:rFonts w:ascii="Aptos" w:eastAsia="Aptos" w:hAnsi="Aptos" w:cs="Times New Roman"/>
          <w:highlight w:val="yellow"/>
          <w:lang w:val="es-AR"/>
        </w:rPr>
        <w:t>dni</w:t>
      </w:r>
      <w:r w:rsidR="00721D1F">
        <w:rPr>
          <w:rFonts w:ascii="Aptos" w:eastAsia="Aptos" w:hAnsi="Aptos" w:cs="Times New Roman"/>
          <w:highlight w:val="yellow"/>
          <w:lang w:val="es-AR"/>
        </w:rPr>
        <w:t>}</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con domicilio real en</w:t>
      </w:r>
      <w:r w:rsidR="00721D1F">
        <w:rPr>
          <w:rFonts w:ascii="Aptos" w:eastAsia="Aptos" w:hAnsi="Aptos" w:cs="Times New Roman"/>
          <w:highlight w:val="yellow"/>
          <w:lang w:val="es-AR"/>
        </w:rPr>
        <w:t xml:space="preserve"> {{domicilio}}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lastRenderedPageBreak/>
        <w:t>Tal como surge de la demanda interpuesta cuya reserva se solicitó, se habilita la instancia a partir de la denegatoria de la solicitud de reajuste de haberes que figura en el sistema de Anses con fecha</w:t>
      </w:r>
      <w:r w:rsidR="00384A99">
        <w:rPr>
          <w:rFonts w:ascii="Aptos" w:eastAsia="Aptos" w:hAnsi="Aptos" w:cs="Times New Roman"/>
          <w:highlight w:val="yellow"/>
          <w:lang w:val="es-AR"/>
        </w:rPr>
        <w:t xml:space="preserve"> {{</w:t>
      </w:r>
      <w:r w:rsidR="00192745" w:rsidRPr="00192745">
        <w:rPr>
          <w:rFonts w:ascii="Aptos" w:eastAsia="Aptos" w:hAnsi="Aptos" w:cs="Times New Roman"/>
          <w:lang w:val="es-AR"/>
        </w:rPr>
        <w:t>fecha_reajuste</w:t>
      </w:r>
      <w:r w:rsidR="00192745">
        <w:rPr>
          <w:rFonts w:ascii="Aptos" w:eastAsia="Aptos" w:hAnsi="Aptos" w:cs="Times New Roman"/>
          <w:lang w:val="es-AR"/>
        </w:rPr>
        <w:t xml:space="preserve">}} </w:t>
      </w:r>
      <w:r w:rsidRPr="00E701ED">
        <w:rPr>
          <w:rFonts w:ascii="Aptos" w:eastAsia="Aptos" w:hAnsi="Aptos" w:cs="Times New Roman"/>
          <w:highlight w:val="yellow"/>
          <w:lang w:val="es-AR"/>
        </w:rPr>
        <w:t>, que recayó en el expte N°</w:t>
      </w:r>
      <w:r w:rsidR="00192745">
        <w:rPr>
          <w:rFonts w:ascii="Aptos" w:eastAsia="Aptos" w:hAnsi="Aptos" w:cs="Times New Roman"/>
          <w:lang w:val="es-AR"/>
        </w:rPr>
        <w:t xml:space="preserve"> {{</w:t>
      </w:r>
      <w:r w:rsidR="00192745" w:rsidRPr="00192745">
        <w:rPr>
          <w:rFonts w:ascii="Aptos" w:eastAsia="Aptos" w:hAnsi="Aptos" w:cs="Times New Roman"/>
          <w:lang w:val="es-AR"/>
        </w:rPr>
        <w:t>expediente_reajuste</w:t>
      </w:r>
      <w:r w:rsidR="00192745">
        <w:rPr>
          <w:rFonts w:ascii="Aptos" w:eastAsia="Aptos" w:hAnsi="Aptos" w:cs="Times New Roman"/>
          <w:lang w:val="es-AR"/>
        </w:rPr>
        <w:t>}}</w:t>
      </w:r>
      <w:r w:rsidRPr="005071AC">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actualizada por Anses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Tasa de reemplazo = 64,67% (Jubilación/Salario en actividad actualizado con índice de Anses)</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inicio del Reclamo administrativo interruptivo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lastRenderedPageBreak/>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w:t>
      </w:r>
      <w:r w:rsidRPr="005071AC">
        <w:rPr>
          <w:rFonts w:ascii="Aptos" w:eastAsia="Aptos" w:hAnsi="Aptos" w:cs="Times New Roman"/>
          <w:i/>
          <w:iCs/>
          <w:lang w:val="es-AR"/>
        </w:rPr>
        <w:lastRenderedPageBreak/>
        <w:t>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“Rainone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presente  la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0"/>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0"/>
      <w:r>
        <w:rPr>
          <w:rStyle w:val="Refdecomentario"/>
        </w:rPr>
        <w:commentReference w:id="0"/>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1"/>
      <w:r w:rsidRPr="00E701ED">
        <w:rPr>
          <w:rFonts w:ascii="Aptos" w:eastAsia="Times New Roman" w:hAnsi="Aptos" w:cs="Times New Roman"/>
          <w:color w:val="000000"/>
          <w:highlight w:val="yellow"/>
          <w:lang w:val="es-AR" w:eastAsia="es-AR"/>
        </w:rPr>
        <w:t>Se adjunta equiparación de haberes, de la que surge que el cargo desempeñado por mi representado al cese fue de Médico profesional dependiente de Hospital Público de Autogestión San Bernardo, con una antigüedad de 36 años de servicios en el agrupamiento profesional – sub grupo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Asimismo, se adjuntan recibos de sueldo, de los que surgen que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1"/>
      <w:r>
        <w:rPr>
          <w:rStyle w:val="Refdecomentario"/>
        </w:rPr>
        <w:commentReference w:id="1"/>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w:t>
      </w:r>
      <w:r w:rsidRPr="00EF3727">
        <w:rPr>
          <w:rFonts w:ascii="Aptos" w:eastAsia="Times New Roman" w:hAnsi="Aptos" w:cs="Times New Roman"/>
          <w:color w:val="000000"/>
          <w:lang w:val="es-AR" w:eastAsia="es-AR"/>
        </w:rPr>
        <w:lastRenderedPageBreak/>
        <w:t xml:space="preserve">Así, en la causa </w:t>
      </w:r>
      <w:r w:rsidRPr="00EF3727">
        <w:rPr>
          <w:rFonts w:ascii="Aptos" w:eastAsia="Times New Roman" w:hAnsi="Aptos" w:cs="Times New Roman"/>
          <w:b/>
          <w:color w:val="000000"/>
          <w:lang w:val="es-AR" w:eastAsia="es-AR"/>
        </w:rPr>
        <w:t>“Rainone de Ruffo, Juana Teresa Berta c/ ANSeS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Cauwlaert, Eduardo”, sent. del 9/6/17, haciéndose mérito de la doctrina que emana del precedente “Rainone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Fallos: 333:699 “González, Martín Nicolás c/ Polimat S.A. y otro”, sent.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2"/>
      <w:r>
        <w:rPr>
          <w:rFonts w:ascii="Aptos" w:eastAsia="Aptos" w:hAnsi="Aptos" w:cs="Times New Roman"/>
          <w:b/>
          <w:bCs/>
          <w:highlight w:val="yellow"/>
          <w:lang w:val="es-AR"/>
        </w:rPr>
        <w:t xml:space="preserve">Del error material </w:t>
      </w:r>
      <w:commentRangeEnd w:id="2"/>
      <w:r>
        <w:rPr>
          <w:rStyle w:val="Refdecomentario"/>
        </w:rPr>
        <w:commentReference w:id="2"/>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Del detalle de beneficios de Anses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lastRenderedPageBreak/>
        <w:drawing>
          <wp:inline distT="0" distB="0" distL="0" distR="0" wp14:anchorId="5B21C55E" wp14:editId="399D7DFE">
            <wp:extent cx="4755268" cy="18560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3"/>
      <w:r w:rsidRPr="00E701ED">
        <w:rPr>
          <w:rFonts w:ascii="Aptos" w:eastAsia="Aptos" w:hAnsi="Aptos" w:cs="Times New Roman"/>
          <w:b/>
          <w:bCs/>
          <w:highlight w:val="yellow"/>
          <w:lang w:val="es-AR"/>
        </w:rPr>
        <w:t>la actualización de las remuneraciones</w:t>
      </w:r>
      <w:commentRangeEnd w:id="3"/>
      <w:r>
        <w:rPr>
          <w:rStyle w:val="Refdecomentario"/>
        </w:rPr>
        <w:commentReference w:id="3"/>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w:t>
      </w:r>
      <w:r w:rsidRPr="005071AC">
        <w:rPr>
          <w:rFonts w:ascii="Aptos" w:eastAsia="Aptos" w:hAnsi="Aptos" w:cs="Times New Roman"/>
          <w:lang w:val="es-AR"/>
        </w:rPr>
        <w:lastRenderedPageBreak/>
        <w:t>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lastRenderedPageBreak/>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N°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4"/>
      <w:r w:rsidRPr="001C16C0">
        <w:rPr>
          <w:noProof/>
          <w:highlight w:val="yellow"/>
          <w:lang w:eastAsia="es-ES"/>
        </w:rPr>
        <w:drawing>
          <wp:inline distT="0" distB="0" distL="0" distR="0" wp14:anchorId="69F740C1" wp14:editId="4D7C10E4">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4"/>
      <w:r>
        <w:rPr>
          <w:rStyle w:val="Refdecomentario"/>
        </w:rPr>
        <w:commentReference w:id="4"/>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“Ciuti Pablo c/ ANSES s/ reajustes varios”, sentencia del 30/6/2015</w:t>
        </w:r>
      </w:hyperlink>
      <w:r w:rsidRPr="005071AC">
        <w:rPr>
          <w:rFonts w:ascii="Aptos" w:eastAsia="Aptos" w:hAnsi="Aptos" w:cs="Times New Roman"/>
        </w:rPr>
        <w:t xml:space="preserve">(CSJ 111/2012(48-C)/CS1);  </w:t>
      </w:r>
      <w:hyperlink r:id="rId15" w:history="1">
        <w:r w:rsidRPr="005071AC">
          <w:rPr>
            <w:rFonts w:ascii="Aptos" w:eastAsia="Aptos" w:hAnsi="Aptos" w:cs="Times New Roman"/>
            <w:color w:val="467886"/>
            <w:u w:val="single"/>
          </w:rPr>
          <w:t>Pichersky Alberto Raúl c/Anses s/reajustes Varios”, la C.S.J.N, el 23 de mayo de 2017</w:t>
        </w:r>
      </w:hyperlink>
      <w:r w:rsidRPr="005071AC">
        <w:rPr>
          <w:rFonts w:ascii="Aptos" w:eastAsia="Aptos" w:hAnsi="Aptos" w:cs="Times New Roman"/>
        </w:rPr>
        <w:t>(Expte SS 80278/20l2/l/RH 1</w:t>
      </w:r>
      <w:hyperlink r:id="rId16" w:history="1">
        <w:r w:rsidRPr="005071AC">
          <w:rPr>
            <w:rFonts w:ascii="Aptos" w:eastAsia="Aptos" w:hAnsi="Aptos" w:cs="Times New Roman"/>
            <w:color w:val="467886"/>
            <w:u w:val="single"/>
          </w:rPr>
          <w:t>)“González Héctor Orlando c/ ANSES s/ Reajuste de haberes” Expte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Soule y Blanco , </w:t>
      </w:r>
      <w:bookmarkStart w:id="5"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w:t>
      </w:r>
      <w:r w:rsidRPr="005071AC">
        <w:rPr>
          <w:rFonts w:ascii="Aptos" w:eastAsia="Aptos" w:hAnsi="Aptos" w:cs="Times New Roman"/>
          <w:bCs/>
          <w:lang w:val="es-AR" w:eastAsia="es-MX"/>
        </w:rPr>
        <w:lastRenderedPageBreak/>
        <w:t xml:space="preserve">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5"/>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total del haber inicial</w:t>
      </w:r>
      <w:r w:rsidRPr="005071AC">
        <w:rPr>
          <w:rFonts w:ascii="Aptos" w:eastAsia="Aptos" w:hAnsi="Aptos" w:cs="Times New Roman"/>
          <w:bCs/>
          <w:i/>
          <w:sz w:val="20"/>
          <w:szCs w:val="20"/>
        </w:rPr>
        <w:t xml:space="preserve">  </w:t>
      </w:r>
      <w:r w:rsidRPr="005071AC">
        <w:rPr>
          <w:rFonts w:ascii="Aptos" w:eastAsia="Aptos" w:hAnsi="Aptos" w:cs="Times New Roman"/>
          <w:bCs/>
          <w:i/>
        </w:rPr>
        <w:t>y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6"/>
      <w:r w:rsidRPr="00F33ECD">
        <w:rPr>
          <w:rFonts w:ascii="Aptos" w:eastAsia="Aptos" w:hAnsi="Aptos" w:cs="Times New Roman"/>
          <w:highlight w:val="yellow"/>
          <w:lang w:val="es-AR"/>
        </w:rPr>
        <w:t>El haber sería más integral, teniendo en cuenta el último haber percibido por mi mandate en actividad que era de $ 129.270,66 y la Pbu sin quita, permitiría obtener un haber de reemplazo del 67% y con quita de Soule del 57%.</w:t>
      </w:r>
      <w:commentRangeEnd w:id="6"/>
      <w:r>
        <w:rPr>
          <w:rStyle w:val="Refdecomentario"/>
        </w:rPr>
        <w:commentReference w:id="6"/>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lastRenderedPageBreak/>
        <w:drawing>
          <wp:inline distT="0" distB="0" distL="0" distR="0" wp14:anchorId="77E1B6F7" wp14:editId="29352AC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57637E85">
            <wp:extent cx="2945959" cy="2356073"/>
            <wp:effectExtent l="0" t="0" r="6985" b="635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8"/>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8"/>
      <w:r w:rsidRPr="00C77EF2">
        <w:rPr>
          <w:rStyle w:val="Refdecomentario"/>
          <w:highlight w:val="yellow"/>
        </w:rPr>
        <w:commentReference w:id="8"/>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9"/>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9"/>
      <w:r>
        <w:rPr>
          <w:rStyle w:val="Refdecomentario"/>
        </w:rPr>
        <w:commentReference w:id="9"/>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w:t>
      </w:r>
      <w:r w:rsidRPr="008C18AE">
        <w:rPr>
          <w:rFonts w:ascii="Aptos" w:eastAsia="Aptos" w:hAnsi="Aptos" w:cs="Times New Roman"/>
          <w:lang w:val="es-AR"/>
        </w:rPr>
        <w:lastRenderedPageBreak/>
        <w:t>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“RODRIGUEZ, MARIA CRISTINA c/ANSES s/REAJUSTE DE HABERES” Expte. N° FSA 13956/2015</w:t>
      </w:r>
      <w:r>
        <w:rPr>
          <w:rFonts w:ascii="Aptos" w:eastAsia="Aptos" w:hAnsi="Aptos" w:cs="Times New Roman"/>
          <w:bCs/>
        </w:rPr>
        <w:t xml:space="preserve">, sentencia de fecha 23 de agosto de 2024, la que entre sus considerandos sostuvo primeramente sobre la base de lo resuelto por el Máximo tribunal en el fallo “Gualtieri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lastRenderedPageBreak/>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w:t>
      </w:r>
      <w:r w:rsidRPr="005071AC">
        <w:rPr>
          <w:rFonts w:ascii="Aptos" w:eastAsia="Aptos" w:hAnsi="Aptos" w:cs="Times New Roman"/>
        </w:rPr>
        <w:lastRenderedPageBreak/>
        <w:t>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lastRenderedPageBreak/>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 xml:space="preserve">se carguen las consecuencias de decisiones improvisadas o negligentes de distintos poderes del Estado, sea que ello se considere </w:t>
      </w:r>
      <w:r w:rsidRPr="005071AC">
        <w:rPr>
          <w:rFonts w:ascii="Aptos" w:eastAsia="Aptos" w:hAnsi="Aptos" w:cs="Times New Roman"/>
          <w:i/>
          <w:iCs/>
          <w:lang w:val="es-AR"/>
        </w:rPr>
        <w:lastRenderedPageBreak/>
        <w:t>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de Caja :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Último haber :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Primer haber aplicando los fallos Soule/Blanco: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a agosto de 2024 con 27551 con rezago de tres meses aplicando Soule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lastRenderedPageBreak/>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Se aplique el criterio citado en Actis Caporale,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lastRenderedPageBreak/>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w:t>
      </w:r>
      <w:r w:rsidRPr="008C18AE">
        <w:rPr>
          <w:rFonts w:ascii="Aptos" w:eastAsia="Aptos" w:hAnsi="Aptos" w:cs="Times New Roman"/>
          <w:lang w:val="es-AR"/>
        </w:rPr>
        <w:lastRenderedPageBreak/>
        <w:t>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lastRenderedPageBreak/>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lastRenderedPageBreak/>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w:t>
      </w:r>
      <w:r w:rsidRPr="005071AC">
        <w:rPr>
          <w:rFonts w:ascii="Aptos" w:eastAsia="Aptos" w:hAnsi="Aptos" w:cs="Times New Roman"/>
          <w:i/>
          <w:iCs/>
        </w:rPr>
        <w:lastRenderedPageBreak/>
        <w:t xml:space="preserve">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 xml:space="preserve">particularmente sensible a las cuestiones que atañen al resguardo </w:t>
      </w:r>
      <w:r w:rsidRPr="005071AC">
        <w:rPr>
          <w:rFonts w:ascii="Aptos" w:eastAsia="Aptos" w:hAnsi="Aptos" w:cs="Times New Roman"/>
          <w:i/>
          <w:iCs/>
        </w:rPr>
        <w:lastRenderedPageBreak/>
        <w:t>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lastRenderedPageBreak/>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0"/>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0"/>
      <w:r>
        <w:rPr>
          <w:rStyle w:val="Refdecomentario"/>
        </w:rPr>
        <w:commentReference w:id="10"/>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w:t>
      </w:r>
      <w:r w:rsidRPr="005071AC">
        <w:rPr>
          <w:rFonts w:ascii="Aptos" w:eastAsia="Aptos" w:hAnsi="Aptos" w:cs="Times New Roman"/>
          <w:lang w:val="es-AR"/>
        </w:rPr>
        <w:lastRenderedPageBreak/>
        <w:t>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1"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2"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3"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4"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6"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8"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9"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0"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275EC"/>
    <w:rsid w:val="00384A99"/>
    <w:rsid w:val="003E0163"/>
    <w:rsid w:val="00533034"/>
    <w:rsid w:val="00721D1F"/>
    <w:rsid w:val="007938D9"/>
    <w:rsid w:val="007C4E40"/>
    <w:rsid w:val="008072FA"/>
    <w:rsid w:val="008D2EB7"/>
    <w:rsid w:val="00905883"/>
    <w:rsid w:val="00983446"/>
    <w:rsid w:val="009A5EAD"/>
    <w:rsid w:val="00A8475E"/>
    <w:rsid w:val="00AC3525"/>
    <w:rsid w:val="00C77EF2"/>
    <w:rsid w:val="00CC3EB8"/>
    <w:rsid w:val="00D223B3"/>
    <w:rsid w:val="00D70A81"/>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25</Pages>
  <Words>11378</Words>
  <Characters>62580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17</cp:revision>
  <dcterms:created xsi:type="dcterms:W3CDTF">2024-09-14T13:27:00Z</dcterms:created>
  <dcterms:modified xsi:type="dcterms:W3CDTF">2024-10-03T02:16:00Z</dcterms:modified>
</cp:coreProperties>
</file>