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ex empleado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r w:rsidRPr="00C313F5">
        <w:rPr>
          <w:rFonts w:ascii="Aptos" w:eastAsia="Aptos" w:hAnsi="Aptos" w:cs="Times New Roman"/>
        </w:rPr>
        <w:t>{{ datos_cliente.genero }}</w:t>
      </w:r>
      <w:r w:rsidRPr="00C313F5">
        <w:rPr>
          <w:rFonts w:ascii="Aptos" w:eastAsia="Aptos" w:hAnsi="Aptos" w:cs="Times New Roman"/>
          <w:lang w:val="es-AR"/>
        </w:rPr>
        <w:t xml:space="preserve">. </w:t>
      </w:r>
      <w:r w:rsidRPr="00C313F5">
        <w:rPr>
          <w:rFonts w:ascii="Aptos" w:eastAsia="Aptos" w:hAnsi="Aptos" w:cs="Times New Roman"/>
        </w:rPr>
        <w:t>{{</w:t>
      </w:r>
      <w:r>
        <w:rPr>
          <w:rFonts w:ascii="Aptos" w:eastAsia="Aptos" w:hAnsi="Aptos" w:cs="Times New Roman"/>
        </w:rPr>
        <w:t xml:space="preserve"> </w:t>
      </w:r>
      <w:r w:rsidRPr="00C313F5">
        <w:rPr>
          <w:rFonts w:ascii="Aptos" w:eastAsia="Aptos" w:hAnsi="Aptos" w:cs="Times New Roman"/>
        </w:rPr>
        <w:t>datos_cliente.nombre }}</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r w:rsidRPr="00C313F5">
        <w:rPr>
          <w:rFonts w:ascii="Aptos" w:eastAsia="Aptos" w:hAnsi="Aptos" w:cs="Times New Roman"/>
        </w:rPr>
        <w:t>{{ datos_cliente.genero }}</w:t>
      </w:r>
      <w:r w:rsidRPr="00C313F5">
        <w:rPr>
          <w:rFonts w:ascii="Aptos" w:eastAsia="Aptos" w:hAnsi="Aptos" w:cs="Times New Roman"/>
          <w:lang w:val="es-AR"/>
        </w:rPr>
        <w:t xml:space="preserve">. </w:t>
      </w:r>
      <w:r w:rsidRPr="00C313F5">
        <w:rPr>
          <w:rFonts w:ascii="Aptos" w:eastAsia="Aptos" w:hAnsi="Aptos" w:cs="Times New Roman"/>
        </w:rPr>
        <w:t>{{ datos_cliente.nombre }}</w:t>
      </w:r>
      <w:r w:rsidRPr="00C313F5">
        <w:rPr>
          <w:rFonts w:ascii="Aptos" w:eastAsia="Aptos" w:hAnsi="Aptos" w:cs="Times New Roman"/>
          <w:lang w:val="es-AR"/>
        </w:rPr>
        <w:t xml:space="preserve">, DNI Nº </w:t>
      </w:r>
      <w:r w:rsidRPr="00C313F5">
        <w:rPr>
          <w:rFonts w:ascii="Aptos" w:eastAsia="Aptos" w:hAnsi="Aptos" w:cs="Times New Roman"/>
        </w:rPr>
        <w:t>{{ datos_cliente.dni }}</w:t>
      </w:r>
      <w:r w:rsidRPr="00C313F5">
        <w:rPr>
          <w:rFonts w:ascii="Aptos" w:eastAsia="Aptos" w:hAnsi="Aptos" w:cs="Times New Roman"/>
          <w:lang w:val="es-AR"/>
        </w:rPr>
        <w:t xml:space="preserve"> con domicilio real en </w:t>
      </w:r>
      <w:r w:rsidRPr="00C313F5">
        <w:rPr>
          <w:rFonts w:ascii="Aptos" w:eastAsia="Aptos" w:hAnsi="Aptos" w:cs="Times New Roman"/>
        </w:rPr>
        <w:t>{{ datos_cliente.domicilio }}</w:t>
      </w:r>
      <w:r w:rsidRPr="00C313F5">
        <w:rPr>
          <w:rFonts w:ascii="Aptos" w:eastAsia="Aptos" w:hAnsi="Aptos" w:cs="Times New Roman"/>
          <w:lang w:val="es-AR"/>
        </w:rPr>
        <w:t xml:space="preserve">, de esta ciudad de </w:t>
      </w:r>
      <w:r w:rsidRPr="00C313F5">
        <w:rPr>
          <w:rFonts w:ascii="Aptos" w:eastAsia="Aptos" w:hAnsi="Aptos" w:cs="Times New Roman"/>
        </w:rPr>
        <w:t>{{ datos_cliente.localidad }}</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ANSES (UDAI Salta), con domicilio en calle Jujuy Nº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r w:rsidRPr="00372787">
        <w:rPr>
          <w:rFonts w:ascii="Aptos" w:eastAsia="Aptos" w:hAnsi="Aptos" w:cs="Times New Roman"/>
          <w:lang w:val="es-AR"/>
        </w:rPr>
        <w:t>N°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Tal como surge de la demanda interpuesta cuya reserva se solicitó, se habilita la instancia a partir de la denegatoria de la solicitud de reajuste de haberes que figura en el sistema de Anses con fecha {{ beneficio.fecha_reajuste}} , que recayó en el expte N° {{beneficio.expediente_reajuste}},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adquisición del derecho: {{datos_cliente.fecha_adquisicion_derecho}}</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Beneficio: {{beneficio.numero_beneficio}}</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Expediente: {{</w:t>
      </w:r>
      <w:r>
        <w:rPr>
          <w:rFonts w:ascii="Aptos" w:eastAsia="Aptos" w:hAnsi="Aptos" w:cs="Times New Roman"/>
          <w:lang w:val="es-AR"/>
        </w:rPr>
        <w:t>beneficio.</w:t>
      </w:r>
      <w:r w:rsidRPr="0068564E">
        <w:rPr>
          <w:rFonts w:ascii="Aptos" w:eastAsia="Aptos" w:hAnsi="Aptos" w:cs="Times New Roman"/>
          <w:lang w:val="es-AR"/>
        </w:rPr>
        <w:t>expediente_reajuste}}</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Periodos de remuneraciones tomados: {{</w:t>
      </w:r>
      <w:r>
        <w:rPr>
          <w:rFonts w:ascii="Aptos" w:eastAsia="Aptos" w:hAnsi="Aptos" w:cs="Times New Roman"/>
          <w:lang w:val="es-AR"/>
        </w:rPr>
        <w:t xml:space="preserve"> </w:t>
      </w:r>
      <w:r w:rsidRPr="0068564E">
        <w:t>beneficio</w:t>
      </w:r>
      <w:r>
        <w:t>.</w:t>
      </w:r>
      <w:r w:rsidRPr="0068564E">
        <w:rPr>
          <w:rFonts w:ascii="Aptos" w:eastAsia="Aptos" w:hAnsi="Aptos" w:cs="Times New Roman"/>
          <w:lang w:val="es-AR"/>
        </w:rPr>
        <w:t>fecha_inicio_remuneraciones}}  al {{</w:t>
      </w:r>
      <w:r>
        <w:rPr>
          <w:rFonts w:ascii="Aptos" w:eastAsia="Aptos" w:hAnsi="Aptos" w:cs="Times New Roman"/>
          <w:lang w:val="es-AR"/>
        </w:rPr>
        <w:t xml:space="preserve"> beneficio.</w:t>
      </w:r>
      <w:r w:rsidRPr="0068564E">
        <w:rPr>
          <w:rFonts w:ascii="Aptos" w:eastAsia="Aptos" w:hAnsi="Aptos" w:cs="Times New Roman"/>
          <w:lang w:val="es-AR"/>
        </w:rPr>
        <w:t>fecha_fin_remuneraciones}}</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r>
        <w:rPr>
          <w:rFonts w:ascii="Aptos" w:eastAsia="Aptos" w:hAnsi="Aptos" w:cs="Times New Roman"/>
          <w:lang w:val="es-AR"/>
        </w:rPr>
        <w:t>servicios.</w:t>
      </w:r>
      <w:r w:rsidRPr="00EA41B0">
        <w:rPr>
          <w:rFonts w:ascii="Aptos" w:eastAsia="Aptos" w:hAnsi="Aptos" w:cs="Times New Roman"/>
          <w:lang w:val="es-AR"/>
        </w:rPr>
        <w:t>servicios_autonomos</w:t>
      </w:r>
      <w:r w:rsidRPr="0068564E">
        <w:rPr>
          <w:rFonts w:ascii="Aptos" w:eastAsia="Aptos" w:hAnsi="Aptos" w:cs="Times New Roman"/>
          <w:lang w:val="es-AR"/>
        </w:rPr>
        <w:t>}}</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cese: {{</w:t>
      </w:r>
      <w:r>
        <w:rPr>
          <w:rFonts w:ascii="Aptos" w:eastAsia="Aptos" w:hAnsi="Aptos" w:cs="Times New Roman"/>
          <w:lang w:val="es-AR"/>
        </w:rPr>
        <w:t>beneficio.</w:t>
      </w:r>
      <w:r w:rsidRPr="0068564E">
        <w:rPr>
          <w:rFonts w:ascii="Aptos" w:eastAsia="Aptos" w:hAnsi="Aptos" w:cs="Times New Roman"/>
          <w:lang w:val="es-AR"/>
        </w:rPr>
        <w:t>fecha</w:t>
      </w:r>
      <w:r>
        <w:rPr>
          <w:rFonts w:ascii="Aptos" w:eastAsia="Aptos" w:hAnsi="Aptos" w:cs="Times New Roman"/>
          <w:lang w:val="es-AR"/>
        </w:rPr>
        <w:t>_c</w:t>
      </w:r>
      <w:r w:rsidRPr="0068564E">
        <w:rPr>
          <w:rFonts w:ascii="Aptos" w:eastAsia="Aptos" w:hAnsi="Aptos" w:cs="Times New Roman"/>
          <w:lang w:val="es-AR"/>
        </w:rPr>
        <w:t>ese}}</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en actividad: {{</w:t>
      </w:r>
      <w:r>
        <w:rPr>
          <w:rFonts w:ascii="Aptos" w:eastAsia="Aptos" w:hAnsi="Aptos" w:cs="Times New Roman"/>
          <w:lang w:val="es-AR"/>
        </w:rPr>
        <w:t>beneficio.</w:t>
      </w:r>
      <w:r w:rsidRPr="000B72E4">
        <w:rPr>
          <w:rFonts w:ascii="Aptos" w:eastAsia="Aptos" w:hAnsi="Aptos" w:cs="Times New Roman"/>
          <w:lang w:val="es-AR"/>
        </w:rPr>
        <w:t>ultima_remuneracion_actividad</w:t>
      </w:r>
      <w:r w:rsidRPr="0068564E">
        <w:rPr>
          <w:rFonts w:ascii="Aptos" w:eastAsia="Aptos" w:hAnsi="Aptos" w:cs="Times New Roman"/>
          <w:lang w:val="es-AR"/>
        </w:rPr>
        <w:t xml:space="preserve"> }} al {{</w:t>
      </w:r>
      <w:r>
        <w:rPr>
          <w:rFonts w:ascii="Aptos" w:eastAsia="Aptos" w:hAnsi="Aptos" w:cs="Times New Roman"/>
          <w:lang w:val="es-AR"/>
        </w:rPr>
        <w:t>beneficio.</w:t>
      </w:r>
      <w:r w:rsidRPr="00AC64AC">
        <w:rPr>
          <w:rFonts w:ascii="Aptos" w:eastAsia="Aptos" w:hAnsi="Aptos" w:cs="Times New Roman"/>
          <w:lang w:val="es-AR"/>
        </w:rPr>
        <w:t>fecha_ultima_remuneracion_actividad</w:t>
      </w:r>
      <w:r w:rsidRPr="0068564E">
        <w:rPr>
          <w:rFonts w:ascii="Aptos" w:eastAsia="Aptos" w:hAnsi="Aptos" w:cs="Times New Roman"/>
          <w:lang w:val="es-AR"/>
        </w:rPr>
        <w:t xml:space="preserve"> }}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 {{</w:t>
      </w:r>
      <w:r>
        <w:rPr>
          <w:rFonts w:ascii="Aptos" w:eastAsia="Aptos" w:hAnsi="Aptos" w:cs="Times New Roman"/>
          <w:lang w:val="es-AR"/>
        </w:rPr>
        <w:t>beneficio.</w:t>
      </w:r>
      <w:r w:rsidRPr="005F585D">
        <w:rPr>
          <w:rFonts w:ascii="Aptos" w:eastAsia="Aptos" w:hAnsi="Aptos" w:cs="Times New Roman"/>
          <w:lang w:val="es-AR"/>
        </w:rPr>
        <w:t>ultima_remuneracion_actualizada_anses</w:t>
      </w:r>
      <w:r w:rsidRPr="0068564E">
        <w:rPr>
          <w:rFonts w:ascii="Aptos" w:eastAsia="Aptos" w:hAnsi="Aptos" w:cs="Times New Roman"/>
          <w:lang w:val="es-AR"/>
        </w:rPr>
        <w:t xml:space="preserve"> }}</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Alta del primer haber: {{</w:t>
      </w:r>
      <w:r>
        <w:rPr>
          <w:rFonts w:ascii="Aptos" w:eastAsia="Aptos" w:hAnsi="Aptos" w:cs="Times New Roman"/>
          <w:lang w:val="es-AR"/>
        </w:rPr>
        <w:t>beneficio.</w:t>
      </w:r>
      <w:r w:rsidRPr="005F585D">
        <w:rPr>
          <w:rFonts w:ascii="Aptos" w:eastAsia="Aptos" w:hAnsi="Aptos" w:cs="Times New Roman"/>
          <w:lang w:val="es-AR"/>
        </w:rPr>
        <w:t>fecha_alta_primer_haber</w:t>
      </w:r>
      <w:r w:rsidRPr="0068564E">
        <w:rPr>
          <w:rFonts w:ascii="Aptos" w:eastAsia="Aptos" w:hAnsi="Aptos" w:cs="Times New Roman"/>
          <w:lang w:val="es-AR"/>
        </w:rPr>
        <w:t xml:space="preserve"> }}</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Monto Primer haber jubilatorio: {{</w:t>
      </w:r>
      <w:r w:rsidRPr="0068564E">
        <w:t xml:space="preserve"> </w:t>
      </w:r>
      <w:r>
        <w:rPr>
          <w:rFonts w:ascii="Aptos" w:eastAsia="Aptos" w:hAnsi="Aptos" w:cs="Times New Roman"/>
          <w:lang w:val="es-AR"/>
        </w:rPr>
        <w:t>beneficio.</w:t>
      </w:r>
      <w:r w:rsidRPr="0004484D">
        <w:rPr>
          <w:rFonts w:ascii="Aptos" w:eastAsia="Aptos" w:hAnsi="Aptos" w:cs="Times New Roman"/>
          <w:lang w:val="es-AR"/>
        </w:rPr>
        <w:t>monto_primer_haber</w:t>
      </w:r>
      <w:r w:rsidRPr="0068564E">
        <w:rPr>
          <w:rFonts w:ascii="Aptos" w:eastAsia="Aptos" w:hAnsi="Aptos" w:cs="Times New Roman"/>
          <w:lang w:val="es-AR"/>
        </w:rPr>
        <w:t>}}</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Tasa de reemplazo = {{</w:t>
      </w:r>
      <w:r w:rsidRPr="0068564E">
        <w:t xml:space="preserve"> </w:t>
      </w:r>
      <w:r>
        <w:rPr>
          <w:rFonts w:ascii="Aptos" w:eastAsia="Aptos" w:hAnsi="Aptos" w:cs="Times New Roman"/>
          <w:lang w:val="es-AR"/>
        </w:rPr>
        <w:t>beneficio.</w:t>
      </w:r>
      <w:r w:rsidRPr="0004484D">
        <w:rPr>
          <w:rFonts w:ascii="Aptos" w:eastAsia="Aptos" w:hAnsi="Aptos" w:cs="Times New Roman"/>
          <w:lang w:val="es-AR"/>
        </w:rPr>
        <w:t>taza_de_reemplazo</w:t>
      </w:r>
      <w:r w:rsidRPr="0068564E">
        <w:rPr>
          <w:rFonts w:ascii="Aptos" w:eastAsia="Aptos" w:hAnsi="Aptos" w:cs="Times New Roman"/>
          <w:lang w:val="es-AR"/>
        </w:rPr>
        <w:t>}} % (Jubilación/Salario en actividad actualizado con índice de Anses)</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r>
        <w:rPr>
          <w:rFonts w:ascii="Aptos" w:eastAsia="Aptos" w:hAnsi="Aptos" w:cs="Times New Roman"/>
          <w:lang w:val="es-AR"/>
        </w:rPr>
        <w:t>servicios.</w:t>
      </w:r>
      <w:r w:rsidRPr="0068564E">
        <w:rPr>
          <w:rFonts w:ascii="Aptos" w:eastAsia="Aptos" w:hAnsi="Aptos" w:cs="Times New Roman"/>
          <w:lang w:val="es-AR"/>
        </w:rPr>
        <w:t>servicios_dependencia}}</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Haber percibido al {{</w:t>
      </w:r>
      <w:r>
        <w:rPr>
          <w:rFonts w:ascii="Aptos" w:eastAsia="Aptos" w:hAnsi="Aptos" w:cs="Times New Roman"/>
          <w:lang w:val="es-AR"/>
        </w:rPr>
        <w:t>beneficio.</w:t>
      </w:r>
      <w:r w:rsidRPr="0068564E">
        <w:rPr>
          <w:rFonts w:ascii="Aptos" w:eastAsia="Aptos" w:hAnsi="Aptos" w:cs="Times New Roman"/>
          <w:lang w:val="es-AR"/>
        </w:rPr>
        <w:t>fecha_</w:t>
      </w:r>
      <w:r>
        <w:rPr>
          <w:rFonts w:ascii="Aptos" w:eastAsia="Aptos" w:hAnsi="Aptos" w:cs="Times New Roman"/>
          <w:lang w:val="es-AR"/>
        </w:rPr>
        <w:t>u</w:t>
      </w:r>
      <w:r w:rsidRPr="0068564E">
        <w:rPr>
          <w:rFonts w:ascii="Aptos" w:eastAsia="Aptos" w:hAnsi="Aptos" w:cs="Times New Roman"/>
          <w:lang w:val="es-AR"/>
        </w:rPr>
        <w:t>ltimo_haber}}: {{</w:t>
      </w:r>
      <w:r w:rsidRPr="0068564E">
        <w:t xml:space="preserve"> </w:t>
      </w:r>
      <w:r>
        <w:rPr>
          <w:rFonts w:ascii="Aptos" w:eastAsia="Aptos" w:hAnsi="Aptos" w:cs="Times New Roman"/>
          <w:lang w:val="es-AR"/>
        </w:rPr>
        <w:t>beneficio.u</w:t>
      </w:r>
      <w:r w:rsidRPr="0068564E">
        <w:rPr>
          <w:rFonts w:ascii="Aptos" w:eastAsia="Aptos" w:hAnsi="Aptos" w:cs="Times New Roman"/>
          <w:lang w:val="es-AR"/>
        </w:rPr>
        <w:t>ltimo_haber}}</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inicio del Reclamo administrativo interruptivo de la prescripción: {{</w:t>
      </w:r>
      <w:r>
        <w:rPr>
          <w:rFonts w:ascii="Aptos" w:eastAsia="Aptos" w:hAnsi="Aptos" w:cs="Times New Roman"/>
          <w:lang w:val="es-AR"/>
        </w:rPr>
        <w:t>beneficio.</w:t>
      </w:r>
      <w:r w:rsidRPr="0068564E">
        <w:rPr>
          <w:rFonts w:ascii="Aptos" w:eastAsia="Aptos" w:hAnsi="Aptos" w:cs="Times New Roman"/>
          <w:lang w:val="es-AR"/>
        </w:rPr>
        <w:t>fecha_reclamo}}</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if </w:t>
      </w:r>
      <w:r w:rsidRPr="009728DB">
        <w:rPr>
          <w:rFonts w:ascii="Aptos" w:eastAsia="Aptos" w:hAnsi="Aptos" w:cs="Times New Roman"/>
          <w:b/>
          <w:bCs/>
          <w:lang w:val="es-AR"/>
        </w:rPr>
        <w:t>sumas_no_remunerativas.Titulo_sumas_no_remunerativas</w:t>
      </w:r>
      <w:r w:rsidRPr="0021082D">
        <w:rPr>
          <w:rFonts w:ascii="Aptos" w:eastAsia="Aptos" w:hAnsi="Aptos" w:cs="Times New Roman"/>
        </w:rPr>
        <w:t xml:space="preserve"> %} </w:t>
      </w:r>
    </w:p>
    <w:p w14:paraId="266C4B90" w14:textId="77777777" w:rsidR="00BD4215" w:rsidRPr="00EF3727" w:rsidRDefault="00BD4215" w:rsidP="00372787">
      <w:pPr>
        <w:ind w:firstLine="709"/>
        <w:jc w:val="both"/>
        <w:rPr>
          <w:rFonts w:ascii="Aptos" w:eastAsia="Aptos" w:hAnsi="Aptos" w:cs="Times New Roman"/>
          <w:lang w:val="es-AR"/>
        </w:rPr>
      </w:pPr>
    </w:p>
    <w:p w14:paraId="3A53E85E" w14:textId="77777777" w:rsidR="00006C2E" w:rsidRPr="00EF3727" w:rsidRDefault="00006C2E" w:rsidP="00006C2E">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400624E2" w14:textId="77777777" w:rsidR="00006C2E" w:rsidRPr="00EF3727" w:rsidRDefault="00006C2E" w:rsidP="00006C2E">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“Rainone de Ruffo” de la CSJN.</w:t>
      </w:r>
    </w:p>
    <w:p w14:paraId="46C1B78F" w14:textId="77777777" w:rsidR="00006C2E" w:rsidRDefault="00006C2E" w:rsidP="00006C2E">
      <w:pPr>
        <w:ind w:firstLine="360"/>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68C276AE" w14:textId="77777777" w:rsidR="003661BB" w:rsidRDefault="003661BB" w:rsidP="00006C2E">
      <w:pPr>
        <w:ind w:firstLine="360"/>
        <w:jc w:val="both"/>
        <w:rPr>
          <w:rFonts w:ascii="Aptos" w:eastAsia="Times New Roman" w:hAnsi="Aptos" w:cs="Times New Roman"/>
          <w:color w:val="000000"/>
          <w:lang w:val="es-AR" w:eastAsia="es-AR"/>
        </w:rPr>
      </w:pPr>
    </w:p>
    <w:p w14:paraId="13FBD2FD"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{{sumas_no_remunerativas.parrafo_sumas}}</w:t>
      </w:r>
    </w:p>
    <w:p w14:paraId="3ED9F8EB"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p>
    <w:p w14:paraId="1F80319B" w14:textId="77777777" w:rsidR="003661BB" w:rsidRPr="00EF3727" w:rsidRDefault="003661BB" w:rsidP="00006C2E">
      <w:pPr>
        <w:ind w:firstLine="360"/>
        <w:jc w:val="both"/>
        <w:rPr>
          <w:rFonts w:ascii="Aptos" w:eastAsia="Aptos" w:hAnsi="Aptos" w:cs="Times New Roman"/>
          <w:lang w:val="es-AR"/>
        </w:rPr>
      </w:pPr>
    </w:p>
    <w:p w14:paraId="41F28BF5" w14:textId="77777777" w:rsidR="001F3711" w:rsidRPr="009728DB" w:rsidRDefault="001F3711" w:rsidP="001F3711">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Imagen_</w:t>
      </w:r>
      <w:bookmarkStart w:id="1" w:name="Imagen_aqui"/>
      <w:bookmarkEnd w:id="1"/>
      <w:r w:rsidRPr="009728DB">
        <w:rPr>
          <w:rFonts w:ascii="Aptos" w:eastAsia="Times New Roman" w:hAnsi="Aptos" w:cs="Times New Roman"/>
          <w:color w:val="000000"/>
          <w:lang w:val="es-AR" w:eastAsia="es-AR"/>
        </w:rPr>
        <w:t>suma_aqui</w:t>
      </w:r>
    </w:p>
    <w:p w14:paraId="12B1A892" w14:textId="5A6A7AB6" w:rsidR="00006C2E" w:rsidRPr="00EF3727" w:rsidRDefault="00006C2E" w:rsidP="00006C2E">
      <w:pPr>
        <w:spacing w:after="0" w:line="240" w:lineRule="auto"/>
        <w:ind w:firstLine="426"/>
        <w:jc w:val="both"/>
        <w:rPr>
          <w:rFonts w:ascii="Aptos" w:eastAsia="Times New Roman" w:hAnsi="Aptos" w:cs="Times New Roman"/>
          <w:color w:val="000000"/>
          <w:lang w:val="es-AR" w:eastAsia="es-AR"/>
        </w:rPr>
      </w:pPr>
    </w:p>
    <w:p w14:paraId="449CAFC5" w14:textId="77777777" w:rsidR="00006C2E" w:rsidRDefault="00006C2E" w:rsidP="00006C2E">
      <w:pPr>
        <w:spacing w:after="0" w:line="240" w:lineRule="auto"/>
        <w:ind w:firstLine="709"/>
        <w:jc w:val="both"/>
        <w:rPr>
          <w:rFonts w:ascii="Aptos" w:eastAsia="Times New Roman" w:hAnsi="Aptos" w:cs="Times New Roman"/>
          <w:color w:val="000000"/>
          <w:lang w:val="es-AR" w:eastAsia="es-AR"/>
        </w:rPr>
      </w:pPr>
    </w:p>
    <w:p w14:paraId="4A100463"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“Rainone de Ruffo, Juana Teresa Berta c/ ANSeS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6385326A"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07EBEE4B"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121684D"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79AAF629" w14:textId="77777777" w:rsidR="00006C2E" w:rsidRDefault="00006C2E" w:rsidP="00006C2E">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Cauwlaert, Eduardo”, sent. del 9/6/17, haciéndose mérito de la doctrina que emana del precedente “Rainone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Fallos: 333:699 “González, Martín Nicolás c/ Polimat S.A. y otro”, sent. del 19/5/2010.</w:t>
      </w:r>
    </w:p>
    <w:p w14:paraId="29C4DBB8" w14:textId="77777777" w:rsidR="00917E6D" w:rsidRDefault="00917E6D" w:rsidP="00006C2E">
      <w:pPr>
        <w:ind w:firstLine="360"/>
        <w:jc w:val="both"/>
        <w:rPr>
          <w:rFonts w:ascii="Aptos" w:eastAsia="Times New Roman" w:hAnsi="Aptos" w:cs="Times New Roman"/>
          <w:color w:val="000000"/>
          <w:lang w:val="es-AR" w:eastAsia="es-AR"/>
        </w:rPr>
      </w:pPr>
    </w:p>
    <w:p w14:paraId="6EEA4AEE" w14:textId="77777777" w:rsidR="00917E6D" w:rsidRPr="00EF3727" w:rsidRDefault="00917E6D" w:rsidP="00917E6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Pr>
          <w:rFonts w:ascii="Aptos" w:eastAsia="Aptos" w:hAnsi="Aptos" w:cs="Times New Roman"/>
          <w:b/>
          <w:bCs/>
          <w:lang w:val="es-AR"/>
        </w:rPr>
        <w:t>error_material.</w:t>
      </w:r>
      <w:r w:rsidRPr="00EE720B">
        <w:rPr>
          <w:rFonts w:ascii="Aptos" w:eastAsia="Aptos" w:hAnsi="Aptos" w:cs="Times New Roman"/>
          <w:b/>
          <w:bCs/>
          <w:lang w:val="es-AR"/>
        </w:rPr>
        <w:t>Titulo_error_material</w:t>
      </w:r>
      <w:r w:rsidRPr="0021082D">
        <w:rPr>
          <w:rFonts w:ascii="Aptos" w:eastAsia="Aptos" w:hAnsi="Aptos" w:cs="Times New Roman"/>
        </w:rPr>
        <w:t xml:space="preserve"> %}</w:t>
      </w:r>
    </w:p>
    <w:p w14:paraId="7FFE332B" w14:textId="77777777" w:rsidR="00A5014C" w:rsidRPr="00413C00" w:rsidRDefault="00A5014C" w:rsidP="00A5014C">
      <w:pPr>
        <w:ind w:left="1224" w:hanging="231"/>
        <w:contextualSpacing/>
        <w:jc w:val="both"/>
        <w:rPr>
          <w:rFonts w:ascii="Aptos" w:eastAsia="Aptos" w:hAnsi="Aptos" w:cs="Times New Roman"/>
          <w:b/>
          <w:bCs/>
          <w:lang w:val="es-AR"/>
        </w:rPr>
      </w:pPr>
      <w:r>
        <w:rPr>
          <w:rFonts w:ascii="Aptos" w:eastAsia="Aptos" w:hAnsi="Aptos" w:cs="Times New Roman"/>
          <w:b/>
          <w:bCs/>
          <w:lang w:val="es-AR"/>
        </w:rPr>
        <w:t>{{error_material.</w:t>
      </w:r>
      <w:r w:rsidRPr="00EE720B">
        <w:rPr>
          <w:rFonts w:ascii="Aptos" w:eastAsia="Aptos" w:hAnsi="Aptos" w:cs="Times New Roman"/>
          <w:b/>
          <w:bCs/>
          <w:lang w:val="es-AR"/>
        </w:rPr>
        <w:t>Titulo_error_material</w:t>
      </w:r>
      <w:r>
        <w:rPr>
          <w:rFonts w:ascii="Aptos" w:eastAsia="Aptos" w:hAnsi="Aptos" w:cs="Times New Roman"/>
          <w:b/>
          <w:bCs/>
          <w:lang w:val="es-AR"/>
        </w:rPr>
        <w:t>}}</w:t>
      </w:r>
    </w:p>
    <w:p w14:paraId="55FE014A"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{{error_material.parrafo_1}}</w:t>
      </w:r>
    </w:p>
    <w:p w14:paraId="0C8459B7"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{{error_material.parrafo_2}}</w:t>
      </w:r>
    </w:p>
    <w:p w14:paraId="4C726F30" w14:textId="77777777" w:rsidR="00A5014C" w:rsidRDefault="00A5014C" w:rsidP="00A5014C">
      <w:pPr>
        <w:contextualSpacing/>
        <w:jc w:val="both"/>
        <w:rPr>
          <w:rFonts w:ascii="Aptos" w:eastAsia="Aptos" w:hAnsi="Aptos" w:cs="Times New Roman"/>
          <w:lang w:val="es-AR"/>
        </w:rPr>
      </w:pPr>
      <w:r>
        <w:rPr>
          <w:rFonts w:ascii="Aptos" w:eastAsia="Aptos" w:hAnsi="Aptos" w:cs="Times New Roman"/>
          <w:lang w:val="es-AR"/>
        </w:rPr>
        <w:t xml:space="preserve">                           {{error_material.parrafo_3}}</w:t>
      </w:r>
    </w:p>
    <w:p w14:paraId="5D2056A2" w14:textId="77777777" w:rsidR="00A5014C" w:rsidRDefault="00A5014C" w:rsidP="00A5014C">
      <w:pPr>
        <w:ind w:left="1713"/>
        <w:contextualSpacing/>
        <w:jc w:val="both"/>
        <w:rPr>
          <w:rFonts w:ascii="Aptos" w:eastAsia="Aptos" w:hAnsi="Aptos" w:cs="Times New Roman"/>
          <w:lang w:val="es-AR"/>
        </w:rPr>
      </w:pPr>
    </w:p>
    <w:p w14:paraId="3CA868A8" w14:textId="77777777" w:rsidR="00A5014C" w:rsidRPr="00413C00" w:rsidRDefault="00A5014C" w:rsidP="00A5014C">
      <w:pPr>
        <w:ind w:left="708" w:firstLine="708"/>
        <w:contextualSpacing/>
        <w:jc w:val="both"/>
        <w:rPr>
          <w:rFonts w:ascii="Aptos" w:eastAsia="Aptos" w:hAnsi="Aptos" w:cs="Times New Roman"/>
          <w:lang w:val="es-AR"/>
        </w:rPr>
      </w:pPr>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
    <w:p w14:paraId="23C3CCC6" w14:textId="77777777" w:rsidR="00A5014C" w:rsidRPr="00413C00" w:rsidRDefault="00A5014C" w:rsidP="00A5014C">
      <w:pPr>
        <w:ind w:left="720" w:firstLine="131"/>
        <w:contextualSpacing/>
        <w:jc w:val="both"/>
        <w:rPr>
          <w:rFonts w:ascii="Aptos" w:eastAsia="Aptos" w:hAnsi="Aptos" w:cs="Times New Roman"/>
          <w:lang w:val="es-AR"/>
        </w:rPr>
      </w:pPr>
    </w:p>
    <w:p w14:paraId="2993964E"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{{error_material.parrafo_4}}</w:t>
      </w:r>
    </w:p>
    <w:p w14:paraId="1DFA0807"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{{error_material.parrafo_5}}</w:t>
      </w:r>
    </w:p>
    <w:p w14:paraId="1C12B848"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{{error_material.parrafo_6}}</w:t>
      </w:r>
    </w:p>
    <w:p w14:paraId="15345D6D"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{{error_material.parrafo_7}}</w:t>
      </w:r>
    </w:p>
    <w:p w14:paraId="14F0EC14" w14:textId="77777777" w:rsidR="00A5014C" w:rsidRDefault="00A5014C" w:rsidP="00A5014C">
      <w:pPr>
        <w:ind w:left="993"/>
        <w:contextualSpacing/>
        <w:jc w:val="both"/>
        <w:rPr>
          <w:rFonts w:ascii="Aptos" w:eastAsia="Aptos" w:hAnsi="Aptos" w:cs="Times New Roman"/>
          <w:lang w:val="es-AR"/>
        </w:rPr>
      </w:pPr>
    </w:p>
    <w:p w14:paraId="799D67B2" w14:textId="77777777" w:rsidR="00A5014C" w:rsidRPr="00EF3727"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Basta con tomar la primera remuneración que utiliza Anses para el promedio al 10.2012, donde el importe original es $ 2394,70, y el actualizado a la FAD ,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r w:rsidRPr="00EF3727">
          <w:rPr>
            <w:rFonts w:ascii="Aptos" w:eastAsia="Aptos" w:hAnsi="Aptos" w:cs="Times New Roman"/>
            <w:color w:val="467886"/>
            <w:u w:val="single"/>
            <w:lang w:val="es-AR"/>
          </w:rPr>
          <w:t>Elliff,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“Monzo”,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“Elliff”,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redeterminar el haber sea mensual, </w:t>
      </w:r>
      <w:r w:rsidRPr="00EF3727">
        <w:rPr>
          <w:rFonts w:ascii="Aptos" w:eastAsia="Aptos" w:hAnsi="Aptos" w:cs="Times New Roman"/>
          <w:lang w:val="es-AR"/>
        </w:rPr>
        <w:t>y no de manera trimestral y en caso de seguir aplicando el RIPTE se proceda a corregir el rezago que ocasiona su aplicación, dado que la medición de este tiene entre 6 a 9 meses de delay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xml:space="preserve">, el ISBIC era el índice correcto, dado que mostraba la evolución de los salarios básicos de la industria y la construcción -personal no calificado-el cual no sólo fue elegido por la CSJN en el precedente “Elliff”,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Anses (Ripte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Ripte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inc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Ripte con rezago, y las remuneraciones de mi mandante deben actualizarse con Isbic al 2.09, de conformidad con lo resuelto por la CSJN en los autos “Elliff”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W con isbic al 2009 y luego Anses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r w:rsidRPr="00DE5A20">
          <w:rPr>
            <w:rStyle w:val="Hipervnculo"/>
            <w:rFonts w:ascii="Aptos" w:eastAsia="Aptos" w:hAnsi="Aptos" w:cs="Times New Roman"/>
            <w:lang w:val="es-AR"/>
          </w:rPr>
          <w:t>Elliff,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“Bortolotto”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“Monzo”,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“Elliff”,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delay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xml:space="preserve">, el ISBIC era el índice correcto, dado que mostraba la evolución de los salarios básicos de la industria y la construcción -personal no calificado-el cual no sólo fue elegido por la CSJN en el precedente “Elliff”,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inc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por cuanto fijan para actualizar las remuneraciones Ripte con rezago, y las remuneraciones de mi mandante deben actualizarse con Isbic al 2.09, de conformidad con lo resuelto por la CSJN en los autos “Elliff”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W con isbic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r w:rsidRPr="00C91F4F">
          <w:rPr>
            <w:rStyle w:val="Hipervnculo"/>
            <w:rFonts w:ascii="Aptos" w:eastAsia="Aptos" w:hAnsi="Aptos" w:cs="Times New Roman"/>
            <w:lang w:val="es-AR"/>
          </w:rPr>
          <w:t>Elliff,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“Bortolotto”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“Monzo”,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“Elliff”,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delay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xml:space="preserve">, el ISBIC era el índice correcto, dado que mostraba la evolución de los salarios básicos de la industria y la construcción -personal no calificado-el cual no sólo fue elegido por la CSJN en el precedente “Elliff”,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P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inc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79C36BBA" w14:textId="77777777" w:rsidR="00B92919" w:rsidRPr="00EF3727" w:rsidRDefault="00B92919" w:rsidP="00B92919">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7752AC46" wp14:editId="39A7E2EC">
            <wp:extent cx="3507740" cy="1330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908BE3F" w14:textId="77777777" w:rsidR="00B92919" w:rsidRPr="00EF3727" w:rsidRDefault="00B92919" w:rsidP="00B92919">
      <w:pPr>
        <w:ind w:left="567" w:firstLine="426"/>
        <w:jc w:val="both"/>
        <w:rPr>
          <w:rFonts w:ascii="Aptos" w:eastAsia="Aptos" w:hAnsi="Aptos" w:cs="Times New Roman"/>
          <w:lang w:val="es-AR"/>
        </w:rPr>
      </w:pPr>
      <w:r w:rsidRPr="0091663A">
        <w:rPr>
          <w:rFonts w:ascii="Aptos" w:eastAsia="Aptos" w:hAnsi="Aptos" w:cs="Times New Roman"/>
          <w:lang w:val="es-AR"/>
        </w:rPr>
        <w:t xml:space="preserve"> </w:t>
      </w:r>
      <w:commentRangeStart w:id="5"/>
      <w:r w:rsidRPr="001C16C0">
        <w:rPr>
          <w:noProof/>
          <w:highlight w:val="yellow"/>
          <w:lang w:eastAsia="es-ES"/>
        </w:rPr>
        <w:drawing>
          <wp:inline distT="0" distB="0" distL="0" distR="0" wp14:anchorId="78B938D8" wp14:editId="74C6B0C0">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20"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1" w:history="1">
        <w:r w:rsidRPr="00EF3727">
          <w:rPr>
            <w:rFonts w:ascii="Aptos" w:eastAsia="Aptos" w:hAnsi="Aptos" w:cs="Times New Roman"/>
            <w:color w:val="467886"/>
            <w:u w:val="single"/>
          </w:rPr>
          <w:t>“Ciuti Pablo c/ ANSES s/ reajustes varios”, sentencia del 30/6/2015</w:t>
        </w:r>
      </w:hyperlink>
      <w:r w:rsidRPr="00EF3727">
        <w:rPr>
          <w:rFonts w:ascii="Aptos" w:eastAsia="Aptos" w:hAnsi="Aptos" w:cs="Times New Roman"/>
        </w:rPr>
        <w:t xml:space="preserve">(CSJ 111/2012(48-C)/CS1);  </w:t>
      </w:r>
      <w:hyperlink r:id="rId22" w:history="1">
        <w:r w:rsidRPr="00EF3727">
          <w:rPr>
            <w:rFonts w:ascii="Aptos" w:eastAsia="Aptos" w:hAnsi="Aptos" w:cs="Times New Roman"/>
            <w:color w:val="467886"/>
            <w:u w:val="single"/>
          </w:rPr>
          <w:t>Pichersky Alberto Raúl c/Anses s/reajustes Varios”, la C.S.J.N, el 23 de mayo de 2017</w:t>
        </w:r>
      </w:hyperlink>
      <w:r w:rsidRPr="00EF3727">
        <w:rPr>
          <w:rFonts w:ascii="Aptos" w:eastAsia="Aptos" w:hAnsi="Aptos" w:cs="Times New Roman"/>
        </w:rPr>
        <w:t>(Expte SS 80278/20l2/l/RH 1</w:t>
      </w:r>
      <w:hyperlink r:id="rId23" w:history="1">
        <w:r w:rsidRPr="00EF3727">
          <w:rPr>
            <w:rFonts w:ascii="Aptos" w:eastAsia="Aptos" w:hAnsi="Aptos" w:cs="Times New Roman"/>
            <w:color w:val="467886"/>
            <w:u w:val="single"/>
          </w:rPr>
          <w:t>)“González Héctor Orlando c/ ANSES s/ Reajuste de haberes” Expte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Soule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total del haber inicial</w:t>
      </w:r>
      <w:r w:rsidRPr="00EF3727">
        <w:rPr>
          <w:rFonts w:ascii="Aptos" w:eastAsia="Aptos" w:hAnsi="Aptos" w:cs="Times New Roman"/>
          <w:bCs/>
          <w:i/>
          <w:sz w:val="20"/>
          <w:szCs w:val="20"/>
        </w:rPr>
        <w:t xml:space="preserve">  </w:t>
      </w:r>
      <w:r w:rsidRPr="00EF3727">
        <w:rPr>
          <w:rFonts w:ascii="Aptos" w:eastAsia="Aptos" w:hAnsi="Aptos" w:cs="Times New Roman"/>
          <w:bCs/>
          <w:i/>
        </w:rPr>
        <w:t>y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3DFA83F9" w14:textId="77777777" w:rsidR="00B92919" w:rsidRDefault="00B92919" w:rsidP="00B92919">
      <w:pPr>
        <w:numPr>
          <w:ilvl w:val="1"/>
          <w:numId w:val="6"/>
        </w:numPr>
        <w:ind w:left="284" w:firstLine="993"/>
        <w:contextualSpacing/>
        <w:jc w:val="both"/>
        <w:rPr>
          <w:rFonts w:ascii="Aptos" w:eastAsia="Aptos" w:hAnsi="Aptos" w:cs="Times New Roman"/>
          <w:lang w:val="es-AR"/>
        </w:rPr>
      </w:pPr>
      <w:commentRangeStart w:id="6"/>
      <w:r w:rsidRPr="0098445E">
        <w:rPr>
          <w:rFonts w:ascii="Aptos" w:eastAsia="Aptos" w:hAnsi="Aptos" w:cs="Times New Roman"/>
          <w:highlight w:val="yellow"/>
          <w:lang w:val="es-AR"/>
        </w:rPr>
        <w:t>El haber sería más integral, teniendo en cuenta el último haber percibido por mi mandate en actividad que era de $ 129.270,66 y la Pbu sin quita, permitiría obtener un haber de reemplazo del 67% y con quita de Soule del 57%.</w:t>
      </w:r>
      <w:commentRangeEnd w:id="6"/>
      <w:r>
        <w:rPr>
          <w:rStyle w:val="Refdecomentario"/>
        </w:rPr>
        <w:commentReference w:id="6"/>
      </w:r>
    </w:p>
    <w:p w14:paraId="4EA5B827" w14:textId="77777777" w:rsidR="00B92919" w:rsidRPr="0098445E" w:rsidRDefault="00B92919" w:rsidP="00B92919">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4696A20F" w14:textId="77777777" w:rsidR="00B92919" w:rsidRDefault="00B92919" w:rsidP="00B92919">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FF4CCF" wp14:editId="183298DD">
            <wp:extent cx="4105848" cy="20386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038635"/>
                    </a:xfrm>
                    <a:prstGeom prst="rect">
                      <a:avLst/>
                    </a:prstGeom>
                  </pic:spPr>
                </pic:pic>
              </a:graphicData>
            </a:graphic>
          </wp:inline>
        </w:drawing>
      </w:r>
    </w:p>
    <w:p w14:paraId="1BD3F6E3" w14:textId="77777777" w:rsidR="00B92919" w:rsidRPr="00134B6E" w:rsidRDefault="00B92919" w:rsidP="00B92919">
      <w:pPr>
        <w:ind w:firstLine="993"/>
        <w:contextualSpacing/>
        <w:jc w:val="both"/>
        <w:rPr>
          <w:rFonts w:ascii="Aptos" w:eastAsia="Aptos" w:hAnsi="Aptos" w:cs="Times New Roman"/>
          <w:highlight w:val="yellow"/>
          <w:lang w:val="es-AR"/>
        </w:rPr>
      </w:pPr>
      <w:commentRangeStart w:id="7"/>
      <w:r w:rsidRPr="00134B6E">
        <w:rPr>
          <w:rFonts w:ascii="Aptos" w:eastAsia="Aptos" w:hAnsi="Aptos" w:cs="Times New Roman"/>
          <w:highlight w:val="yellow"/>
          <w:lang w:val="es-AR"/>
        </w:rPr>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DB32959" w14:textId="77777777" w:rsidR="00B92919" w:rsidRDefault="00B92919" w:rsidP="00B92919">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7"/>
      <w:r>
        <w:rPr>
          <w:rStyle w:val="Refdecomentario"/>
        </w:rPr>
        <w:commentReference w:id="7"/>
      </w: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sidRPr="001143DA">
        <w:rPr>
          <w:rFonts w:ascii="Aptos" w:eastAsia="Aptos" w:hAnsi="Aptos" w:cs="Times New Roman"/>
          <w:b/>
          <w:bCs/>
          <w:lang w:val="es-AR"/>
        </w:rPr>
        <w:t>taza_complementacion</w:t>
      </w:r>
      <w:r>
        <w:rPr>
          <w:rFonts w:ascii="Aptos" w:eastAsia="Aptos" w:hAnsi="Aptos" w:cs="Times New Roman"/>
          <w:b/>
          <w:bCs/>
          <w:lang w:val="es-AR"/>
        </w:rPr>
        <w:t>.</w:t>
      </w:r>
      <w:r w:rsidRPr="001143DA">
        <w:rPr>
          <w:rFonts w:ascii="Aptos" w:eastAsia="Aptos" w:hAnsi="Aptos" w:cs="Times New Roman"/>
          <w:b/>
          <w:bCs/>
          <w:lang w:val="es-AR"/>
        </w:rPr>
        <w:t>Titulo_taza_complementacion</w:t>
      </w:r>
      <w:r w:rsidRPr="0021082D">
        <w:rPr>
          <w:rFonts w:ascii="Aptos" w:eastAsia="Aptos" w:hAnsi="Aptos" w:cs="Times New Roman"/>
        </w:rPr>
        <w:t xml:space="preserve"> %}</w:t>
      </w:r>
    </w:p>
    <w:p w14:paraId="414C868F" w14:textId="77777777" w:rsidR="003166C8" w:rsidRPr="00B92919" w:rsidRDefault="003166C8" w:rsidP="00B92919">
      <w:pPr>
        <w:ind w:firstLine="993"/>
        <w:contextualSpacing/>
        <w:jc w:val="both"/>
        <w:rPr>
          <w:rFonts w:ascii="Aptos" w:eastAsia="Aptos" w:hAnsi="Aptos" w:cs="Times New Roman"/>
          <w:lang w:val="es-AR"/>
        </w:rPr>
      </w:pPr>
    </w:p>
    <w:p w14:paraId="4D460EBA" w14:textId="77777777" w:rsidR="00372787" w:rsidRPr="00EF3727" w:rsidRDefault="00372787" w:rsidP="00372787">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13AFD5C8"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5BA915D3" w14:textId="77777777" w:rsidR="00372787" w:rsidRPr="00EF3727" w:rsidRDefault="00372787" w:rsidP="00372787">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00B71407" w14:textId="77777777" w:rsidR="00372787" w:rsidRPr="00EF3727" w:rsidRDefault="00372787" w:rsidP="00372787">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2169BBF0" wp14:editId="1EE00BFD">
            <wp:extent cx="2945959" cy="2356073"/>
            <wp:effectExtent l="0" t="0" r="698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9FEB26D" w14:textId="77777777" w:rsidR="007F246B" w:rsidRPr="0098445E" w:rsidRDefault="00372787" w:rsidP="007F246B">
      <w:pPr>
        <w:numPr>
          <w:ilvl w:val="0"/>
          <w:numId w:val="7"/>
        </w:numPr>
        <w:ind w:left="0" w:firstLine="426"/>
        <w:contextualSpacing/>
        <w:jc w:val="both"/>
        <w:rPr>
          <w:rFonts w:ascii="Aptos" w:eastAsia="Aptos" w:hAnsi="Aptos" w:cs="Times New Roman"/>
          <w:lang w:val="es-AR"/>
        </w:rPr>
      </w:pPr>
      <w:hyperlink r:id="rId27" w:history="1">
        <w:r w:rsidRPr="007F246B">
          <w:rPr>
            <w:rFonts w:ascii="Aptos" w:eastAsia="Aptos" w:hAnsi="Aptos" w:cs="Times New Roman"/>
            <w:b/>
            <w:bCs/>
            <w:color w:val="467886"/>
            <w:u w:val="single"/>
            <w:lang w:val="es-AR"/>
          </w:rPr>
          <w:t>Ripte</w:t>
        </w:r>
      </w:hyperlink>
      <w:r w:rsidRPr="007F246B">
        <w:rPr>
          <w:rFonts w:ascii="Aptos" w:eastAsia="Aptos" w:hAnsi="Aptos" w:cs="Times New Roman"/>
          <w:b/>
          <w:bCs/>
          <w:lang w:val="es-AR"/>
        </w:rPr>
        <w:t xml:space="preserve"> </w:t>
      </w:r>
      <w:r w:rsidRPr="007F246B">
        <w:rPr>
          <w:rFonts w:ascii="Aptos" w:eastAsia="Aptos" w:hAnsi="Aptos" w:cs="Times New Roman"/>
          <w:lang w:val="es-AR"/>
        </w:rPr>
        <w:t>al último índice aplicado, mayo de 2024 es de $</w:t>
      </w:r>
      <w:r w:rsidRPr="007F246B">
        <w:rPr>
          <w:rFonts w:ascii="Aptos" w:eastAsia="Aptos" w:hAnsi="Aptos" w:cs="Times New Roman"/>
          <w:b/>
          <w:bCs/>
          <w:lang w:val="es-AR"/>
        </w:rPr>
        <w:t>879.483,08</w:t>
      </w:r>
      <w:r w:rsidRPr="007F246B">
        <w:rPr>
          <w:rFonts w:ascii="Aptos" w:eastAsia="Aptos" w:hAnsi="Aptos" w:cs="Times New Roman"/>
          <w:lang w:val="es-AR"/>
        </w:rPr>
        <w:t xml:space="preserve">, </w:t>
      </w:r>
      <w:r w:rsidR="007F246B" w:rsidRPr="00C77EF2">
        <w:rPr>
          <w:rFonts w:ascii="Aptos" w:eastAsia="Aptos" w:hAnsi="Aptos" w:cs="Times New Roman"/>
          <w:highlight w:val="yellow"/>
          <w:lang w:val="es-AR"/>
        </w:rPr>
        <w:t xml:space="preserve">bastante lejos del haber de mi mandante. </w:t>
      </w:r>
      <w:commentRangeStart w:id="8"/>
      <w:commentRangeEnd w:id="8"/>
      <w:r w:rsidR="007F246B" w:rsidRPr="00C77EF2">
        <w:rPr>
          <w:rStyle w:val="Refdecomentario"/>
          <w:highlight w:val="yellow"/>
        </w:rPr>
        <w:commentReference w:id="8"/>
      </w:r>
    </w:p>
    <w:p w14:paraId="1C5764CA" w14:textId="26104A4A" w:rsidR="00372787" w:rsidRPr="007F246B" w:rsidRDefault="00372787" w:rsidP="00ED554C">
      <w:pPr>
        <w:numPr>
          <w:ilvl w:val="0"/>
          <w:numId w:val="7"/>
        </w:numPr>
        <w:contextualSpacing/>
        <w:jc w:val="both"/>
        <w:rPr>
          <w:rFonts w:ascii="Aptos" w:eastAsia="Aptos" w:hAnsi="Aptos" w:cs="Times New Roman"/>
          <w:lang w:val="es-AR"/>
        </w:rPr>
      </w:pPr>
      <w:hyperlink r:id="rId28" w:history="1">
        <w:r w:rsidRPr="007F246B">
          <w:rPr>
            <w:rFonts w:ascii="Aptos" w:eastAsia="Aptos" w:hAnsi="Aptos" w:cs="Times New Roman"/>
            <w:b/>
            <w:bCs/>
            <w:color w:val="467886"/>
            <w:u w:val="single"/>
            <w:lang w:val="es-AR"/>
          </w:rPr>
          <w:t>Canasta Básica Total</w:t>
        </w:r>
      </w:hyperlink>
      <w:r w:rsidRPr="007F246B">
        <w:rPr>
          <w:rFonts w:ascii="Aptos" w:eastAsia="Aptos" w:hAnsi="Aptos" w:cs="Times New Roman"/>
          <w:b/>
          <w:bCs/>
          <w:lang w:val="es-AR"/>
        </w:rPr>
        <w:t xml:space="preserve"> $ 282.579 a Julio de 2024.</w:t>
      </w:r>
    </w:p>
    <w:p w14:paraId="5FC257C2"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EF3727">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3DADA2C7"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r w:rsidRPr="00EF3727">
        <w:rPr>
          <w:rFonts w:ascii="Aptos" w:eastAsia="Aptos" w:hAnsi="Aptos" w:cs="Times New Roman"/>
          <w:lang w:val="es-AR"/>
        </w:rPr>
        <w:t>”.</w:t>
      </w:r>
    </w:p>
    <w:p w14:paraId="24EF4D4A" w14:textId="77777777" w:rsidR="00011250" w:rsidRDefault="00011250" w:rsidP="00011250">
      <w:pPr>
        <w:jc w:val="both"/>
        <w:rPr>
          <w:rFonts w:ascii="Aptos" w:eastAsia="Aptos" w:hAnsi="Aptos" w:cs="Times New Roman"/>
          <w:lang w:val="es-AR"/>
        </w:rPr>
      </w:pPr>
      <w:r w:rsidRPr="00E92E91">
        <w:rPr>
          <w:rFonts w:ascii="Aptos" w:eastAsia="Aptos" w:hAnsi="Aptos" w:cs="Times New Roman"/>
          <w:lang w:val="es-AR"/>
        </w:rPr>
        <w:t>Imagen_Taza</w:t>
      </w:r>
    </w:p>
    <w:p w14:paraId="0B74D32C" w14:textId="77777777" w:rsidR="00011250" w:rsidRDefault="00011250" w:rsidP="00011250">
      <w:pPr>
        <w:ind w:firstLine="993"/>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8</w:t>
      </w:r>
      <w:r w:rsidRPr="00E02B84">
        <w:rPr>
          <w:rFonts w:ascii="Aptos" w:eastAsia="Aptos" w:hAnsi="Aptos" w:cs="Times New Roman"/>
          <w:lang w:val="es-AR"/>
        </w:rPr>
        <w:t>}}</w:t>
      </w:r>
    </w:p>
    <w:p w14:paraId="550110D3" w14:textId="77777777" w:rsidR="00011250" w:rsidRDefault="00011250" w:rsidP="0066180E">
      <w:pPr>
        <w:jc w:val="both"/>
        <w:rPr>
          <w:rFonts w:ascii="Aptos" w:eastAsia="Aptos" w:hAnsi="Aptos" w:cs="Times New Roman"/>
          <w:lang w:val="es-AR"/>
        </w:rPr>
      </w:pPr>
    </w:p>
    <w:p w14:paraId="31A8C58D"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Por lo que así lo solicito, a fin de que el haber de mi mandante sea integral y sustitutivo del salario.</w:t>
      </w:r>
    </w:p>
    <w:p w14:paraId="6FE87C01" w14:textId="77777777" w:rsidR="0066180E" w:rsidRDefault="0066180E" w:rsidP="0066180E">
      <w:pPr>
        <w:jc w:val="both"/>
        <w:rPr>
          <w:rFonts w:ascii="Aptos" w:eastAsia="Aptos" w:hAnsi="Aptos" w:cs="Times New Roman"/>
          <w:lang w:val="es-AR"/>
        </w:rPr>
      </w:pPr>
    </w:p>
    <w:p w14:paraId="25DF4BED" w14:textId="77777777" w:rsidR="0066180E" w:rsidRPr="00EF3727" w:rsidRDefault="0066180E" w:rsidP="0066180E">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sidRPr="00DD735A">
        <w:rPr>
          <w:rFonts w:ascii="Aptos" w:eastAsia="Aptos" w:hAnsi="Aptos" w:cs="Times New Roman"/>
          <w:b/>
          <w:lang w:val="es-AR"/>
        </w:rPr>
        <w:t>inaplicabilidad_tope_art_14_de_la_res_06_09</w:t>
      </w:r>
      <w:r>
        <w:rPr>
          <w:rFonts w:ascii="Aptos" w:eastAsia="Aptos" w:hAnsi="Aptos" w:cs="Times New Roman"/>
          <w:b/>
          <w:lang w:val="es-AR"/>
        </w:rPr>
        <w:t>.</w:t>
      </w:r>
      <w:r w:rsidRPr="00DD735A">
        <w:rPr>
          <w:rFonts w:ascii="Aptos" w:eastAsia="Aptos" w:hAnsi="Aptos" w:cs="Times New Roman"/>
          <w:b/>
          <w:lang w:val="es-AR"/>
        </w:rPr>
        <w:t>titulo</w:t>
      </w:r>
      <w:r w:rsidRPr="0021082D">
        <w:rPr>
          <w:rFonts w:ascii="Aptos" w:eastAsia="Aptos" w:hAnsi="Aptos" w:cs="Times New Roman"/>
        </w:rPr>
        <w:t xml:space="preserve"> %}</w:t>
      </w:r>
    </w:p>
    <w:p w14:paraId="58B8175C" w14:textId="77777777" w:rsidR="00C804A3" w:rsidRDefault="00C804A3" w:rsidP="0066180E">
      <w:pPr>
        <w:jc w:val="both"/>
        <w:rPr>
          <w:rFonts w:ascii="Aptos" w:eastAsia="Aptos" w:hAnsi="Aptos" w:cs="Times New Roman"/>
          <w:lang w:val="es-AR"/>
        </w:rPr>
      </w:pPr>
    </w:p>
    <w:p w14:paraId="32AF8B77" w14:textId="77777777" w:rsidR="00CF01DE" w:rsidRPr="008C18AE" w:rsidRDefault="00CF01DE" w:rsidP="00CF01DE">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13861486" w14:textId="77777777" w:rsidR="00CF01DE" w:rsidRDefault="00CF01DE" w:rsidP="00CF01DE">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6ADFEE64" w14:textId="77777777" w:rsidR="00C804A3" w:rsidRPr="00EF3727"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sidR="00B95872" w:rsidRPr="001550A2">
        <w:rPr>
          <w:rFonts w:ascii="Aptos" w:eastAsia="Aptos" w:hAnsi="Aptos" w:cs="Times New Roman"/>
          <w:b/>
          <w:lang w:val="es-AR"/>
        </w:rPr>
        <w:t>Inaplicabilidad_del_tope_del_art_9_y_25_de_la_ley_24241</w:t>
      </w:r>
      <w:r w:rsidR="00B95872">
        <w:rPr>
          <w:rFonts w:ascii="Aptos" w:eastAsia="Aptos" w:hAnsi="Aptos" w:cs="Times New Roman"/>
          <w:b/>
          <w:lang w:val="es-AR"/>
        </w:rPr>
        <w:t>.titulo</w:t>
      </w:r>
      <w:r w:rsidR="00B95872" w:rsidRPr="0021082D">
        <w:rPr>
          <w:rFonts w:ascii="Aptos" w:eastAsia="Aptos" w:hAnsi="Aptos" w:cs="Times New Roman"/>
        </w:rPr>
        <w:t xml:space="preserve"> </w:t>
      </w:r>
      <w:r w:rsidRPr="0021082D">
        <w:rPr>
          <w:rFonts w:ascii="Aptos" w:eastAsia="Aptos" w:hAnsi="Aptos" w:cs="Times New Roman"/>
        </w:rPr>
        <w:t>%}</w:t>
      </w:r>
    </w:p>
    <w:p w14:paraId="6D73AD6D" w14:textId="77777777" w:rsidR="00C804A3" w:rsidRDefault="00C804A3" w:rsidP="00C804A3">
      <w:pPr>
        <w:jc w:val="both"/>
        <w:rPr>
          <w:rFonts w:ascii="Aptos" w:eastAsia="Aptos" w:hAnsi="Aptos" w:cs="Times New Roman"/>
          <w:lang w:val="es-AR"/>
        </w:rPr>
      </w:pPr>
    </w:p>
    <w:p w14:paraId="19CE0650" w14:textId="77777777" w:rsidR="00CF01DE" w:rsidRPr="00134B6E" w:rsidRDefault="00CF01DE" w:rsidP="00CF01D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0FD4F64B" w14:textId="77777777" w:rsidR="00CF01DE" w:rsidRPr="001B213C" w:rsidRDefault="00CF01DE" w:rsidP="00CF01D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7F95CCE" w14:textId="77777777" w:rsidR="00CF01DE" w:rsidRDefault="00CF01DE" w:rsidP="00CF01DE">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“RODRIGUEZ, MARIA CRISTINA c/ANSES s/REAJUSTE DE HABERES” Expte. N° FSA 13956/2015</w:t>
      </w:r>
      <w:r>
        <w:rPr>
          <w:rFonts w:ascii="Aptos" w:eastAsia="Aptos" w:hAnsi="Aptos" w:cs="Times New Roman"/>
          <w:bCs/>
        </w:rPr>
        <w:t xml:space="preserve">, sentencia de fecha 23 de agosto de 2024, la que entre sus considerandos sostuvo primeramente sobre la base de lo resuelto por el Máximo tribunal en el fallo “Gualtieri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46A4891" w14:textId="77777777" w:rsidR="00CF01DE" w:rsidRDefault="00CF01DE" w:rsidP="00CF01D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re-cálculo del haber inicial. </w:t>
      </w:r>
    </w:p>
    <w:p w14:paraId="21C9C378" w14:textId="77777777" w:rsidR="00E32CA5" w:rsidRDefault="00E32CA5" w:rsidP="00E32CA5">
      <w:pPr>
        <w:ind w:firstLine="708"/>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.parrafo_4}}</w:t>
      </w:r>
    </w:p>
    <w:p w14:paraId="2791CE29" w14:textId="77777777" w:rsidR="0049310D" w:rsidRPr="00EF3727" w:rsidRDefault="0049310D" w:rsidP="0049310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F7FD26C" wp14:editId="15B8735F">
            <wp:extent cx="1851964" cy="794445"/>
            <wp:effectExtent l="0" t="0" r="0" b="571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9"/>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31"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32"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Último haber :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Primer haber aplicando los fallos Soule/Blanco: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27.551 mensual aplicando Soule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27.551 mensual aplicando Soule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27551 con rezago de tres meses aplicando Soule: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IPC retrasado tres meses y Soule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Movilidad: Si tiene los parámetros de Fernández Pastor para marzo de e 2018, Caliva,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Isbic al 2009 para remuneraciones anteriores al 2.09  de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Tope del haber máximo: Movilidad del Tope del haber máximo, conforme Inchaurrondo y Leonarduzzi.</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sidRPr="007C66AE">
        <w:rPr>
          <w:rFonts w:ascii="Aptos" w:eastAsia="Aptos" w:hAnsi="Aptos" w:cs="Times New Roman"/>
          <w:b/>
          <w:lang w:val="es-AR"/>
        </w:rPr>
        <w:t>tope_haber_maximo</w:t>
      </w:r>
      <w:r>
        <w:rPr>
          <w:rFonts w:ascii="Aptos" w:eastAsia="Aptos" w:hAnsi="Aptos" w:cs="Times New Roman"/>
          <w:b/>
          <w:lang w:val="es-AR"/>
        </w:rPr>
        <w:t>.titulo</w:t>
      </w:r>
      <w:r w:rsidRPr="0021082D">
        <w:rPr>
          <w:rFonts w:ascii="Aptos" w:eastAsia="Aptos" w:hAnsi="Aptos" w:cs="Times New Roman"/>
        </w:rPr>
        <w:t xml:space="preserve"> %}</w:t>
      </w:r>
    </w:p>
    <w:p w14:paraId="69041E09" w14:textId="77777777" w:rsidR="00E430EA" w:rsidRPr="00EF3727" w:rsidRDefault="00E430EA" w:rsidP="00E430EA">
      <w:pPr>
        <w:contextualSpacing/>
        <w:jc w:val="both"/>
        <w:rPr>
          <w:rFonts w:ascii="Aptos" w:eastAsia="Aptos" w:hAnsi="Aptos" w:cs="Times New Roman"/>
          <w:lang w:val="es-AR"/>
        </w:rPr>
      </w:pPr>
    </w:p>
    <w:p w14:paraId="517C561D" w14:textId="77777777" w:rsidR="00CF01DE" w:rsidRPr="008C18AE" w:rsidRDefault="00CF01DE" w:rsidP="00CF01DE">
      <w:pPr>
        <w:ind w:firstLine="709"/>
        <w:jc w:val="both"/>
        <w:rPr>
          <w:rFonts w:ascii="Aptos" w:eastAsia="Aptos" w:hAnsi="Aptos" w:cs="Times New Roman"/>
          <w:b/>
          <w:lang w:val="es-AR"/>
        </w:rPr>
      </w:pPr>
      <w:r w:rsidRPr="00943854">
        <w:rPr>
          <w:rFonts w:ascii="Aptos" w:eastAsia="Aptos" w:hAnsi="Aptos" w:cs="Times New Roman"/>
          <w:b/>
          <w:lang w:val="es-AR"/>
        </w:rPr>
        <w:t>5.5 Tope de haber máximo</w:t>
      </w:r>
      <w:r w:rsidRPr="008C18AE">
        <w:rPr>
          <w:rFonts w:ascii="Aptos" w:eastAsia="Aptos" w:hAnsi="Aptos" w:cs="Times New Roman"/>
          <w:b/>
          <w:lang w:val="es-AR"/>
        </w:rPr>
        <w:t xml:space="preserve"> </w:t>
      </w:r>
    </w:p>
    <w:p w14:paraId="2A0074B9"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6E8A9D0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56B7A5E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5E64994F"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Se aplique el criterio citado en Actis Caporale, Tudor y Pellegrini Américo, por cuanto si el tope excede el 15% no se debe aplicar.</w:t>
      </w:r>
    </w:p>
    <w:p w14:paraId="545A58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8FC10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90BDAC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06D50A32"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35F4C3F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0A0F474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“Badaro” y aumentos generales de ANSES el tope hoy sería notablemente superior.</w:t>
      </w:r>
    </w:p>
    <w:p w14:paraId="1D63ECD7" w14:textId="77777777" w:rsidR="00973D45" w:rsidRDefault="00973D45" w:rsidP="00973D45">
      <w:pPr>
        <w:ind w:firstLine="426"/>
        <w:jc w:val="both"/>
        <w:rPr>
          <w:rFonts w:ascii="Aptos" w:eastAsia="Aptos" w:hAnsi="Aptos" w:cs="Times New Roman"/>
          <w:noProof/>
          <w:lang w:eastAsia="es-ES"/>
        </w:rPr>
      </w:pPr>
      <w:r w:rsidRPr="00681C81">
        <w:rPr>
          <w:rFonts w:ascii="Aptos" w:eastAsia="Aptos" w:hAnsi="Aptos" w:cs="Times New Roman"/>
          <w:noProof/>
          <w:lang w:eastAsia="es-ES"/>
        </w:rPr>
        <w:t>Imagen_Tope_haber_maximo</w:t>
      </w:r>
    </w:p>
    <w:p w14:paraId="072E597F" w14:textId="71CB4005" w:rsidR="00CF01DE" w:rsidRPr="008C18AE" w:rsidRDefault="00CF01DE" w:rsidP="00CF01DE">
      <w:pPr>
        <w:ind w:firstLine="426"/>
        <w:jc w:val="both"/>
        <w:rPr>
          <w:rFonts w:ascii="Aptos" w:eastAsia="Aptos" w:hAnsi="Aptos" w:cs="Times New Roman"/>
          <w:lang w:val="es-AR"/>
        </w:rPr>
      </w:pPr>
    </w:p>
    <w:p w14:paraId="23D9471B"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11}}</w:t>
      </w:r>
    </w:p>
    <w:p w14:paraId="618995F9"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12}}</w:t>
      </w:r>
    </w:p>
    <w:p w14:paraId="764B5003"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13}}</w:t>
      </w:r>
    </w:p>
    <w:p w14:paraId="42498C22" w14:textId="77777777" w:rsidR="00835723" w:rsidRPr="00681C81" w:rsidRDefault="00835723" w:rsidP="00835723">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14}}</w:t>
      </w:r>
    </w:p>
    <w:p w14:paraId="0D44CF81" w14:textId="1A91D6BC"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15}}</w:t>
      </w:r>
    </w:p>
    <w:p w14:paraId="6A0BEC94" w14:textId="5CBE580D" w:rsidR="00CF01DE" w:rsidRPr="008C18AE" w:rsidRDefault="00CF01DE" w:rsidP="00CF01DE">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667FD67C" w14:textId="77777777" w:rsidR="00CF01D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40F45DB6" w14:textId="77777777" w:rsidR="00D66902" w:rsidRDefault="00D66902" w:rsidP="00D66902">
      <w:pPr>
        <w:jc w:val="both"/>
        <w:rPr>
          <w:rFonts w:ascii="Aptos" w:eastAsia="Aptos" w:hAnsi="Aptos" w:cs="Times New Roman"/>
          <w:lang w:val="es-AR"/>
        </w:rPr>
      </w:pPr>
    </w:p>
    <w:p w14:paraId="040CAED4" w14:textId="77777777" w:rsidR="00D66902" w:rsidRPr="00EF3727" w:rsidRDefault="00D66902" w:rsidP="00D66902">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endif %}</w:t>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4"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5" w:history="1">
        <w:hyperlink r:id="rId36"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7"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8"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9"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21 de la ley 24.463 y se impongan las costas a la vencida en virtud del principio objetivo de la derrota ,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4492D55E"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61C91596" w14:textId="5FFB82BF" w:rsidR="002B4C08" w:rsidRPr="00465621" w:rsidRDefault="002B4C08" w:rsidP="002B4C0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sidR="00902593">
        <w:rPr>
          <w:rFonts w:ascii="Aptos" w:eastAsia="Aptos" w:hAnsi="Aptos" w:cs="Times New Roman"/>
          <w:b/>
          <w:lang w:val="es-AR"/>
        </w:rPr>
        <w:t>ganancias</w:t>
      </w:r>
      <w:r>
        <w:rPr>
          <w:rFonts w:ascii="Aptos" w:eastAsia="Aptos" w:hAnsi="Aptos" w:cs="Times New Roman"/>
          <w:b/>
          <w:lang w:val="es-AR"/>
        </w:rPr>
        <w:t>.titulo</w:t>
      </w:r>
      <w:r w:rsidRPr="0021082D">
        <w:rPr>
          <w:rFonts w:ascii="Aptos" w:eastAsia="Aptos" w:hAnsi="Aptos" w:cs="Times New Roman"/>
        </w:rPr>
        <w:t xml:space="preserve"> %}</w:t>
      </w:r>
    </w:p>
    <w:p w14:paraId="60817742" w14:textId="77777777" w:rsidR="002B4C08" w:rsidRPr="00EF3727" w:rsidRDefault="002B4C08" w:rsidP="002B4C08">
      <w:pPr>
        <w:jc w:val="both"/>
        <w:rPr>
          <w:rFonts w:ascii="Aptos" w:eastAsia="Aptos" w:hAnsi="Aptos" w:cs="Times New Roman"/>
          <w:lang w:val="es-AR"/>
        </w:rPr>
      </w:pP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2A840A43" w14:textId="77777777" w:rsidR="00902593" w:rsidRDefault="00902593" w:rsidP="00902593">
      <w:pPr>
        <w:jc w:val="both"/>
        <w:rPr>
          <w:rFonts w:ascii="Aptos" w:eastAsia="Aptos" w:hAnsi="Aptos" w:cs="Times New Roman"/>
          <w:lang w:val="es-AR"/>
        </w:rPr>
      </w:pPr>
    </w:p>
    <w:p w14:paraId="27F1CAEC" w14:textId="757BFAC1" w:rsidR="00902593" w:rsidRPr="00EF3727" w:rsidRDefault="00902593" w:rsidP="00902593">
      <w:pPr>
        <w:jc w:val="both"/>
        <w:rPr>
          <w:rFonts w:ascii="Aptos" w:eastAsia="Aptos" w:hAnsi="Aptos" w:cs="Times New Roman"/>
          <w:lang w:val="es-AR"/>
        </w:rPr>
      </w:pPr>
      <w:r>
        <w:rPr>
          <w:rFonts w:ascii="Aptos" w:eastAsia="Aptos" w:hAnsi="Aptos" w:cs="Times New Roman"/>
          <w:lang w:val="es-AR"/>
        </w:rPr>
        <w:t>{% endif %}</w:t>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0"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41"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42" w:history="1">
        <w:r w:rsidRPr="00EF3727">
          <w:rPr>
            <w:rFonts w:ascii="Aptos" w:eastAsia="Aptos" w:hAnsi="Aptos" w:cs="Times New Roman"/>
            <w:color w:val="467886"/>
            <w:u w:val="single"/>
          </w:rPr>
          <w:t>“Ekmekdjián c/Sofovich”</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“Itzcovich”,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(Consid.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(Consid.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(Consid.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xml:space="preserve">” (Consid.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(Consid.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con especial ponderación de los principios de proporcionalidad y sustitutividad,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(Consid.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(Consid.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Autorizo expresamente a la Dra. Carola Espin,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if </w:t>
      </w:r>
      <w:r w:rsidRPr="00211E0B">
        <w:rPr>
          <w:rFonts w:ascii="Aptos" w:eastAsia="Times New Roman" w:hAnsi="Aptos" w:cs="Times New Roman"/>
          <w:b/>
          <w:bCs/>
          <w:color w:val="000000"/>
          <w:lang w:val="es-AR" w:eastAsia="es-AR"/>
        </w:rPr>
        <w:t xml:space="preserve">sumas_no_remunerativas.titulo_recibos </w:t>
      </w:r>
      <w:r w:rsidRPr="0021082D">
        <w:rPr>
          <w:rFonts w:ascii="Aptos" w:eastAsia="Aptos" w:hAnsi="Aptos" w:cs="Times New Roman"/>
        </w:rPr>
        <w:t>%}</w:t>
      </w:r>
    </w:p>
    <w:p w14:paraId="05277F11" w14:textId="77777777" w:rsidR="00514BB5" w:rsidRDefault="00514BB5" w:rsidP="00514BB5">
      <w:pPr>
        <w:spacing w:after="0" w:line="240" w:lineRule="auto"/>
        <w:ind w:firstLine="851"/>
        <w:jc w:val="both"/>
        <w:rPr>
          <w:rFonts w:ascii="Aptos" w:eastAsia="Times New Roman" w:hAnsi="Aptos" w:cs="Times New Roman"/>
          <w:b/>
          <w:bCs/>
          <w:color w:val="000000"/>
          <w:lang w:val="es-AR" w:eastAsia="es-AR"/>
        </w:rPr>
      </w:pPr>
    </w:p>
    <w:p w14:paraId="57425FA7" w14:textId="77777777" w:rsidR="00514BB5" w:rsidRPr="00211E0B" w:rsidRDefault="00514BB5" w:rsidP="00514BB5">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{{sumas_no_remunerativas.titulo_recibos }}</w:t>
      </w:r>
    </w:p>
    <w:p w14:paraId="285C7784" w14:textId="77777777" w:rsidR="00514BB5" w:rsidRPr="00AC3CDF" w:rsidRDefault="00514BB5" w:rsidP="00514BB5">
      <w:pPr>
        <w:ind w:left="792"/>
        <w:contextualSpacing/>
        <w:jc w:val="both"/>
        <w:rPr>
          <w:rFonts w:ascii="Aptos" w:eastAsia="Aptos" w:hAnsi="Aptos" w:cs="Times New Roman"/>
          <w:b/>
          <w:bCs/>
          <w:lang w:val="es-AR"/>
        </w:rPr>
      </w:pPr>
    </w:p>
    <w:p w14:paraId="7E61C15D" w14:textId="77777777" w:rsidR="00514BB5" w:rsidRPr="00211E0B" w:rsidRDefault="00514BB5" w:rsidP="00514BB5">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{{sumas_no_remunerativas.</w:t>
      </w:r>
      <w:r w:rsidRPr="009E3F16">
        <w:rPr>
          <w:rFonts w:ascii="Aptos" w:eastAsia="Times New Roman" w:hAnsi="Aptos" w:cs="Times New Roman"/>
          <w:b/>
          <w:bCs/>
          <w:color w:val="000000"/>
          <w:lang w:val="es-AR" w:eastAsia="es-AR"/>
        </w:rPr>
        <w:t>parrafo_recibos</w:t>
      </w:r>
      <w:r w:rsidRPr="00211E0B">
        <w:rPr>
          <w:rFonts w:ascii="Aptos" w:eastAsia="Times New Roman" w:hAnsi="Aptos" w:cs="Times New Roman"/>
          <w:b/>
          <w:bCs/>
          <w:color w:val="000000"/>
          <w:lang w:val="es-AR" w:eastAsia="es-AR"/>
        </w:rPr>
        <w:t>}}</w:t>
      </w:r>
      <w:r>
        <w:rPr>
          <w:rFonts w:ascii="Aptos" w:eastAsia="Times New Roman" w:hAnsi="Aptos" w:cs="Times New Roman"/>
          <w:b/>
          <w:bCs/>
          <w:color w:val="000000"/>
          <w:lang w:val="es-AR" w:eastAsia="es-AR"/>
        </w:rPr>
        <w:t xml:space="preserve">: </w:t>
      </w:r>
      <w:r w:rsidRPr="009E3F16">
        <w:rPr>
          <w:rFonts w:ascii="Aptos" w:eastAsia="Times New Roman" w:hAnsi="Aptos" w:cs="Times New Roman"/>
          <w:bCs/>
          <w:color w:val="000000"/>
          <w:lang w:val="es-AR" w:eastAsia="es-AR"/>
        </w:rPr>
        <w:t>{{sumas_no_remunerativas.parrafo_recibos</w:t>
      </w:r>
      <w:r>
        <w:rPr>
          <w:rFonts w:ascii="Aptos" w:eastAsia="Times New Roman" w:hAnsi="Aptos" w:cs="Times New Roman"/>
          <w:bCs/>
          <w:color w:val="000000"/>
          <w:lang w:val="es-AR" w:eastAsia="es-AR"/>
        </w:rPr>
        <w:t>_1</w:t>
      </w:r>
      <w:r w:rsidRPr="009E3F16">
        <w:rPr>
          <w:rFonts w:ascii="Aptos" w:eastAsia="Times New Roman" w:hAnsi="Aptos" w:cs="Times New Roman"/>
          <w:bCs/>
          <w:color w:val="000000"/>
          <w:lang w:val="es-AR" w:eastAsia="es-AR"/>
        </w:rPr>
        <w:t>}}</w:t>
      </w:r>
    </w:p>
    <w:p w14:paraId="074418C1" w14:textId="77777777" w:rsidR="00514BB5" w:rsidRDefault="00514BB5" w:rsidP="00514BB5">
      <w:pPr>
        <w:contextualSpacing/>
        <w:rPr>
          <w:rFonts w:ascii="Aptos" w:eastAsia="Aptos" w:hAnsi="Aptos" w:cs="Times New Roman"/>
          <w:b/>
          <w:bCs/>
          <w:lang w:val="es-AR"/>
        </w:rPr>
      </w:pPr>
      <w:r w:rsidRPr="0021082D">
        <w:rPr>
          <w:rFonts w:ascii="Aptos" w:eastAsia="Aptos" w:hAnsi="Aptos" w:cs="Times New Roman"/>
        </w:rPr>
        <w:t>{% endif %}</w:t>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 w:id="5" w:author="Valu" w:date="2024-09-14T12:38:00Z" w:initials="V">
    <w:p w14:paraId="2A645F69" w14:textId="77777777" w:rsidR="00B92919" w:rsidRDefault="00B92919" w:rsidP="00B92919">
      <w:pPr>
        <w:pStyle w:val="Textocomentario"/>
      </w:pPr>
      <w:r>
        <w:rPr>
          <w:rStyle w:val="Refdecomentario"/>
        </w:rPr>
        <w:annotationRef/>
      </w:r>
      <w:r>
        <w:t>Dependiendo índice de actualización de rems (isbic-ripte) usan cuadro Excel de arriba o abajo</w:t>
      </w:r>
    </w:p>
  </w:comment>
  <w:comment w:id="6" w:author="Valu" w:date="2024-09-14T11:22:00Z" w:initials="V">
    <w:p w14:paraId="67ACF89D" w14:textId="77777777" w:rsidR="00B92919" w:rsidRDefault="00B92919" w:rsidP="00B92919">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7" w:author="Valu" w:date="2024-09-14T11:31:00Z" w:initials="V">
    <w:p w14:paraId="71CA8516" w14:textId="235E6F24" w:rsidR="00B92919" w:rsidRDefault="00B92919" w:rsidP="00B92919">
      <w:pPr>
        <w:pStyle w:val="Textocomentario"/>
      </w:pPr>
      <w:r>
        <w:rPr>
          <w:rStyle w:val="Refdecomentario"/>
        </w:rPr>
        <w:annotationRef/>
      </w:r>
      <w:r w:rsidR="00125350">
        <w:t xml:space="preserve">Print </w:t>
      </w:r>
      <w:r>
        <w:t>Grafico anterior DEL CASO EN CONCRETO y Comparativa solo si la quita de pbu es menor al 15%. Sino saco</w:t>
      </w:r>
    </w:p>
  </w:comment>
  <w:comment w:id="8" w:author="Valu" w:date="2024-09-14T11:27:00Z" w:initials="V">
    <w:p w14:paraId="1B0FEC9F" w14:textId="77777777" w:rsidR="007F246B" w:rsidRDefault="007F246B" w:rsidP="007F246B">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Ex w15:paraId="2A645F69" w15:done="0"/>
  <w15:commentEx w15:paraId="67ACF89D" w15:done="0"/>
  <w15:commentEx w15:paraId="71CA8516" w15:done="0"/>
  <w15:commentEx w15:paraId="1B0FEC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Id w16cid:paraId="2A645F69" w16cid:durableId="051E5043"/>
  <w16cid:commentId w16cid:paraId="67ACF89D" w16cid:durableId="18D197FD"/>
  <w16cid:commentId w16cid:paraId="71CA8516" w16cid:durableId="4808B38D"/>
  <w16cid:commentId w16cid:paraId="1B0FEC9F"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9"/>
  </w:num>
  <w:num w:numId="3" w16cid:durableId="637686147">
    <w:abstractNumId w:val="1"/>
  </w:num>
  <w:num w:numId="4" w16cid:durableId="12002939">
    <w:abstractNumId w:val="8"/>
  </w:num>
  <w:num w:numId="5" w16cid:durableId="6451347">
    <w:abstractNumId w:val="2"/>
  </w:num>
  <w:num w:numId="6" w16cid:durableId="517348814">
    <w:abstractNumId w:val="6"/>
  </w:num>
  <w:num w:numId="7" w16cid:durableId="2007127297">
    <w:abstractNumId w:val="5"/>
  </w:num>
  <w:num w:numId="8" w16cid:durableId="223100863">
    <w:abstractNumId w:val="12"/>
  </w:num>
  <w:num w:numId="9" w16cid:durableId="399408796">
    <w:abstractNumId w:val="7"/>
  </w:num>
  <w:num w:numId="10" w16cid:durableId="38290423">
    <w:abstractNumId w:val="3"/>
  </w:num>
  <w:num w:numId="11" w16cid:durableId="2099013859">
    <w:abstractNumId w:val="10"/>
  </w:num>
  <w:num w:numId="12" w16cid:durableId="1044476877">
    <w:abstractNumId w:val="4"/>
  </w:num>
  <w:num w:numId="13" w16cid:durableId="185722610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55807"/>
    <w:rsid w:val="002B4C08"/>
    <w:rsid w:val="003166C8"/>
    <w:rsid w:val="003661BB"/>
    <w:rsid w:val="00372787"/>
    <w:rsid w:val="003D6FA6"/>
    <w:rsid w:val="00447CD1"/>
    <w:rsid w:val="0049310D"/>
    <w:rsid w:val="00514BB5"/>
    <w:rsid w:val="0066180E"/>
    <w:rsid w:val="00681D98"/>
    <w:rsid w:val="006D6665"/>
    <w:rsid w:val="00712617"/>
    <w:rsid w:val="007F246B"/>
    <w:rsid w:val="008072FA"/>
    <w:rsid w:val="00835723"/>
    <w:rsid w:val="00902593"/>
    <w:rsid w:val="00917E6D"/>
    <w:rsid w:val="00943854"/>
    <w:rsid w:val="00973D45"/>
    <w:rsid w:val="00A5014C"/>
    <w:rsid w:val="00B92919"/>
    <w:rsid w:val="00B95872"/>
    <w:rsid w:val="00BD4215"/>
    <w:rsid w:val="00C804A3"/>
    <w:rsid w:val="00CF01DE"/>
    <w:rsid w:val="00D66902"/>
    <w:rsid w:val="00E32CA5"/>
    <w:rsid w:val="00E43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worldcomplianceassociation.com/2081/noticia-la-corrupcion-le-cuesta-a-argentina-entre-el-8-y-el-10-del-pbi.html" TargetMode="External"/><Relationship Id="rId21" Type="http://schemas.openxmlformats.org/officeDocument/2006/relationships/hyperlink" Target="https://sjconsulta.csjn.gov.ar/sjconsulta/documentos/verUnicoDocumentoLink.html?idAnalisis=723199&amp;cache=1621118203745" TargetMode="External"/><Relationship Id="rId34" Type="http://schemas.openxmlformats.org/officeDocument/2006/relationships/hyperlink" Target="https://www.clarin.com/politica/deficit-gigante-decenas-irregularidades-empresa-estatal-carbon-rio-turbio-busca-escapar-motosierra-milei_0_g8PafkJDYt.html" TargetMode="External"/><Relationship Id="rId42" Type="http://schemas.openxmlformats.org/officeDocument/2006/relationships/hyperlink" Target="https://sjconsulta.csjn.gov.ar/sjconsulta/documentos/verDocumentoByIdLinksJSP.html?idDocumento=7847391"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9"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image" Target="media/image3.png"/><Relationship Id="rId32" Type="http://schemas.openxmlformats.org/officeDocument/2006/relationships/hyperlink" Target="https://www.boletinoficial.gov.ar/detalleAviso/primera/305089/20240325" TargetMode="External"/><Relationship Id="rId37" Type="http://schemas.openxmlformats.org/officeDocument/2006/relationships/hyperlink" Target="https://www.infobae.com/politica/2024/05/22/el-listado-de-cooperativas-y-asociaciones-que-recibieron-mas-de-15-mil-millones-del-gobierno-de-alberto-fernandez/" TargetMode="External"/><Relationship Id="rId40" Type="http://schemas.openxmlformats.org/officeDocument/2006/relationships/hyperlink" Target="https://www.corteidh.or.cr/tablas/fichas/trabajadorescesados.pdf"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hyperlink" Target="https://sjconsulta.csjn.gov.ar/sjconsulta/documentos/getDocumentosExterno.html?idAnalisis=763717" TargetMode="External"/><Relationship Id="rId28" Type="http://schemas.openxmlformats.org/officeDocument/2006/relationships/hyperlink" Target="https://www.indec.gob.ar/uploads/informesdeprensa/canasta_07_249C2B27D401.pdf" TargetMode="External"/><Relationship Id="rId36" Type="http://schemas.openxmlformats.org/officeDocument/2006/relationships/hyperlink" Target="https://www.argentina.gob.ar/noticias/adorni-informo-que-se-descubrio-una-actividad-fraudulenta-por-casi-3500-millones-de-dolares"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image" Target="media/image2.emf"/><Relationship Id="rId31" Type="http://schemas.openxmlformats.org/officeDocument/2006/relationships/hyperlink" Target="https://www.argentina.gob.ar/normativa/nacional/decreto-104-2021-347086/text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hyperlink" Target="https://sjconsulta.csjn.gov.ar/sjconsulta/documentos/getDocumentosExterno.html?idAnalisis=737536" TargetMode="External"/><Relationship Id="rId27" Type="http://schemas.openxmlformats.org/officeDocument/2006/relationships/hyperlink" Target="https://www.argentina.gob.ar/trabajo/seguridadsocial/ripte" TargetMode="External"/><Relationship Id="rId30" Type="http://schemas.openxmlformats.org/officeDocument/2006/relationships/image" Target="media/image7.png"/><Relationship Id="rId35" Type="http://schemas.openxmlformats.org/officeDocument/2006/relationships/hyperlink" Target="https://www.argentina.gob.ar/noticias/adorni-informo-que-se-descubrio-una-actividad-fraudulenta-por-casi-3500-millones-de-dolares" TargetMode="External"/><Relationship Id="rId43" Type="http://schemas.openxmlformats.org/officeDocument/2006/relationships/image" Target="media/image9.png"/><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hyperlink" Target="https://www.transparency.org/es/press/cpi2023-corruption-perceptions-index-weakening-justice-systems-leave-co" TargetMode="External"/><Relationship Id="rId46" Type="http://schemas.openxmlformats.org/officeDocument/2006/relationships/theme" Target="theme/theme1.xml"/><Relationship Id="rId20" Type="http://schemas.openxmlformats.org/officeDocument/2006/relationships/hyperlink" Target="https://sjconsulta.csjn.gov.ar/sjconsulta/documentos/verDocumentoByIdLinksJSP.html?idDocumento=7167981" TargetMode="External"/><Relationship Id="rId41"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30</Pages>
  <Words>14053</Words>
  <Characters>77293</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26</cp:revision>
  <dcterms:created xsi:type="dcterms:W3CDTF">2024-09-14T16:01:00Z</dcterms:created>
  <dcterms:modified xsi:type="dcterms:W3CDTF">2024-10-15T02:30:00Z</dcterms:modified>
</cp:coreProperties>
</file>