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del Sr</w:t>
      </w:r>
      <w:r w:rsidRPr="00C313F5">
        <w:rPr>
          <w:rFonts w:ascii="Aptos" w:eastAsia="Aptos" w:hAnsi="Aptos" w:cs="Times New Roman"/>
          <w:lang w:val="es-AR"/>
        </w:rPr>
        <w:t>.</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Nº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inc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25/07/2003 </w:t>
      </w:r>
      <w:r w:rsidRPr="00C313F5">
        <w:rPr>
          <w:rFonts w:ascii="Aptos" w:eastAsia="Aptos" w:hAnsi="Aptos" w:cs="Times New Roman"/>
          <w:lang w:val="es-AR"/>
        </w:rPr>
        <w:t xml:space="preserve">, que recayó en el expte N°</w:t>
      </w:r>
      <w:r w:rsidR="00192745" w:rsidRPr="00C313F5">
        <w:rPr>
          <w:rFonts w:ascii="Aptos" w:eastAsia="Aptos" w:hAnsi="Aptos" w:cs="Times New Roman"/>
          <w:lang w:val="es-AR"/>
        </w:rPr>
        <w:t xml:space="preserve"> 45454.23.1</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25/07/2003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 xml:space="preserve">02/10/2024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09/10/2024</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18/10/2024</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$56.566,00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10/10/2024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$56.565,00</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04/10/2024</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 xml:space="preserve">$56.556,00</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 xml:space="preserve">35656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17/10/2024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$6.233,56</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 xml:space="preserve">04/10/2024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t xml:space="preserve">         </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 xml:space="preserve"/>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 xml:space="preserve"/>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9"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N°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2"/>
      <w:r w:rsidRPr="00D33520">
        <w:rPr>
          <w:noProof/>
          <w:highlight w:val="magenta"/>
          <w:lang w:eastAsia="es-ES"/>
        </w:rPr>
        <w:drawing>
          <wp:inline distT="0" distB="0" distL="0" distR="0" wp14:anchorId="69F740C1" wp14:editId="4D7C10E4">
            <wp:extent cx="4235450" cy="2728570"/>
            <wp:effectExtent l="0" t="0" r="0" b="0"/>
            <wp:docPr id="1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2"/>
      <w:r w:rsidRPr="00D33520">
        <w:rPr>
          <w:rStyle w:val="Refdecomentario"/>
          <w:highlight w:val="magenta"/>
        </w:rPr>
        <w:commentReference w:id="2"/>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1"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2" w:history="1">
        <w:r w:rsidRPr="00D33520">
          <w:rPr>
            <w:rFonts w:ascii="Aptos" w:eastAsia="Aptos" w:hAnsi="Aptos" w:cs="Times New Roman"/>
            <w:color w:val="467886"/>
            <w:highlight w:val="magenta"/>
            <w:u w:val="single"/>
          </w:rPr>
          <w:t>“Ciuti Pablo c/ ANSES s/ reajustes varios”, sentencia del 30/6/2015</w:t>
        </w:r>
      </w:hyperlink>
      <w:r w:rsidRPr="00D33520">
        <w:rPr>
          <w:rFonts w:ascii="Aptos" w:eastAsia="Aptos" w:hAnsi="Aptos" w:cs="Times New Roman"/>
          <w:highlight w:val="magenta"/>
        </w:rPr>
        <w:t xml:space="preserve">(CSJ 111/2012(48-C)/CS1);  </w:t>
      </w:r>
      <w:hyperlink r:id="rId13" w:history="1">
        <w:r w:rsidRPr="00D33520">
          <w:rPr>
            <w:rFonts w:ascii="Aptos" w:eastAsia="Aptos" w:hAnsi="Aptos" w:cs="Times New Roman"/>
            <w:color w:val="467886"/>
            <w:highlight w:val="magenta"/>
            <w:u w:val="single"/>
          </w:rPr>
          <w:t>Pichersky Alberto Raúl c/Anses s/reajustes Varios”, la C.S.J.N, el 23 de mayo de 2017</w:t>
        </w:r>
      </w:hyperlink>
      <w:r w:rsidRPr="00D33520">
        <w:rPr>
          <w:rFonts w:ascii="Aptos" w:eastAsia="Aptos" w:hAnsi="Aptos" w:cs="Times New Roman"/>
          <w:highlight w:val="magenta"/>
        </w:rPr>
        <w:t>(Expte SS 80278/20l2/l/RH 1</w:t>
      </w:r>
      <w:hyperlink r:id="rId14" w:history="1">
        <w:r w:rsidRPr="00D33520">
          <w:rPr>
            <w:rFonts w:ascii="Aptos" w:eastAsia="Aptos" w:hAnsi="Aptos" w:cs="Times New Roman"/>
            <w:color w:val="467886"/>
            <w:highlight w:val="magenta"/>
            <w:u w:val="single"/>
          </w:rPr>
          <w:t>)“González Héctor Orlando c/ ANSES s/ Reajuste de haberes” Expte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Soule y Blanco , </w:t>
      </w:r>
      <w:bookmarkStart w:id="3"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3"/>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 xml:space="preserve">total del haber </w:t>
      </w:r>
      <w:proofErr w:type="gramStart"/>
      <w:r w:rsidRPr="00D33520">
        <w:rPr>
          <w:rFonts w:ascii="Aptos" w:eastAsia="Aptos" w:hAnsi="Aptos" w:cs="Times New Roman"/>
          <w:b/>
          <w:i/>
          <w:sz w:val="24"/>
          <w:szCs w:val="24"/>
          <w:highlight w:val="magenta"/>
        </w:rPr>
        <w:t>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w:t>
      </w:r>
      <w:proofErr w:type="gramEnd"/>
      <w:r w:rsidRPr="00D33520">
        <w:rPr>
          <w:rFonts w:ascii="Aptos" w:eastAsia="Aptos" w:hAnsi="Aptos" w:cs="Times New Roman"/>
          <w:bCs/>
          <w:i/>
          <w:highlight w:val="magenta"/>
        </w:rPr>
        <w:t xml:space="preserve">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4"/>
      <w:r w:rsidRPr="00D33520">
        <w:rPr>
          <w:rFonts w:ascii="Aptos" w:eastAsia="Aptos" w:hAnsi="Aptos" w:cs="Times New Roman"/>
          <w:highlight w:val="magenta"/>
          <w:lang w:val="es-AR"/>
        </w:rPr>
        <w:t>El haber sería más integral, teniendo en cuenta el último haber percibido por mi mandate en actividad que era de $ 129.270,66 y la Pbu sin quita, permitiría obtener un haber de reemplazo del 67% y con quita de Soule del 57%.</w:t>
      </w:r>
      <w:commentRangeEnd w:id="4"/>
      <w:r w:rsidRPr="00D33520">
        <w:rPr>
          <w:rStyle w:val="Refdecomentario"/>
          <w:highlight w:val="magenta"/>
        </w:rPr>
        <w:commentReference w:id="4"/>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Las </w:t>
      </w:r>
      <w:proofErr w:type="gramStart"/>
      <w:r w:rsidRPr="00D33520">
        <w:rPr>
          <w:rFonts w:ascii="Aptos" w:eastAsia="Aptos" w:hAnsi="Aptos" w:cs="Times New Roman"/>
          <w:highlight w:val="magenta"/>
          <w:lang w:val="es-AR"/>
        </w:rPr>
        <w:t>palabras quita</w:t>
      </w:r>
      <w:proofErr w:type="gramEnd"/>
      <w:r w:rsidRPr="00D33520">
        <w:rPr>
          <w:rFonts w:ascii="Aptos" w:eastAsia="Aptos" w:hAnsi="Aptos" w:cs="Times New Roman"/>
          <w:highlight w:val="magenta"/>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100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Por último, corresponde poner en resalto </w:t>
      </w:r>
      <w:proofErr w:type="gramStart"/>
      <w:r w:rsidRPr="00D33520">
        <w:rPr>
          <w:rFonts w:ascii="Aptos" w:eastAsia="Aptos" w:hAnsi="Aptos" w:cs="Times New Roman"/>
          <w:highlight w:val="magenta"/>
          <w:lang w:val="es-AR"/>
        </w:rPr>
        <w:t>que</w:t>
      </w:r>
      <w:proofErr w:type="gramEnd"/>
      <w:r w:rsidRPr="00D33520">
        <w:rPr>
          <w:rFonts w:ascii="Aptos" w:eastAsia="Aptos" w:hAnsi="Aptos" w:cs="Times New Roman"/>
          <w:highlight w:val="magenta"/>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w:t>
      </w:r>
      <w:proofErr w:type="gramStart"/>
      <w:r w:rsidRPr="00D33520">
        <w:rPr>
          <w:rFonts w:ascii="Aptos" w:eastAsia="Aptos" w:hAnsi="Aptos" w:cs="Times New Roman"/>
          <w:highlight w:val="magenta"/>
          <w:lang w:val="es-AR"/>
        </w:rPr>
        <w:t>PBU,</w:t>
      </w:r>
      <w:proofErr w:type="gramEnd"/>
      <w:r w:rsidRPr="00D33520">
        <w:rPr>
          <w:rFonts w:ascii="Aptos" w:eastAsia="Aptos" w:hAnsi="Aptos" w:cs="Times New Roman"/>
          <w:highlight w:val="magenta"/>
          <w:lang w:val="es-AR"/>
        </w:rPr>
        <w:t xml:space="preserve"> afecta la integralidad del haber, atento a que mi representado registra un total de 46 años y 8 meses de servicios con aportes al sistema. </w:t>
      </w:r>
      <w:commentRangeEnd w:id="5"/>
      <w:r w:rsidRPr="00D33520">
        <w:rPr>
          <w:rStyle w:val="Refdecomentario"/>
          <w:highlight w:val="magenta"/>
        </w:rPr>
        <w:commentReference w:id="5"/>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3A65028B">
            <wp:extent cx="2945959" cy="2356073"/>
            <wp:effectExtent l="0" t="0" r="6985" b="635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8" w:history="1">
        <w:r w:rsidRPr="00C77EF2">
          <w:rPr>
            <w:rFonts w:ascii="Aptos" w:eastAsia="Aptos" w:hAnsi="Aptos" w:cs="Times New Roman"/>
            <w:b/>
            <w:bCs/>
            <w:color w:val="467886"/>
            <w:u w:val="single"/>
            <w:lang w:val="es-AR"/>
          </w:rPr>
          <w:t>Ripte</w:t>
        </w:r>
      </w:hyperlink>
      <w:r w:rsidRPr="00C77EF2">
        <w:rPr>
          <w:rFonts w:ascii="Aptos" w:eastAsia="Aptos" w:hAnsi="Aptos" w:cs="Times New Roman"/>
          <w:b/>
          <w:bCs/>
          <w:lang w:val="es-AR"/>
        </w:rPr>
        <w:t xml:space="preserve"> </w:t>
      </w:r>
      <w:commentRangeStart w:id="6"/>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6"/>
      <w:r w:rsidRPr="00C77EF2">
        <w:rPr>
          <w:rStyle w:val="Refdecomentario"/>
          <w:highlight w:val="yellow"/>
        </w:rPr>
        <w:commentReference w:id="6"/>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19"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La imagen también es dinamica</w:t>
      </w:r>
    </w:p>
    <w:p w14:paraId="59AAF3B2" w14:textId="77777777" w:rsidR="00D223B3" w:rsidRDefault="00D223B3" w:rsidP="00D223B3">
      <w:pPr>
        <w:ind w:firstLine="142"/>
        <w:jc w:val="both"/>
        <w:rPr>
          <w:rFonts w:ascii="Aptos" w:eastAsia="Aptos" w:hAnsi="Aptos" w:cs="Times New Roman"/>
          <w:lang w:val="es-AR"/>
        </w:rPr>
      </w:pPr>
      <w:commentRangeStart w:id="7"/>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3698" cy="1170094"/>
                    </a:xfrm>
                    <a:prstGeom prst="rect">
                      <a:avLst/>
                    </a:prstGeom>
                  </pic:spPr>
                </pic:pic>
              </a:graphicData>
            </a:graphic>
          </wp:inline>
        </w:drawing>
      </w:r>
      <w:commentRangeEnd w:id="7"/>
      <w:r>
        <w:rPr>
          <w:rStyle w:val="Refdecomentario"/>
        </w:rPr>
        <w:commentReference w:id="7"/>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Expte. N° FSA 13956/2015, sentencia de fecha 23 de agosto de 2024, la que entre sus considerandos sostuvo primeramente sobre la base de lo resuelto por el Máximo tribunal en el fallo “Gualtieri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Así, seguidamente resolvió declarar la inconstitucionalidad de los arts. 9 y 25 de la ley 24.241, en el período comprendido desde diciembre de 2008 en adelante, para el re-cálculo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1"/>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3"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4"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Expte. N°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0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7"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8" w:history="1">
        <w:hyperlink r:id="rId29"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0"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1"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2"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3"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4"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5"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8"/>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8"/>
      <w:r>
        <w:rPr>
          <w:rStyle w:val="Refdecomentario"/>
        </w:rPr>
        <w:commentReference w:id="8"/>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0"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4"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5"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6"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7"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8"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484D"/>
    <w:rsid w:val="000B72E4"/>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21CFF"/>
    <w:rsid w:val="00350442"/>
    <w:rsid w:val="00382C18"/>
    <w:rsid w:val="00384A99"/>
    <w:rsid w:val="003953C4"/>
    <w:rsid w:val="003C6970"/>
    <w:rsid w:val="003E0163"/>
    <w:rsid w:val="00413C00"/>
    <w:rsid w:val="004215CD"/>
    <w:rsid w:val="004500D1"/>
    <w:rsid w:val="0047097F"/>
    <w:rsid w:val="004A3FDB"/>
    <w:rsid w:val="004E0F7F"/>
    <w:rsid w:val="00526ED7"/>
    <w:rsid w:val="00533034"/>
    <w:rsid w:val="00540164"/>
    <w:rsid w:val="005D636F"/>
    <w:rsid w:val="005F585D"/>
    <w:rsid w:val="00660EE7"/>
    <w:rsid w:val="00680491"/>
    <w:rsid w:val="0068564E"/>
    <w:rsid w:val="00686DFF"/>
    <w:rsid w:val="00690D0D"/>
    <w:rsid w:val="006D152F"/>
    <w:rsid w:val="006F58F0"/>
    <w:rsid w:val="00711DD1"/>
    <w:rsid w:val="00721D1F"/>
    <w:rsid w:val="00730CDB"/>
    <w:rsid w:val="00733C6D"/>
    <w:rsid w:val="00747EEC"/>
    <w:rsid w:val="00763775"/>
    <w:rsid w:val="007938D9"/>
    <w:rsid w:val="007C4E40"/>
    <w:rsid w:val="008072FA"/>
    <w:rsid w:val="00861C23"/>
    <w:rsid w:val="00865CE6"/>
    <w:rsid w:val="008D2EB7"/>
    <w:rsid w:val="00902009"/>
    <w:rsid w:val="00905883"/>
    <w:rsid w:val="00906F41"/>
    <w:rsid w:val="00925D0C"/>
    <w:rsid w:val="009377C0"/>
    <w:rsid w:val="009728DB"/>
    <w:rsid w:val="00983446"/>
    <w:rsid w:val="00983727"/>
    <w:rsid w:val="009962F1"/>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77EF2"/>
    <w:rsid w:val="00C817EC"/>
    <w:rsid w:val="00CA46CA"/>
    <w:rsid w:val="00CB287B"/>
    <w:rsid w:val="00CB4BB3"/>
    <w:rsid w:val="00CC3EB8"/>
    <w:rsid w:val="00CE3E74"/>
    <w:rsid w:val="00D01439"/>
    <w:rsid w:val="00D223B3"/>
    <w:rsid w:val="00D26141"/>
    <w:rsid w:val="00D33365"/>
    <w:rsid w:val="00D33520"/>
    <w:rsid w:val="00D70A81"/>
    <w:rsid w:val="00DB69CA"/>
    <w:rsid w:val="00DD5886"/>
    <w:rsid w:val="00DF67E3"/>
    <w:rsid w:val="00E1230F"/>
    <w:rsid w:val="00E12352"/>
    <w:rsid w:val="00E3143D"/>
    <w:rsid w:val="00E357F5"/>
    <w:rsid w:val="00E701ED"/>
    <w:rsid w:val="00E80119"/>
    <w:rsid w:val="00E8212C"/>
    <w:rsid w:val="00E93CC4"/>
    <w:rsid w:val="00EA41B0"/>
    <w:rsid w:val="00EC0962"/>
    <w:rsid w:val="00ED1CC5"/>
    <w:rsid w:val="00EE720B"/>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getDocumentosExterno.html?idAnalisis=737536" TargetMode="External"/><Relationship Id="rId18" Type="http://schemas.openxmlformats.org/officeDocument/2006/relationships/hyperlink" Target="https://www.argentina.gob.ar/trabajo/seguridadsocial/ripte"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www.corteidh.or.cr/docs/casos/articulos/seriec_221_esp1.pdf" TargetMode="External"/><Relationship Id="rId7" Type="http://schemas.microsoft.com/office/2016/09/relationships/commentsIds" Target="commentsIds.xml"/><Relationship Id="rId12" Type="http://schemas.openxmlformats.org/officeDocument/2006/relationships/hyperlink" Target="https://sjconsulta.csjn.gov.ar/sjconsulta/documentos/verUnicoDocumentoLink.html?idAnalisis=723199&amp;cache=1621118203745" TargetMode="External"/><Relationship Id="rId17" Type="http://schemas.openxmlformats.org/officeDocument/2006/relationships/image" Target="media/image4.png"/><Relationship Id="rId25" Type="http://schemas.openxmlformats.org/officeDocument/2006/relationships/image" Target="media/image8.emf"/><Relationship Id="rId33" Type="http://schemas.openxmlformats.org/officeDocument/2006/relationships/hyperlink" Target="https://www.corteidh.or.cr/tablas/fichas/trabajadorescesados.pdf"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7167981" TargetMode="External"/><Relationship Id="rId24" Type="http://schemas.openxmlformats.org/officeDocument/2006/relationships/hyperlink" Target="https://www.boletinoficial.gov.ar/detalleAviso/primera/305089/20240325" TargetMode="External"/><Relationship Id="rId32" Type="http://schemas.openxmlformats.org/officeDocument/2006/relationships/hyperlink" Target="https://www.worldcomplianceassociation.com/2081/noticia-la-corrupcion-le-cuesta-a-argentina-entre-el-8-y-el-10-del-pbi.html" TargetMode="External"/><Relationship Id="rId37"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2.png"/><Relationship Id="rId23" Type="http://schemas.openxmlformats.org/officeDocument/2006/relationships/hyperlink" Target="https://www.argentina.gob.ar/normativa/nacional/decreto-104-2021-347086/texto" TargetMode="External"/><Relationship Id="rId28" Type="http://schemas.openxmlformats.org/officeDocument/2006/relationships/hyperlink" Target="https://www.argentina.gob.ar/noticias/adorni-informo-que-se-descubrio-una-actividad-fraudulenta-por-casi-3500-millones-de-dolares" TargetMode="External"/><Relationship Id="rId36" Type="http://schemas.openxmlformats.org/officeDocument/2006/relationships/image" Target="media/image10.png"/><Relationship Id="rId10" Type="http://schemas.openxmlformats.org/officeDocument/2006/relationships/image" Target="media/image1.emf"/><Relationship Id="rId19" Type="http://schemas.openxmlformats.org/officeDocument/2006/relationships/hyperlink" Target="https://www.indec.gob.ar/uploads/informesdeprensa/canasta_07_249C2B27D401.pdf" TargetMode="External"/><Relationship Id="rId31" Type="http://schemas.openxmlformats.org/officeDocument/2006/relationships/hyperlink" Target="https://www.transparency.org/es/press/cpi2023-corruption-perceptions-index-weakening-justice-systems-leave-co" TargetMode="External"/><Relationship Id="rId4" Type="http://schemas.openxmlformats.org/officeDocument/2006/relationships/webSettings" Target="webSettings.xml"/><Relationship Id="rId9" Type="http://schemas.openxmlformats.org/officeDocument/2006/relationships/hyperlink" Target="https://www.argentina.gob.ar/normativa/nacional/decreto-833-1997-45405" TargetMode="External"/><Relationship Id="rId14" Type="http://schemas.openxmlformats.org/officeDocument/2006/relationships/hyperlink" Target="https://sjconsulta.csjn.gov.ar/sjconsulta/documentos/getDocumentosExterno.html?idAnalisis=763717" TargetMode="External"/><Relationship Id="rId22" Type="http://schemas.openxmlformats.org/officeDocument/2006/relationships/image" Target="media/image7.png"/><Relationship Id="rId27" Type="http://schemas.openxmlformats.org/officeDocument/2006/relationships/hyperlink" Target="https://www.clarin.com/politica/deficit-gigante-decenas-irregularidades-empresa-estatal-carbon-rio-turbio-busca-escapar-motosierra-milei_0_g8PafkJDYt.html" TargetMode="External"/><Relationship Id="rId30" Type="http://schemas.openxmlformats.org/officeDocument/2006/relationships/hyperlink" Target="https://www.infobae.com/politica/2024/05/22/el-listado-de-cooperativas-y-asociaciones-que-recibieron-mas-de-15-mil-millones-del-gobierno-de-alberto-fernandez/" TargetMode="External"/><Relationship Id="rId35" Type="http://schemas.openxmlformats.org/officeDocument/2006/relationships/hyperlink" Target="https://sjconsulta.csjn.gov.ar/sjconsulta/documentos/verDocumentoByIdLinksJSP.html?idDocumento=7847391" TargetMode="External"/><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23</Pages>
  <Words>10704</Words>
  <Characters>58875</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98</cp:revision>
  <dcterms:created xsi:type="dcterms:W3CDTF">2024-09-14T13:27:00Z</dcterms:created>
  <dcterms:modified xsi:type="dcterms:W3CDTF">2024-10-10T05:03:00Z</dcterms:modified>
  <dc:identifier/>
  <dc:language/>
</cp:coreProperties>
</file>