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25/10/2024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25/07/2022</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03/10/2024  al 10/10/2024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18/10/2024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19/10/2024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04/10/2024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15/11/2024: $6.233,00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12/10/2024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w:t>
      </w:r>
      <w:r w:rsidRPr="00EF3727">
        <w:rPr>
          <w:rFonts w:ascii="Aptos" w:eastAsia="Aptos" w:hAnsi="Aptos" w:cs="Times New Roman"/>
          <w:lang w:val="es-AR"/>
        </w:rPr>
        <w:lastRenderedPageBreak/>
        <w:t>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lastRenderedPageBreak/>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Se adjunta equiparación de haberes, de la que surge que el cargo desempeñado por mi representado al cese fue de cazador de loli en hawai, con una antigüedad de 55 años de servicios.Asimismo, se adjuntan recibos de sueldo, de los que surgen que el empleador abonó a mi representado, haberes sin aportes bajo los siguientes códigos y conceptos, los que no fueron considerados para el cálculo del haber inicial</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xml:space="preserve">,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w:t>
      </w:r>
      <w:r w:rsidRPr="00EF3727">
        <w:rPr>
          <w:rFonts w:ascii="Aptos" w:eastAsia="Times New Roman" w:hAnsi="Aptos" w:cs="Times New Roman"/>
          <w:color w:val="000000"/>
          <w:lang w:val="es-AR" w:eastAsia="es-AR"/>
        </w:rPr>
        <w:lastRenderedPageBreak/>
        <w:t>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xml:space="preserve">.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 xml:space="preserve">5.1.2 Del error material </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Mi mandante trabajó en mi casa desde el 09/10/2024 hasta el 04/10/2024.</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Del detalle de beneficios de Anses se observan los siguientes errores materiales en los que incurrió el organismo previsional al momento del cálculo del haber jubilatorio inicial:</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 Toma remuneraciones erróneas, diferentes a las efectivamente percibidas:</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 xml:space="preserve">aqui</w:t>
      </w:r>
      <w:proofErr w:type="spellEnd"/>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 Se adjunta cálculo de haber de caja con y sin corrección del error material, de los que surgen los siguientes promedios de remuneraciones:</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con error material en remuneraciones consideradas: $4.656,56.</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sin error material, con remuneraciones correctas: $56.556,45.</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Solicito se corrija el error material y se tomen las verdaderas remuneraciones percibidas para el cálculo del haber inicial.</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A fin de dar cumplimiento con el principio de integralidad que establece el art. 14 bis de la CN, es menester que las remuneraciones que sirven de base para el cálculo </w:t>
      </w:r>
      <w:r w:rsidRPr="00EF3727">
        <w:rPr>
          <w:rFonts w:ascii="Aptos" w:eastAsia="Aptos" w:hAnsi="Aptos" w:cs="Times New Roman"/>
          <w:lang w:val="es-AR"/>
        </w:rPr>
        <w:lastRenderedPageBreak/>
        <w:t>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lastRenderedPageBreak/>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xml:space="preserve">” y en consonancia la Sala I resolvió  en “Retamozo”. Eso es, si no contrarían la doctrina de la CSJN sobre el sentido y alcance de la garantía de integralidad que consagra el art.14 bis de la Constitución Nacional, lo cual </w:t>
      </w:r>
      <w:r w:rsidRPr="00DE5A20">
        <w:rPr>
          <w:rFonts w:ascii="Aptos" w:eastAsia="Aptos" w:hAnsi="Aptos" w:cs="Times New Roman"/>
          <w:lang w:val="es-AR"/>
        </w:rPr>
        <w:lastRenderedPageBreak/>
        <w:t>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lastRenderedPageBreak/>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w:t>
      </w:r>
      <w:r w:rsidRPr="00C91F4F">
        <w:rPr>
          <w:rFonts w:ascii="Aptos" w:eastAsia="Aptos" w:hAnsi="Aptos" w:cs="Times New Roman"/>
          <w:lang w:val="es-AR"/>
        </w:rPr>
        <w:lastRenderedPageBreak/>
        <w:t>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xml:space="preserve">-,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w:t>
      </w:r>
      <w:r w:rsidRPr="00C91F4F">
        <w:rPr>
          <w:rFonts w:ascii="Aptos" w:eastAsia="Aptos" w:hAnsi="Aptos" w:cs="Times New Roman"/>
          <w:lang w:val="es-AR"/>
        </w:rPr>
        <w:lastRenderedPageBreak/>
        <w:t>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lastRenderedPageBreak/>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lastRenderedPageBreak/>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2799F88">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xml:space="preserve">“(…)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w:t>
      </w:r>
      <w:r w:rsidRPr="00EF3727">
        <w:rPr>
          <w:rFonts w:ascii="Aptos" w:eastAsia="Aptos" w:hAnsi="Aptos" w:cs="Times New Roman"/>
          <w:i/>
          <w:iCs/>
          <w:lang w:val="es-AR"/>
        </w:rPr>
        <w:lastRenderedPageBreak/>
        <w:t>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2024-10-08 su remuneración hubiese sido por el monto de $45.595,65, mientras que el organismo previsional determinó en el mismo mes un haber jubilatorio de $455.665,78, el que solo representa un 999.36% de lo que le correspondería de estar en actividad, por lo tanto, no es sustitutivo del salario activo y no alcanza la tasa de complementación que se peticiona </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03/10/2024 a 10/10/2024,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F7FD26C" wp14:editId="15B8735F">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lastRenderedPageBreak/>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lastRenderedPageBreak/>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lastRenderedPageBreak/>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Ley 27.551 (50% IPC y 50% RIPTE mensual) sin topes: $4.655,56</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Ley 27.551 (50% IPC y 50% RIPTE retrasado tres meses) sin topes: $56.565,56</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11/10/2024 reajustado cf. IPC retrasado dos meses sin topes: $56.565,00</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de haber máximo de ANSES sin actualizar al 11/10/2024 : $5.656.556,65</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actualizado cf. Badaro más Caliva Márquez: $5.656.566,56</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 xml:space="preserve">Índice de Percepción de la </w:t>
        </w:r>
        <w:r w:rsidRPr="00EF3727">
          <w:rPr>
            <w:rFonts w:ascii="Aptos" w:eastAsia="Aptos" w:hAnsi="Aptos" w:cs="Times New Roman"/>
            <w:color w:val="467886"/>
            <w:u w:val="single"/>
            <w:lang w:val="es-AR"/>
          </w:rPr>
          <w:lastRenderedPageBreak/>
          <w:t>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w:t>
      </w:r>
      <w:r w:rsidRPr="00EF3727">
        <w:rPr>
          <w:rFonts w:ascii="Aptos" w:eastAsia="Aptos" w:hAnsi="Aptos" w:cs="Times New Roman"/>
          <w:lang w:val="es-AR"/>
        </w:rPr>
        <w:lastRenderedPageBreak/>
        <w:t>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w:t>
      </w:r>
      <w:r w:rsidRPr="00EF3727">
        <w:rPr>
          <w:rFonts w:ascii="Aptos" w:eastAsia="Aptos" w:hAnsi="Aptos" w:cs="Times New Roman"/>
        </w:rPr>
        <w:lastRenderedPageBreak/>
        <w:t>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r>
        <w:t>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r>
        <w:t xml:space="preserve">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3166C8"/>
    <w:rsid w:val="003661BB"/>
    <w:rsid w:val="00372787"/>
    <w:rsid w:val="003D6FA6"/>
    <w:rsid w:val="0049310D"/>
    <w:rsid w:val="00514BB5"/>
    <w:rsid w:val="0066180E"/>
    <w:rsid w:val="00681D98"/>
    <w:rsid w:val="006D6665"/>
    <w:rsid w:val="00712617"/>
    <w:rsid w:val="007F246B"/>
    <w:rsid w:val="008072FA"/>
    <w:rsid w:val="0083572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30</Pages>
  <Words>14047</Words>
  <Characters>77261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24</cp:revision>
  <dcterms:created xsi:type="dcterms:W3CDTF">2024-09-14T16:01:00Z</dcterms:created>
  <dcterms:modified xsi:type="dcterms:W3CDTF">2024-10-14T01:05:00Z</dcterms:modified>
  <dc:identifier/>
  <dc:language/>
</cp:coreProperties>
</file>