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ZACUR, MARIA TERESA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25200045/2012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 xml:space="preserve">Anses</w:t>
      </w:r>
      <w:proofErr w:type="spellEnd"/>
      <w:r w:rsidRPr="00593286">
        <w:t xml:space="preserve"> en cumplir INTEGRALMENTE la manda judicial.</w:t>
      </w:r>
      <w:r w:rsidR="00013DD3">
        <w:t xml:space="preserve"> </w:t>
      </w:r>
      <w:r w:rsidR="00F80F75">
        <w:t xml:space="preserve"/>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ley 27.609 , ley 27.541 , ley 27.426 .</w:t>
      </w:r>
    </w:p>
    <w:p w14:paraId="7B602874" w14:textId="77777777" w:rsidR="00267E7B" w:rsidRDefault="00267E7B" w:rsidP="00267E7B">
      <w:pPr>
        <w:numPr>
          <w:ilvl w:val="0"/>
          <w:numId w:val="18"/>
        </w:numPr>
        <w:autoSpaceDE w:val="0"/>
        <w:autoSpaceDN w:val="0"/>
        <w:adjustRightInd w:val="0"/>
        <w:jc w:val="both"/>
      </w:pPr>
      <w:r w:rsidRPr="000F5440">
        <w:rPr>
          <w:b/>
          <w:bCs/>
        </w:rPr>
        <w:t>Solicito que se regulen los honorarios profesionales correspondientes a esta incidencia previa, necesaria para la 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w:t>
      </w:r>
    </w:p>
    <w:p w14:paraId="34EB8B98" w14:textId="7777777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correspondiente.</w:t>
      </w:r>
      <w:r>
        <w:t xml:space="preserve"/>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01/01/2025</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01/01/2025</w:t>
      </w:r>
      <w:r w:rsidR="00BE3584" w:rsidRPr="00BE3584">
        <w:rPr>
          <w:bCs/>
        </w:rPr>
        <w:t xml:space="preserve"> </w:t>
      </w:r>
      <w:r w:rsidR="00BE3584">
        <w:rPr>
          <w:bCs/>
        </w:rPr>
        <w:t>al</w:t>
      </w:r>
      <w:r w:rsidR="00BE3584" w:rsidRPr="00BE3584">
        <w:rPr>
          <w:bCs/>
        </w:rPr>
        <w:t xml:space="preserve"> </w:t>
      </w:r>
      <w:r w:rsidR="00D56466">
        <w:rPr>
          <w:bCs/>
        </w:rPr>
        <w:t xml:space="preserve">01/01/2025</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0E49423C" w14:textId="561571D0" w:rsidR="00306EA0" w:rsidRDefault="00306EA0" w:rsidP="003F7058">
      <w:pPr>
        <w:autoSpaceDE w:val="0"/>
        <w:autoSpaceDN w:val="0"/>
        <w:adjustRightInd w:val="0"/>
        <w:spacing w:line="276" w:lineRule="auto"/>
        <w:ind w:left="1134"/>
        <w:jc w:val="both"/>
      </w:pPr>
      <w:r>
        <w:t xml:space="preserve">Sentencia de 2 da instancia,  Sala I, de fecha: 25/07/2003</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01/01/2025.</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01/01/2025 al 01/01/2025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Se parte de un Haber Percibido de $518,37 del 01/08/2008</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El Primer Haber Reclamado es de $1.276,08 del 01/08/2008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Percibió suplemento dinerario creado por el art 125 bis Ley 24.241 (s/texto Ley 27.426, Art. 5°) hasta alcanzar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01/01/2025 aplicando para ello la Tasa</w:t>
      </w:r>
      <w:r w:rsidRPr="000D6B2B">
        <w:t xml:space="preserve"> Pasiva para uso de la Justicia (Com. 14290 BCRA)</w:t>
      </w:r>
      <w:r>
        <w:t xml:space="preserve">. </w:t>
      </w:r>
      <w:r w:rsidRPr="008E4D93">
        <w:t xml:space="preserve"/>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Aumentos Generales de la ANSeS por 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01/01/2025</w:t>
      </w:r>
      <w:r w:rsidRPr="00651855">
        <w:rPr>
          <w:b/>
          <w:bCs/>
        </w:rPr>
        <w:t xml:space="preserve"> </w:t>
      </w:r>
      <w:r w:rsidRPr="00651855">
        <w:t xml:space="preserve">asciende a $252.798,48.</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01/01/2025 determinado por el periodo 01/01/2025</w:t>
      </w:r>
      <w:r w:rsidRPr="003D6F07">
        <w:rPr>
          <w:b/>
          <w:bCs/>
        </w:rPr>
        <w:t xml:space="preserve"> </w:t>
      </w:r>
      <w:r w:rsidRPr="003D6F07">
        <w:t xml:space="preserve">al 01/01/2025 en concepto de Capital resulta en $7.071.986,26 concepto de Intereses a $ 1973179.65.</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$4.727.998,55</w:t>
      </w:r>
    </w:p>
    <w:p w14:paraId="37DF4318" w14:textId="77777777" w:rsidR="00306EA0" w:rsidRDefault="00306EA0" w:rsidP="00306EA0">
      <w:pPr>
        <w:autoSpaceDE w:val="0"/>
        <w:autoSpaceDN w:val="0"/>
        <w:adjustRightInd w:val="0"/>
        <w:spacing w:line="276" w:lineRule="auto"/>
        <w:jc w:val="both"/>
      </w:pPr>
      <w:r>
        <w:t xml:space="preserve"/>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de Segunda liquidacion</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01/01/2025</w:t>
      </w:r>
      <w:r w:rsidRPr="00651855">
        <w:rPr>
          <w:b/>
          <w:bCs/>
        </w:rPr>
        <w:t xml:space="preserve"> </w:t>
      </w:r>
      <w:r w:rsidRPr="00651855">
        <w:t xml:space="preserve">asciende a $1.644.046,07.</w:t>
      </w:r>
      <w:r>
        <w:t xml:space="preserve"> </w:t>
      </w:r>
      <w:r w:rsidRPr="000A6F4D">
        <w:t xml:space="preserve"/>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01/01/2025 determinado por el periodo 01/01/2025</w:t>
      </w:r>
      <w:r w:rsidRPr="003D6F07">
        <w:rPr>
          <w:b/>
          <w:bCs/>
        </w:rPr>
        <w:t xml:space="preserve"> </w:t>
      </w:r>
      <w:r w:rsidRPr="003D6F07">
        <w:t xml:space="preserve">al 01/01/2025 en concepto de Capital resulta en $5.629.860,39 concepto de Intereses a $ 3.820.199,93.</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$6.095.271,42</w:t>
      </w:r>
    </w:p>
    <w:p w14:paraId="7AE03A35"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 xml:space="preserve">s</w:t>
      </w:r>
      <w:r w:rsidRPr="00584239">
        <w:rPr>
          <w:color w:val="000000"/>
        </w:rPr>
        <w:t xml:space="preserve"> guarismo</w:t>
      </w:r>
      <w:r>
        <w:rPr>
          <w:color w:val="000000"/>
        </w:rPr>
        <w:t xml:space="preserve">s:  </w:t>
      </w:r>
      <w:r w:rsidRPr="006F31BF">
        <w:rPr>
          <w:bCs/>
          <w:color w:val="000000"/>
          <w:u w:val="single"/>
        </w:rPr>
        <w:t xml:space="preserve"> </w:t>
      </w:r>
      <w:r w:rsidRPr="006F31BF">
        <w:rPr>
          <w:bCs/>
          <w:color w:val="000000"/>
          <w:u w:val="single"/>
        </w:rPr>
        <w:t xml:space="preserve"/>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01/01/2025 </w:t>
      </w:r>
      <w:r w:rsidRPr="00A206D0">
        <w:t xml:space="preserve">determinado </w:t>
      </w:r>
      <w:r>
        <w:t xml:space="preserve">con estos índices de movilidad </w:t>
      </w:r>
      <w:r w:rsidRPr="00A206D0">
        <w:t>por el periodo</w:t>
      </w:r>
      <w:r>
        <w:t xml:space="preserve"> </w:t>
      </w:r>
      <w:r w:rsidRPr="003D6F07">
        <w:t xml:space="preserve">01/01/2025</w:t>
      </w:r>
      <w:r>
        <w:t xml:space="preserve"> </w:t>
      </w:r>
      <w:r w:rsidRPr="00A206D0">
        <w:t xml:space="preserve">al </w:t>
      </w:r>
      <w:r w:rsidRPr="003D6F07">
        <w:t xml:space="preserve">01/01/2025</w:t>
      </w:r>
      <w:r w:rsidRPr="00A206D0">
        <w:t xml:space="preserve"> en concepto de Capital resulta en $</w:t>
      </w:r>
      <w:r>
        <w:t xml:space="preserve"> 12.861.471,40 </w:t>
      </w:r>
      <w:r w:rsidRPr="00A206D0">
        <w:t xml:space="preserve">concepto de Intereses a $</w:t>
      </w:r>
      <w:r>
        <w:t xml:space="preserve"> 221.024,59 totalizando una deuda dotal de $$15.937.498,98.</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 xml:space="preserve">$3.228.444,55</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 xml:space="preserve">$252.798,48</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 xml:space="preserve">$2.975.646,07</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 xml:space="preserve">92.17%</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drawing>
          <wp:inline xmlns:a="http://schemas.openxmlformats.org/drawingml/2006/main" xmlns:pic="http://schemas.openxmlformats.org/drawingml/2006/picture">
            <wp:extent cx="4572000" cy="3429000"/>
            <wp:docPr id="1003" name="Picture 1003"/>
            <wp:cNvGraphicFramePr>
              <a:graphicFrameLocks noChangeAspect="1"/>
            </wp:cNvGraphicFramePr>
            <a:graphic>
              <a:graphicData uri="http://schemas.openxmlformats.org/drawingml/2006/picture">
                <pic:pic>
                  <pic:nvPicPr>
                    <pic:cNvPr id="0" name="tmpkuakz85r.png"/>
                    <pic:cNvPicPr/>
                  </pic:nvPicPr>
                  <pic:blipFill>
                    <a:blip r:embed="rId27"/>
                    <a:stretch>
                      <a:fillRect/>
                    </a:stretch>
                  </pic:blipFill>
                  <pic:spPr>
                    <a:xfrm>
                      <a:off x="0" y="0"/>
                      <a:ext cx="4572000" cy="3429000"/>
                    </a:xfrm>
                    <a:prstGeom prst="rect"/>
                  </pic:spPr>
                </pic:pic>
              </a:graphicData>
            </a:graphic>
          </wp:inline>
        </w:drawing>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Salarios Nivel General INDEC hasta el 31/12/2006 y desde ahí Aumentos Generales de la ANSeS por movilidad hasta el 31/12/2017 y desde ahí Aumento de Marzo 2018 Ley 26417 14%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01/01/2025 </w:t>
      </w:r>
      <w:r w:rsidRPr="00A206D0">
        <w:t xml:space="preserve">determinado </w:t>
      </w:r>
      <w:r>
        <w:t xml:space="preserve">con estos índices de movilidad </w:t>
      </w:r>
      <w:r w:rsidRPr="00A206D0">
        <w:t>por el periodo</w:t>
      </w:r>
      <w:r>
        <w:t xml:space="preserve"> </w:t>
      </w:r>
      <w:r w:rsidRPr="003D6F07">
        <w:t xml:space="preserve">01/01/2025</w:t>
      </w:r>
      <w:r>
        <w:t xml:space="preserve"> </w:t>
      </w:r>
      <w:r w:rsidRPr="00A206D0">
        <w:t xml:space="preserve">al </w:t>
      </w:r>
      <w:r w:rsidRPr="003D6F07">
        <w:t xml:space="preserve">01/01/2025</w:t>
      </w:r>
      <w:r w:rsidRPr="00A206D0">
        <w:t xml:space="preserve"> en concepto de Capital resulta en $</w:t>
      </w:r>
      <w:r>
        <w:t xml:space="preserve"> 221.024,59 </w:t>
      </w:r>
      <w:r w:rsidRPr="00A206D0">
        <w:t xml:space="preserve">concepto de Intereses a $</w:t>
      </w:r>
      <w:r>
        <w:t xml:space="preserve"> 221.024,59 totalizando una deuda dotal de $$26.576.663,39.</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 xml:space="preserve">$2.113.108,33</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 xml:space="preserve">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$1.644.046,07</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 xml:space="preserve">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r>
              <w:t xml:space="preserve">$469.062,26</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 xml:space="preserve">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22.2%</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drawing>
          <wp:inline xmlns:a="http://schemas.openxmlformats.org/drawingml/2006/main" xmlns:pic="http://schemas.openxmlformats.org/drawingml/2006/picture">
            <wp:extent cx="4572000" cy="3429000"/>
            <wp:docPr id="1004" name="Picture 1004"/>
            <wp:cNvGraphicFramePr>
              <a:graphicFrameLocks noChangeAspect="1"/>
            </wp:cNvGraphicFramePr>
            <a:graphic>
              <a:graphicData uri="http://schemas.openxmlformats.org/drawingml/2006/picture">
                <pic:pic>
                  <pic:nvPicPr>
                    <pic:cNvPr id="0" name="tmp_x4k27_u.png"/>
                    <pic:cNvPicPr/>
                  </pic:nvPicPr>
                  <pic:blipFill>
                    <a:blip r:embed="rId28"/>
                    <a:stretch>
                      <a:fillRect/>
                    </a:stretch>
                  </pic:blipFill>
                  <pic:spPr>
                    <a:xfrm>
                      <a:off x="0" y="0"/>
                      <a:ext cx="4572000" cy="3429000"/>
                    </a:xfrm>
                    <a:prstGeom prst="rect"/>
                  </pic:spPr>
                </pic:pic>
              </a:graphicData>
            </a:graphic>
          </wp:inline>
        </w:drawing>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r w:rsidRPr="006F31BF">
        <w:rPr>
          <w:bCs/>
          <w:color w:val="000000"/>
          <w:u w:val="single"/>
        </w:rPr>
        <w:t xml:space="preserve"/>
      </w:r>
      <w:r w:rsidRPr="006F31BF">
        <w:rPr>
          <w:bCs/>
          <w:color w:val="000000"/>
          <w:u w:val="single"/>
        </w:rPr>
        <w:t xml:space="preserve">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92.17</w:t>
      </w:r>
      <w:r w:rsidRPr="00584239">
        <w:rPr>
          <w:color w:val="000000"/>
        </w:rPr>
        <w:t xml:space="preserve">%</w:t>
      </w:r>
      <w:r>
        <w:rPr>
          <w:color w:val="000000"/>
        </w:rPr>
        <w:t xml:space="preserve"> y </w:t>
      </w:r>
      <w:r>
        <w:t xml:space="preserve">22.2%</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F23CB2">
        <w:rPr>
          <w:color w:val="000000"/>
        </w:rPr>
        <w:t xml:space="preserve"> </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Los fallos “Márquez” y “</w:t>
      </w:r>
      <w:proofErr w:type="spellStart"/>
      <w:r w:rsidRPr="00060CB5">
        <w:rPr>
          <w:lang w:val="es-AR"/>
        </w:rPr>
        <w:t>Cendán</w:t>
      </w:r>
      <w:proofErr w:type="spellEnd"/>
      <w:r w:rsidRPr="00060CB5">
        <w:rPr>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00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60CB5">
        <w:rPr>
          <w:lang w:eastAsia="es-MX"/>
        </w:rPr>
        <w:t>Badaro</w:t>
      </w:r>
      <w:proofErr w:type="spellEnd"/>
      <w:r w:rsidRPr="00060CB5">
        <w:rPr>
          <w:lang w:eastAsia="es-MX"/>
        </w:rPr>
        <w:t xml:space="preserve"> (</w:t>
      </w:r>
      <w:hyperlink r:id="rId10">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1"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2"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3" w:history="1">
        <w:r w:rsidRPr="00060CB5">
          <w:rPr>
            <w:color w:val="0563C1"/>
            <w:lang w:eastAsia="es-AR"/>
          </w:rPr>
          <w:t>“Itzcovich”(</w:t>
        </w:r>
      </w:hyperlink>
      <w:r w:rsidRPr="00060CB5">
        <w:rPr>
          <w:lang w:eastAsia="es-AR"/>
        </w:rPr>
        <w:t>328:566),</w:t>
      </w:r>
      <w:hyperlink r:id="rId14" w:history="1">
        <w:r w:rsidRPr="00060CB5">
          <w:rPr>
            <w:color w:val="0563C1"/>
            <w:lang w:eastAsia="es-AR"/>
          </w:rPr>
          <w:t>“Sánchez”</w:t>
        </w:r>
      </w:hyperlink>
      <w:r w:rsidRPr="00060CB5">
        <w:rPr>
          <w:lang w:eastAsia="es-AR"/>
        </w:rPr>
        <w:t>(328:1602),</w:t>
      </w:r>
      <w:hyperlink r:id="rId15"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6"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 xml:space="preserve">Cada reforma previsional en nuestro país se ha desarrollado en un marco de sucesivas emergencias casi inacabables, lo que lleva a cuestionarnos, como bien señala </w:t>
      </w:r>
      <w:proofErr w:type="spellStart"/>
      <w:r w:rsidRPr="00060CB5">
        <w:rPr>
          <w:lang w:val="es-AR"/>
        </w:rPr>
        <w:t>Cassagne</w:t>
      </w:r>
      <w:proofErr w:type="spellEnd"/>
      <w:r w:rsidRPr="00060CB5">
        <w:rPr>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60CB5">
        <w:rPr>
          <w:lang w:val="es-AR"/>
        </w:rPr>
        <w:t>sustitutividad</w:t>
      </w:r>
      <w:proofErr w:type="spellEnd"/>
      <w:r w:rsidRPr="00060CB5">
        <w:rPr>
          <w:lang w:val="es-AR"/>
        </w:rPr>
        <w:t xml:space="preserve"> establecidos por este Tribunal en precedentes como Fallos 279:389, 280:424, 292:447, 293:235, 300:84, 571, 305:866, 328:1602.</w:t>
      </w:r>
    </w:p>
    <w:p w14:paraId="2D45D722" w14:textId="20C6442A" w:rsidR="000A486C" w:rsidRDefault="000A486C" w:rsidP="00060CB5">
      <w:pPr>
        <w:spacing w:line="276" w:lineRule="auto"/>
        <w:ind w:firstLine="1560"/>
        <w:jc w:val="both"/>
        <w:rPr>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 xml:space="preserve">.</w:t>
      </w:r>
      <w:r w:rsidR="000E2A73">
        <w:rPr>
          <w:lang w:val="es-AR"/>
        </w:rPr>
        <w:t xml:space="preserve"> </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 xml:space="preserve">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100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r>
      <w:r w:rsidR="000E0CD9">
        <w:rPr>
          <w:bCs/>
        </w:rPr>
        <w:t xml:space="preserve"> </w:t>
      </w:r>
      <w:r w:rsidR="000E0CD9">
        <w:t xml:space="preserve"/>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 xml:space="preserve">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 xml:space="preserve">.</w:t>
      </w:r>
      <w:r w:rsidR="00F700D6">
        <w:t xml:space="preserve"> </w:t>
      </w:r>
      <w:r w:rsidR="005E397D">
        <w:rPr>
          <w:bCs/>
        </w:rPr>
        <w:t xml:space="preserve"/>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7777777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D7DF5A6" w14:textId="4FC79368" w:rsidR="001A552B" w:rsidRDefault="0021598D" w:rsidP="001A552B">
      <w:pPr>
        <w:autoSpaceDE w:val="0"/>
        <w:autoSpaceDN w:val="0"/>
        <w:adjustRightInd w:val="0"/>
        <w:jc w:val="both"/>
      </w:pPr>
      <w:r>
        <w:t xml:space="preserve">Solicito tome como base regulatoria la suma de 69.91 UMA, teniendo en cuenta que el valor del UMA a la fecha de cierre de la liquidación, $67.632,00 y el monto reclamado $4.727.998,55, con más los intereses al efectivo pago, de conformidad con lo establecido por la ley 27.423 que en su </w:t>
      </w:r>
      <w:proofErr w:type="spellStart"/>
      <w:r>
        <w:t xml:space="preserve">articulo</w:t>
      </w:r>
      <w:proofErr w:type="spellEnd"/>
      <w:r>
        <w:t xml:space="preserve"> 52 establece: “Aun sin petición del interesado, al dictarse sentencia se regularán los honorarios respectivos de los abogados y procuradores de las partes y de los auxiliares de Justicia.”</w:t>
      </w:r>
      <w:r w:rsidR="001A552B" w:rsidRPr="001A552B">
        <w:t xml:space="preserve"> </w:t>
      </w:r>
      <w:r w:rsidR="001A552B" w:rsidRPr="004D0A71">
        <w:t xml:space="preserve"/>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 xml:space="preserve">Monto de 1ra </w:t>
            </w:r>
            <w:proofErr w:type="spellStart"/>
            <w:r>
              <w:t xml:space="preserve">Liquidacion</w:t>
            </w:r>
            <w:proofErr w:type="spellEnd"/>
            <w:r>
              <w:t xml:space="preserve">: </w:t>
            </w:r>
            <w:r w:rsidRPr="004D0A71">
              <w:t xml:space="preserve">$4.727.998,55</w:t>
            </w:r>
          </w:p>
        </w:tc>
        <w:tc>
          <w:tcPr>
            <w:tcW w:w="3402" w:type="dxa"/>
          </w:tcPr>
          <w:p w14:paraId="7E545860" w14:textId="77777777" w:rsidR="001A552B" w:rsidRDefault="001A552B" w:rsidP="0088363B">
            <w:pPr>
              <w:autoSpaceDE w:val="0"/>
              <w:autoSpaceDN w:val="0"/>
              <w:adjustRightInd w:val="0"/>
              <w:jc w:val="both"/>
            </w:pPr>
            <w:r>
              <w:t xml:space="preserve">Monto en UMA: </w:t>
            </w:r>
            <w:r w:rsidRPr="004D0A71">
              <w:t xml:space="preserve">69.91</w:t>
            </w:r>
          </w:p>
        </w:tc>
      </w:tr>
    </w:tbl>
    <w:p w14:paraId="24080771" w14:textId="77777777" w:rsidR="001A552B" w:rsidRDefault="001A552B" w:rsidP="001A552B">
      <w:pPr>
        <w:autoSpaceDE w:val="0"/>
        <w:autoSpaceDN w:val="0"/>
        <w:adjustRightInd w:val="0"/>
        <w:jc w:val="both"/>
      </w:pPr>
      <w:r>
        <w:t xml:space="preserve"/>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 xml:space="preserve">Monto de 2da </w:t>
            </w:r>
            <w:proofErr w:type="spellStart"/>
            <w:r>
              <w:t xml:space="preserve">Liquidacion</w:t>
            </w:r>
            <w:proofErr w:type="spellEnd"/>
            <w:r>
              <w:t xml:space="preserve">: </w:t>
            </w:r>
            <w:r w:rsidRPr="004D0A71">
              <w:t xml:space="preserve">$6.095.271,42</w:t>
            </w:r>
          </w:p>
        </w:tc>
        <w:tc>
          <w:tcPr>
            <w:tcW w:w="3402" w:type="dxa"/>
          </w:tcPr>
          <w:p w14:paraId="7E545860" w14:textId="77777777" w:rsidR="001A552B" w:rsidRDefault="001A552B" w:rsidP="0088363B">
            <w:pPr>
              <w:autoSpaceDE w:val="0"/>
              <w:autoSpaceDN w:val="0"/>
              <w:adjustRightInd w:val="0"/>
              <w:jc w:val="both"/>
            </w:pPr>
            <w:r>
              <w:t xml:space="preserve">Monto en UMA: </w:t>
            </w:r>
            <w:r w:rsidRPr="004D0A71">
              <w:t xml:space="preserve">90.12</w:t>
            </w:r>
          </w:p>
        </w:tc>
      </w:tr>
    </w:tbl>
    <w:p w14:paraId="24080771" w14:textId="77777777" w:rsidR="001A552B" w:rsidRDefault="001A552B" w:rsidP="001A552B">
      <w:pPr>
        <w:autoSpaceDE w:val="0"/>
        <w:autoSpaceDN w:val="0"/>
        <w:adjustRightInd w:val="0"/>
        <w:jc w:val="both"/>
      </w:pPr>
      <w:r>
        <w:t xml:space="preserve"/>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 xml:space="preserve">Monto de 3ra </w:t>
            </w:r>
            <w:proofErr w:type="spellStart"/>
            <w:r>
              <w:t xml:space="preserve">Liquidacion</w:t>
            </w:r>
            <w:proofErr w:type="spellEnd"/>
            <w:r>
              <w:t xml:space="preserve">: </w:t>
            </w:r>
            <w:r w:rsidRPr="004D0A71">
              <w:t xml:space="preserve">$15.937.498,98</w:t>
            </w:r>
          </w:p>
        </w:tc>
        <w:tc>
          <w:tcPr>
            <w:tcW w:w="3402" w:type="dxa"/>
          </w:tcPr>
          <w:p w14:paraId="7E545860" w14:textId="77777777" w:rsidR="001A552B" w:rsidRDefault="001A552B" w:rsidP="0088363B">
            <w:pPr>
              <w:autoSpaceDE w:val="0"/>
              <w:autoSpaceDN w:val="0"/>
              <w:adjustRightInd w:val="0"/>
              <w:jc w:val="both"/>
            </w:pPr>
            <w:r>
              <w:t xml:space="preserve">Monto en UMA: </w:t>
            </w:r>
            <w:r w:rsidRPr="004D0A71">
              <w:t xml:space="preserve">235.65</w:t>
            </w:r>
          </w:p>
        </w:tc>
      </w:tr>
    </w:tbl>
    <w:p w14:paraId="24080771" w14:textId="77777777" w:rsidR="001A552B" w:rsidRDefault="001A552B" w:rsidP="001A552B">
      <w:pPr>
        <w:autoSpaceDE w:val="0"/>
        <w:autoSpaceDN w:val="0"/>
        <w:adjustRightInd w:val="0"/>
        <w:jc w:val="both"/>
      </w:pPr>
      <w:r>
        <w:t xml:space="preserve"/>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 xml:space="preserve">Monto de 4ta </w:t>
            </w:r>
            <w:proofErr w:type="spellStart"/>
            <w:r>
              <w:t xml:space="preserve">Liquidacion</w:t>
            </w:r>
            <w:proofErr w:type="spellEnd"/>
            <w:r>
              <w:t xml:space="preserve">: </w:t>
            </w:r>
            <w:r w:rsidRPr="004D0A71">
              <w:t xml:space="preserve">$26.576.663,39</w:t>
            </w:r>
          </w:p>
        </w:tc>
        <w:tc>
          <w:tcPr>
            <w:tcW w:w="3402" w:type="dxa"/>
          </w:tcPr>
          <w:p w14:paraId="7E545860" w14:textId="77777777" w:rsidR="001A552B" w:rsidRDefault="001A552B" w:rsidP="0088363B">
            <w:pPr>
              <w:autoSpaceDE w:val="0"/>
              <w:autoSpaceDN w:val="0"/>
              <w:adjustRightInd w:val="0"/>
              <w:jc w:val="both"/>
            </w:pPr>
            <w:r>
              <w:t xml:space="preserve">Monto en UMA: </w:t>
            </w:r>
            <w:r w:rsidRPr="004D0A71">
              <w:t xml:space="preserve">392.96</w:t>
            </w:r>
          </w:p>
        </w:tc>
      </w:tr>
    </w:tbl>
    <w:p w14:paraId="24080771" w14:textId="77777777" w:rsidR="001A552B" w:rsidRDefault="001A552B" w:rsidP="001A552B">
      <w:pPr>
        <w:autoSpaceDE w:val="0"/>
        <w:autoSpaceDN w:val="0"/>
        <w:adjustRightInd w:val="0"/>
        <w:jc w:val="both"/>
      </w:pPr>
      <w:r>
        <w:t xml:space="preserve"/>
      </w:r>
    </w:p>
    <w:p w14:paraId="15989E51" w14:textId="63124AAC" w:rsidR="0021598D" w:rsidRDefault="0021598D" w:rsidP="0021598D">
      <w:pPr>
        <w:autoSpaceDE w:val="0"/>
        <w:autoSpaceDN w:val="0"/>
        <w:adjustRightInd w:val="0"/>
        <w:ind w:firstLine="1134"/>
        <w:jc w:val="both"/>
      </w:pP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r>
        <w:t>abogados:Av</w:t>
      </w:r>
      <w:proofErr w:type="spellEnd"/>
      <w:r>
        <w:t xml:space="preserve">. Sarmiento N º 302/308 de la ciudad de Salta,  domicilio electrónico como persona jurídica registrado bajo el CUIT 30518723487.</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r w:rsidRPr="00E90E3C">
        <w:rPr>
          <w:lang w:val="es-AR"/>
        </w:rPr>
        <w:t>Solicito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 xml:space="preserve">Reserva: Me reservo el derecho de ampliar la presente liquidación una vez que V.S. determine la tasa aplicable y el modo de cálculo de los intereses sancionatorios.</w:t>
      </w:r>
      <w:r>
        <w:rPr>
          <w:lang w:val="es-AR"/>
        </w:rPr>
        <w:t xml:space="preserve"> </w:t>
      </w:r>
      <w:r>
        <w:t xml:space="preserve"/>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 xml:space="preserve"/>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5"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 xml:space="preserve">Por todo lo expuesto, solicito que se condene a ANSES a abonar una indemnización por los daños ocasionados o, en su defecto, a actualizar y pagar la deuda de manera integral y conforme a derecho.</w:t>
      </w:r>
      <w:r w:rsidRPr="00544398">
        <w:t xml:space="preserve"> </w:t>
      </w:r>
      <w:r>
        <w:t xml:space="preserve"/>
      </w:r>
    </w:p>
    <w:p w14:paraId="2979A87A" w14:textId="77777777" w:rsidR="008F5ED6" w:rsidRDefault="008F5ED6" w:rsidP="003833D6">
      <w:pPr>
        <w:autoSpaceDE w:val="0"/>
        <w:autoSpaceDN w:val="0"/>
        <w:adjustRightInd w:val="0"/>
        <w:spacing w:line="276" w:lineRule="auto"/>
        <w:rPr>
          <w:b/>
        </w:rPr>
      </w:pPr>
    </w:p>
    <w:bookmarkEnd w:id="5"/>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65463BDC" w14:textId="77777777" w:rsidR="005E30B2" w:rsidRDefault="005E30B2" w:rsidP="005E30B2">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52734661" w14:textId="77777777" w:rsidR="005E30B2" w:rsidRDefault="005E30B2" w:rsidP="005E30B2">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63BDC" w15:done="0"/>
  <w15:commentEx w15:paraId="52734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63BDC" w16cid:durableId="73ACF5E5"/>
  <w16cid:commentId w16cid:paraId="52734661"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44EEB" w14:textId="77777777" w:rsidR="0053066C" w:rsidRDefault="0053066C" w:rsidP="00544398">
      <w:r>
        <w:separator/>
      </w:r>
    </w:p>
  </w:endnote>
  <w:endnote w:type="continuationSeparator" w:id="0">
    <w:p w14:paraId="0B7F0CCB" w14:textId="77777777" w:rsidR="0053066C" w:rsidRDefault="0053066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4D5C1" w14:textId="77777777" w:rsidR="0053066C" w:rsidRDefault="0053066C" w:rsidP="00544398">
      <w:r>
        <w:separator/>
      </w:r>
    </w:p>
  </w:footnote>
  <w:footnote w:type="continuationSeparator" w:id="0">
    <w:p w14:paraId="35378E93" w14:textId="77777777" w:rsidR="0053066C" w:rsidRDefault="0053066C"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A552B"/>
    <w:rsid w:val="001B4137"/>
    <w:rsid w:val="001B447F"/>
    <w:rsid w:val="001C182E"/>
    <w:rsid w:val="001C7BBB"/>
    <w:rsid w:val="001D25B4"/>
    <w:rsid w:val="001D5D6F"/>
    <w:rsid w:val="001D7666"/>
    <w:rsid w:val="001E741B"/>
    <w:rsid w:val="001F09E7"/>
    <w:rsid w:val="002059D3"/>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066C"/>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0B2"/>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765"/>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61BE"/>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 Id="rId27" Type="http://schemas.openxmlformats.org/officeDocument/2006/relationships/image" Target="media/image5.png"/><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8103</Words>
  <Characters>44572</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52570</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39</cp:revision>
  <cp:lastPrinted>2023-01-02T11:50:00Z</cp:lastPrinted>
  <dcterms:created xsi:type="dcterms:W3CDTF">2024-12-12T03:38:00Z</dcterms:created>
  <dcterms:modified xsi:type="dcterms:W3CDTF">2025-02-10T07:23:00Z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