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48C33F" w14:textId="77777777" w:rsidR="001C182E" w:rsidRDefault="00444858" w:rsidP="005C0B8B">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 xml:space="preserve">Octavio GALVAN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 xml:space="preserve">66694</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 xml:space="preserve">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r>
    </w:p>
    <w:p w14:paraId="2146D557" w14:textId="6A3838C4" w:rsidR="0045440C" w:rsidRPr="0045440C" w:rsidRDefault="00DC316B" w:rsidP="005C0B8B">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 xml:space="preserve"/>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 xml:space="preserve"/>
      </w:r>
    </w:p>
    <w:p w14:paraId="2188C16D" w14:textId="2C8719FF" w:rsidR="00593286" w:rsidRDefault="009F35E9" w:rsidP="005C0B8B">
      <w:pPr>
        <w:numPr>
          <w:ilvl w:val="0"/>
          <w:numId w:val="18"/>
        </w:numPr>
        <w:autoSpaceDE w:val="0"/>
        <w:autoSpaceDN w:val="0"/>
        <w:adjustRightInd w:val="0"/>
        <w:jc w:val="both"/>
      </w:pPr>
      <w:r>
        <w:t xml:space="preserve">Dejo planteada la inconstitucionalidad de la  ley 27.609 , ley 27.426 .</w:t>
      </w:r>
    </w:p>
    <w:p w14:paraId="63714754" w14:textId="77777777" w:rsidR="00284613" w:rsidRDefault="00284613" w:rsidP="005C0B8B">
      <w:pPr>
        <w:autoSpaceDE w:val="0"/>
        <w:autoSpaceDN w:val="0"/>
        <w:adjustRightInd w:val="0"/>
        <w:ind w:left="720"/>
        <w:jc w:val="both"/>
      </w:pPr>
    </w:p>
    <w:p w14:paraId="0F4147E5" w14:textId="0BCA494B" w:rsidR="00BB4314" w:rsidRDefault="00284613" w:rsidP="005C0B8B">
      <w:pPr>
        <w:numPr>
          <w:ilvl w:val="0"/>
          <w:numId w:val="18"/>
        </w:numPr>
        <w:autoSpaceDE w:val="0"/>
        <w:autoSpaceDN w:val="0"/>
        <w:adjustRightInd w:val="0"/>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w:t>
      </w:r>
      <w:r w:rsidRPr="003E4E89">
        <w:lastRenderedPageBreak/>
        <w:t xml:space="preserve">(UMA), según el artículo 51, siendo el pago definitivo al abonarse el equivalente en UMA vigente. Solicito que se consideren los intereses, frutos y accesorios como parte de la base </w:t>
      </w:r>
      <w:proofErr w:type="gramStart"/>
      <w:r w:rsidRPr="003E4E89">
        <w:t>regulatoria</w:t>
      </w:r>
      <w:r>
        <w:t>.</w:t>
      </w:r>
      <w:r w:rsidR="00DA3FC8">
        <w:t xml:space="preserve"/>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 xml:space="preserve">Sentencia de 1 </w:t>
      </w:r>
      <w:proofErr w:type="spellStart"/>
      <w:r>
        <w:t>ra</w:t>
      </w:r>
      <w:proofErr w:type="spellEnd"/>
      <w:r>
        <w:t xml:space="preserve"> instancia de fecha:</w:t>
      </w:r>
      <w:r w:rsidR="004E7FA7">
        <w:t xml:space="preserve"> </w:t>
      </w:r>
      <w:r w:rsidR="004A1A81">
        <w:t xml:space="preserve">25/07/2003</w:t>
      </w:r>
      <w:r w:rsidR="006C5E8F">
        <w:t xml:space="preserve"/>
      </w:r>
    </w:p>
    <w:p w14:paraId="035E4D33" w14:textId="084B9E6E" w:rsidR="0045440C" w:rsidRDefault="0045440C" w:rsidP="005C0B8B">
      <w:pPr>
        <w:autoSpaceDE w:val="0"/>
        <w:autoSpaceDN w:val="0"/>
        <w:adjustRightInd w:val="0"/>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 xml:space="preserve">12/02/2003 </w:t>
      </w:r>
      <w:r w:rsidR="008E6244">
        <w:rPr>
          <w:b/>
          <w:bCs/>
        </w:rPr>
        <w:t xml:space="preserve">al </w:t>
      </w:r>
      <w:r w:rsidR="00274162">
        <w:rPr>
          <w:b/>
          <w:bCs/>
        </w:rPr>
        <w:t xml:space="preserve">25/07/2015</w:t>
      </w:r>
      <w:r w:rsidR="00814A09">
        <w:rPr>
          <w:b/>
          <w:bCs/>
        </w:rPr>
        <w:t xml:space="preserve"> </w:t>
      </w:r>
      <w:r w:rsidR="001B0EE2">
        <w:t xml:space="preserve">.</w:t>
      </w:r>
      <w:r w:rsidR="001004A0">
        <w:rPr>
          <w:lang w:val="es-AR"/>
        </w:rPr>
        <w:t xml:space="preserve"/>
      </w:r>
      <w:r w:rsidR="006B26C8">
        <w:rPr>
          <w:lang w:val="es-AR"/>
        </w:rPr>
        <w:t xml:space="preserve"/>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proofErr w:type="gramStart"/>
      <w:r w:rsidR="009B372A">
        <w:t xml:space="preserve">PERCIBIDO</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t>Reclamado</w:t>
      </w:r>
      <w:r>
        <w:rPr>
          <w:b/>
          <w:bCs/>
        </w:rPr>
        <w:t xml:space="preserve">:</w:t>
      </w:r>
      <w:r>
        <w:t xml:space="preserve"> </w:t>
      </w:r>
      <w:proofErr w:type="gramStart"/>
      <w:r w:rsidR="001F1BCD">
        <w:rPr>
          <w:lang w:val="es-AR"/>
        </w:rPr>
        <w:t xml:space="preserve">RECLAMADO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 xml:space="preserve">No</w:t>
      </w:r>
      <w:r>
        <w:rPr>
          <w:b/>
          <w:bCs/>
        </w:rPr>
        <w:t xml:space="preserve"> </w:t>
      </w:r>
      <w:r>
        <w:rPr>
          <w:lang w:val="es-AR"/>
        </w:rPr>
        <w:t xml:space="preserve">Percibió. </w:t>
      </w:r>
      <w:r w:rsidR="001F1BCD">
        <w:rPr>
          <w:lang w:val="es-AR"/>
        </w:rPr>
        <w:t xml:space="preserve"/>
      </w:r>
      <w:r w:rsidR="00211800">
        <w:rPr>
          <w:lang w:val="es-AR"/>
        </w:rPr>
        <w:t xml:space="preserve">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 xml:space="preserve">No</w:t>
      </w:r>
      <w:r>
        <w:rPr>
          <w:b/>
          <w:bCs/>
        </w:rPr>
        <w:t xml:space="preserve"> </w:t>
      </w:r>
      <w:r>
        <w:rPr>
          <w:lang w:val="es-AR"/>
        </w:rPr>
        <w:t xml:space="preserve">Percibió. </w:t>
      </w:r>
      <w:r w:rsidR="00D01EBF">
        <w:rPr>
          <w:lang w:val="es-AR"/>
        </w:rPr>
        <w:t xml:space="preserve"/>
      </w:r>
      <w:r w:rsidR="000D595C">
        <w:rPr>
          <w:lang w:val="es-AR"/>
        </w:rPr>
        <w:t xml:space="preserve"/>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 xml:space="preserve">Suplemento dinerario</w:t>
      </w:r>
      <w:r>
        <w:t xml:space="preserve">: No Percibió suplemento dinerario supera el 82% del SMVM. </w:t>
      </w:r>
      <w:r w:rsidR="000D595C">
        <w:t xml:space="preserve"/>
      </w:r>
      <w:r w:rsidR="00B44D48">
        <w:t xml:space="preserv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 xml:space="preserve">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w:t>
      </w:r>
      <w:r w:rsidR="00D16CF3">
        <w:t xml:space="preserve"/>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 xml:space="preserve">25/10/2024 </w:t>
      </w:r>
      <w:r w:rsidR="008B4C8E">
        <w:t>aplicando para ello la Tasa</w:t>
      </w:r>
      <w:r w:rsidR="008B4C8E" w:rsidRPr="000D6B2B">
        <w:t xml:space="preserve"> Pasiva para uso de la Justicia (Com. 14290 BCRA)</w:t>
      </w:r>
      <w:r w:rsidR="008B4C8E">
        <w:t xml:space="preserve">.</w:t>
      </w:r>
      <w:r w:rsidR="00722AFB">
        <w:t xml:space="preserve"> </w:t>
      </w:r>
      <w:r w:rsidR="008E4D93" w:rsidRPr="008E4D93">
        <w:t xml:space="preserve"/>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 xml:space="preserve">MOVILIDAD ACA</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 xml:space="preserve">Haber de Alta Reclamado</w:t>
      </w:r>
      <w:r w:rsidRPr="00651855">
        <w:t xml:space="preserve"> al 25/07/2015</w:t>
      </w:r>
      <w:r w:rsidRPr="00651855">
        <w:rPr>
          <w:b/>
          <w:bCs/>
        </w:rPr>
        <w:t xml:space="preserve"> </w:t>
      </w:r>
      <w:r w:rsidRPr="00651855">
        <w:t xml:space="preserve">asciende a $1.000.000,12.</w:t>
      </w:r>
      <w:r w:rsidR="000A6F4D">
        <w:t xml:space="preserve"> </w:t>
      </w:r>
      <w:r w:rsidR="000A6F4D" w:rsidRPr="000A6F4D">
        <w:t xml:space="preserve"/>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 xml:space="preserve">Retroactivo</w:t>
      </w:r>
      <w:r w:rsidRPr="003D6F07">
        <w:t xml:space="preserve"> exigible al 25/10/2024 determinado por el periodo 12/02/2003</w:t>
      </w:r>
      <w:r w:rsidRPr="003D6F07">
        <w:rPr>
          <w:b/>
          <w:bCs/>
        </w:rPr>
        <w:t xml:space="preserve"> </w:t>
      </w:r>
      <w:r w:rsidRPr="003D6F07">
        <w:t xml:space="preserve">al 25/07/2015 en concepto de Capital resulta en $11554 concepto de Intereses a $ 313213.</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 xml:space="preserve">$213.131,00</w:t>
      </w:r>
    </w:p>
    <w:p w14:paraId="0378E622" w14:textId="2BD6DCB4" w:rsidR="007544B2" w:rsidRDefault="007544B2" w:rsidP="005C0B8B">
      <w:pPr>
        <w:autoSpaceDE w:val="0"/>
        <w:autoSpaceDN w:val="0"/>
        <w:adjustRightInd w:val="0"/>
        <w:jc w:val="both"/>
      </w:pPr>
      <w:r>
        <w:t xml:space="preserve"/>
      </w:r>
    </w:p>
    <w:p w14:paraId="1BFB6399" w14:textId="50214A2B" w:rsidR="007544B2" w:rsidRDefault="005F61CE" w:rsidP="005C0B8B">
      <w:pPr>
        <w:autoSpaceDE w:val="0"/>
        <w:autoSpaceDN w:val="0"/>
        <w:adjustRightInd w:val="0"/>
        <w:jc w:val="both"/>
      </w:pPr>
      <w:r>
        <w:t xml:space="preserve"/>
      </w:r>
      <w:r w:rsidR="00F76497">
        <w:rPr>
          <w:color w:val="000000"/>
        </w:rPr>
        <w:t xml:space="preserve"> </w:t>
      </w:r>
      <w:r w:rsidR="00F76497" w:rsidRPr="006F31BF">
        <w:rPr>
          <w:bCs/>
          <w:color w:val="000000"/>
          <w:u w:val="single"/>
        </w:rPr>
        <w:t xml:space="preserve"> </w:t>
      </w:r>
    </w:p>
    <w:p w14:paraId="48EBE409" w14:textId="3305233E" w:rsidR="00B82510" w:rsidRDefault="00B82510" w:rsidP="005C0B8B">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 xml:space="preserve"/>
      </w:r>
      <w:r w:rsidR="004503C3">
        <w:rPr>
          <w:color w:val="000000"/>
        </w:rPr>
        <w:t xml:space="preserve"> </w:t>
      </w:r>
      <w:r w:rsidR="004503C3" w:rsidRPr="006F31BF">
        <w:rPr>
          <w:bCs/>
          <w:color w:val="000000"/>
          <w:u w:val="single"/>
        </w:rPr>
        <w:t xml:space="preserve"/>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 xml:space="preserve">SEGUNDA MOVILIDAD</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 xml:space="preserve">25/10/2024</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 xml:space="preserve">12/02/2003</w:t>
      </w:r>
      <w:r w:rsidR="00BB453E">
        <w:t xml:space="preserve"> </w:t>
      </w:r>
      <w:r w:rsidRPr="00A206D0">
        <w:t xml:space="preserve">al </w:t>
      </w:r>
      <w:r w:rsidR="003A5F10" w:rsidRPr="003D6F07">
        <w:t xml:space="preserve">25/07/2015</w:t>
      </w:r>
      <w:r w:rsidRPr="00A206D0">
        <w:t xml:space="preserve"> en concepto de Capital resulta en $</w:t>
      </w:r>
      <w:r w:rsidR="00BE074C">
        <w:t xml:space="preserve"> </w:t>
      </w:r>
      <w:r w:rsidR="00A67C47">
        <w:t xml:space="preserve">56656</w:t>
      </w:r>
      <w:r w:rsidR="00BE074C">
        <w:t xml:space="preserve"> </w:t>
      </w:r>
      <w:r w:rsidRPr="00A206D0">
        <w:t>concepto de Intereses a $</w:t>
      </w:r>
      <w:r w:rsidR="00BE074C">
        <w:t xml:space="preserve"> </w:t>
      </w:r>
      <w:r w:rsidR="00A67C47">
        <w:t xml:space="preserve">645645</w:t>
      </w:r>
      <w:r>
        <w:t xml:space="preserve"> totalizando una deuda dotal de $</w:t>
      </w:r>
      <w:r w:rsidR="00F34C48">
        <w:t xml:space="preserve">456456</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 xml:space="preserve">$23.000.000,12</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 xml:space="preserve">$1.000.000,12</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proofErr w:type="spellStart"/>
            <w:r>
              <w:t>Dif</w:t>
            </w:r>
            <w:proofErr w:type="spellEnd"/>
          </w:p>
        </w:tc>
        <w:tc>
          <w:tcPr>
            <w:tcW w:w="1972" w:type="dxa"/>
            <w:shd w:val="clear" w:color="auto" w:fill="auto"/>
          </w:tcPr>
          <w:p w14:paraId="6A9680D6" w14:textId="0F2EFA96" w:rsidR="00B82510" w:rsidRDefault="005A7B53" w:rsidP="005C0B8B">
            <w:pPr>
              <w:autoSpaceDE w:val="0"/>
              <w:autoSpaceDN w:val="0"/>
              <w:adjustRightInd w:val="0"/>
              <w:jc w:val="both"/>
            </w:pPr>
            <w:r>
              <w:t xml:space="preserve">$22.000.000,00</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 xml:space="preserve">95.65</w:t>
            </w:r>
            <w:r w:rsidR="00B82510">
              <w:t>%</w:t>
            </w:r>
            <w:proofErr w:type="gramEnd"/>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drawing>
          <wp:inline xmlns:a="http://schemas.openxmlformats.org/drawingml/2006/main" xmlns:pic="http://schemas.openxmlformats.org/drawingml/2006/picture">
            <wp:extent cx="4572000" cy="3429000"/>
            <wp:docPr id="1002" name="Picture 1002"/>
            <wp:cNvGraphicFramePr>
              <a:graphicFrameLocks noChangeAspect="1"/>
            </wp:cNvGraphicFramePr>
            <a:graphic>
              <a:graphicData uri="http://schemas.openxmlformats.org/drawingml/2006/picture">
                <pic:pic>
                  <pic:nvPicPr>
                    <pic:cNvPr id="0" name="tmpzhdflvqz.png"/>
                    <pic:cNvPicPr/>
                  </pic:nvPicPr>
                  <pic:blipFill>
                    <a:blip r:embed="rId20"/>
                    <a:stretch>
                      <a:fillRect/>
                    </a:stretch>
                  </pic:blipFill>
                  <pic:spPr>
                    <a:xfrm>
                      <a:off x="0" y="0"/>
                      <a:ext cx="4572000" cy="3429000"/>
                    </a:xfrm>
                    <a:prstGeom prst="rect"/>
                  </pic:spPr>
                </pic:pic>
              </a:graphicData>
            </a:graphic>
          </wp:inline>
        </w:drawing>
      </w:r>
    </w:p>
    <w:p w14:paraId="5A7D4F69" w14:textId="0A9A7DA7" w:rsidR="009A6E2F" w:rsidRDefault="009A6E2F" w:rsidP="005C0B8B">
      <w:pPr>
        <w:autoSpaceDE w:val="0"/>
        <w:autoSpaceDN w:val="0"/>
        <w:adjustRightInd w:val="0"/>
        <w:jc w:val="both"/>
      </w:pPr>
      <w:r>
        <w:t xml:space="preserve"/>
      </w:r>
      <w:r w:rsidR="008A737C">
        <w:rPr>
          <w:color w:val="000000"/>
        </w:rPr>
        <w:t xml:space="preserve"> </w:t>
      </w:r>
      <w:r w:rsidR="008A737C" w:rsidRPr="006F31BF">
        <w:rPr>
          <w:bCs/>
          <w:color w:val="000000"/>
          <w:u w:val="single"/>
        </w:rPr>
        <w:t xml:space="preserve"> </w:t>
      </w:r>
    </w:p>
    <w:p w14:paraId="6EF68C7D" w14:textId="77777777" w:rsidR="007616F8" w:rsidRDefault="00B82510" w:rsidP="005C0B8B">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 xml:space="preserve">95.65</w:t>
      </w:r>
      <w:r w:rsidRPr="00584239">
        <w:rPr>
          <w:color w:val="000000"/>
        </w:rPr>
        <w:t>%</w:t>
      </w:r>
      <w:proofErr w:type="gramEnd"/>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w:t>
      </w:r>
      <w:r w:rsidR="007616F8" w:rsidRPr="006F31BF">
        <w:rPr>
          <w:bCs/>
          <w:color w:val="000000"/>
          <w:u w:val="single"/>
        </w:rPr>
        <w:t xml:space="preserve"/>
      </w:r>
      <w:r>
        <w:rPr>
          <w:color w:val="000000"/>
        </w:rPr>
        <w:t xml:space="preserve"> </w:t>
      </w:r>
      <w:r w:rsidR="00163618">
        <w:rPr>
          <w:color w:val="000000"/>
        </w:rPr>
        <w:t xml:space="preserve"/>
      </w:r>
    </w:p>
    <w:p w14:paraId="3882DA64" w14:textId="77777777" w:rsidR="00B82510" w:rsidRDefault="00B82510" w:rsidP="005C0B8B">
      <w:pPr>
        <w:autoSpaceDE w:val="0"/>
        <w:autoSpaceDN w:val="0"/>
        <w:adjustRightInd w:val="0"/>
        <w:ind w:left="1146"/>
        <w:jc w:val="both"/>
        <w:rPr>
          <w:b/>
          <w:bCs/>
        </w:rPr>
      </w:pPr>
    </w:p>
    <w:p w14:paraId="0F00F9EF" w14:textId="77777777" w:rsidR="00B82510" w:rsidRDefault="00B82510" w:rsidP="005C0B8B">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5C0B8B">
      <w:pPr>
        <w:autoSpaceDE w:val="0"/>
        <w:autoSpaceDN w:val="0"/>
        <w:adjustRightInd w:val="0"/>
        <w:ind w:left="1146"/>
        <w:jc w:val="both"/>
        <w:rPr>
          <w:b/>
          <w:bCs/>
        </w:rPr>
      </w:pPr>
    </w:p>
    <w:p w14:paraId="434723EC" w14:textId="77777777" w:rsidR="001D02DD" w:rsidRPr="001D02DD" w:rsidRDefault="001D02DD" w:rsidP="005C0B8B">
      <w:pPr>
        <w:autoSpaceDE w:val="0"/>
        <w:autoSpaceDN w:val="0"/>
        <w:adjustRightInd w:val="0"/>
        <w:ind w:firstLine="851"/>
        <w:jc w:val="both"/>
        <w:rPr>
          <w:rFonts w:eastAsia="Calibri"/>
          <w:lang w:val="es-AR"/>
        </w:rPr>
      </w:pPr>
      <w:r w:rsidRPr="001D02DD">
        <w:rPr>
          <w:rFonts w:eastAsia="Calibri"/>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1D02DD">
        <w:rPr>
          <w:rFonts w:eastAsia="Calibri"/>
          <w:lang w:val="es-AR"/>
        </w:rPr>
        <w:t>Por</w:t>
      </w:r>
      <w:proofErr w:type="gramEnd"/>
      <w:r w:rsidRPr="001D02DD">
        <w:rPr>
          <w:rFonts w:eastAsia="Calibri"/>
          <w:lang w:val="es-AR"/>
        </w:rPr>
        <w:t xml:space="preserve"> sobre todo, vulnera el derecho a la vida y a una vejez digna.</w:t>
      </w:r>
    </w:p>
    <w:p w14:paraId="1B39ECB4" w14:textId="77777777" w:rsidR="001D02DD" w:rsidRPr="001D02DD" w:rsidRDefault="001D02DD" w:rsidP="005C0B8B">
      <w:pPr>
        <w:autoSpaceDE w:val="0"/>
        <w:autoSpaceDN w:val="0"/>
        <w:adjustRightInd w:val="0"/>
        <w:ind w:firstLine="851"/>
        <w:jc w:val="both"/>
        <w:rPr>
          <w:rFonts w:eastAsia="Calibri"/>
          <w:lang w:val="es-AR"/>
        </w:rPr>
      </w:pPr>
      <w:r w:rsidRPr="001D02DD">
        <w:rPr>
          <w:rFonts w:eastAsia="Calibri"/>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3A724F" w14:textId="77777777" w:rsidR="001D02DD" w:rsidRPr="001D02DD" w:rsidRDefault="001D02DD" w:rsidP="005C0B8B">
      <w:pPr>
        <w:autoSpaceDE w:val="0"/>
        <w:autoSpaceDN w:val="0"/>
        <w:adjustRightInd w:val="0"/>
        <w:ind w:firstLine="851"/>
        <w:jc w:val="both"/>
        <w:rPr>
          <w:rFonts w:eastAsia="Calibri"/>
          <w:lang w:val="es-AR"/>
        </w:rPr>
      </w:pPr>
      <w:r w:rsidRPr="001D02DD">
        <w:rPr>
          <w:rFonts w:eastAsia="Calibri"/>
          <w:lang w:val="es-AR"/>
        </w:rPr>
        <w:t>Los fallos “Márquez” y “</w:t>
      </w:r>
      <w:proofErr w:type="spellStart"/>
      <w:r w:rsidRPr="001D02DD">
        <w:rPr>
          <w:rFonts w:eastAsia="Calibri"/>
          <w:lang w:val="es-AR"/>
        </w:rPr>
        <w:t>Cendán</w:t>
      </w:r>
      <w:proofErr w:type="spellEnd"/>
      <w:r w:rsidRPr="001D02DD">
        <w:rPr>
          <w:rFonts w:eastAsia="Calibri"/>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3FAA3055" w14:textId="69DC8BCA" w:rsidR="00B82510" w:rsidRPr="00345944" w:rsidRDefault="001D02DD" w:rsidP="005C0B8B">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17F8C116">
            <wp:simplePos x="0" y="0"/>
            <wp:positionH relativeFrom="column">
              <wp:posOffset>250190</wp:posOffset>
            </wp:positionH>
            <wp:positionV relativeFrom="paragraph">
              <wp:posOffset>193675</wp:posOffset>
            </wp:positionV>
            <wp:extent cx="5146040" cy="2366010"/>
            <wp:effectExtent l="0" t="0" r="0" b="0"/>
            <wp:wrapTight wrapText="bothSides">
              <wp:wrapPolygon edited="0">
                <wp:start x="0" y="0"/>
                <wp:lineTo x="0" y="21391"/>
                <wp:lineTo x="21509" y="21391"/>
                <wp:lineTo x="21509" y="0"/>
                <wp:lineTo x="0" y="0"/>
              </wp:wrapPolygon>
            </wp:wrapTight>
            <wp:docPr id="1001"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040" cy="2366010"/>
                    </a:xfrm>
                    <a:prstGeom prst="rect">
                      <a:avLst/>
                    </a:prstGeom>
                    <a:noFill/>
                  </pic:spPr>
                </pic:pic>
              </a:graphicData>
            </a:graphic>
            <wp14:sizeRelH relativeFrom="page">
              <wp14:pctWidth>0</wp14:pctWidth>
            </wp14:sizeRelH>
            <wp14:sizeRelV relativeFrom="page">
              <wp14:pctHeight>0</wp14:pctHeight>
            </wp14:sizeRelV>
          </wp:anchor>
        </w:drawing>
      </w:r>
    </w:p>
    <w:p w14:paraId="0FA051C9" w14:textId="77777777" w:rsidR="001D02DD" w:rsidRDefault="001D02DD" w:rsidP="005C0B8B">
      <w:pPr>
        <w:pStyle w:val="NormalWeb"/>
        <w:ind w:firstLine="709"/>
        <w:jc w:val="both"/>
      </w:pPr>
      <w:r>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Default="001D02DD" w:rsidP="005C0B8B">
      <w:pPr>
        <w:pStyle w:val="NormalWeb"/>
        <w:ind w:firstLine="709"/>
        <w:jc w:val="both"/>
      </w:pPr>
      <w:r>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Default="001D02DD" w:rsidP="005C0B8B">
      <w:pPr>
        <w:pStyle w:val="NormalWeb"/>
        <w:ind w:firstLine="709"/>
        <w:jc w:val="both"/>
      </w:pPr>
      <w:r>
        <w:t>Como lo ha sostenido la Corte Suprema de Justicia de la Nación:</w:t>
      </w:r>
      <w:r>
        <w:br/>
      </w:r>
      <w:r>
        <w:rPr>
          <w:rStyle w:val="nfasis"/>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Default="001D02DD" w:rsidP="005C0B8B">
      <w:pPr>
        <w:pStyle w:val="NormalWeb"/>
        <w:ind w:firstLine="709"/>
        <w:jc w:val="both"/>
      </w:pPr>
      <w:r>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Default="001D02DD" w:rsidP="005C0B8B">
      <w:pPr>
        <w:pStyle w:val="NormalWeb"/>
        <w:ind w:firstLine="709"/>
        <w:jc w:val="both"/>
      </w:pPr>
      <w:r>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Default="001D02DD" w:rsidP="005C0B8B">
      <w:pPr>
        <w:pStyle w:val="NormalWeb"/>
        <w:ind w:firstLine="709"/>
        <w:jc w:val="both"/>
      </w:pPr>
      <w:r>
        <w:t>Como sostuvo la Corte Suprema de Justicia de la Nación en Fallos 301:317:</w:t>
      </w:r>
      <w:r>
        <w:rPr>
          <w:rStyle w:val="nfasis"/>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t xml:space="preserve"> (el subrayado me pertenece).</w:t>
      </w:r>
    </w:p>
    <w:p w14:paraId="4336B917" w14:textId="77777777" w:rsidR="001D02DD" w:rsidRDefault="001D02DD" w:rsidP="005C0B8B">
      <w:pPr>
        <w:pStyle w:val="NormalWeb"/>
        <w:ind w:firstLine="709"/>
        <w:jc w:val="both"/>
      </w:pPr>
      <w:r>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25676F24" w14:textId="77777777" w:rsidR="001D02DD" w:rsidRDefault="001D02DD" w:rsidP="005C0B8B">
      <w:pPr>
        <w:pStyle w:val="NormalWeb"/>
        <w:ind w:firstLine="709"/>
        <w:jc w:val="both"/>
      </w:pPr>
      <w:r>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5454DC88" w14:textId="7864C834" w:rsidR="00B82510" w:rsidRPr="00345944" w:rsidRDefault="00B82510" w:rsidP="005C0B8B">
      <w:pPr>
        <w:ind w:firstLine="1560"/>
        <w:jc w:val="both"/>
        <w:rPr>
          <w:rFonts w:eastAsia="Calibri"/>
        </w:rPr>
      </w:pPr>
      <w:r w:rsidRPr="00345944">
        <w:rPr>
          <w:lang w:eastAsia="es-MX"/>
        </w:rPr>
        <w:t>Los  bonos otorgados a las jubilaciones mínimas</w:t>
      </w:r>
      <w:r w:rsidR="001D02DD">
        <w:rPr>
          <w:lang w:eastAsia="es-MX"/>
        </w:rPr>
        <w:t xml:space="preserve"> en vigencia de la ley 27.609, </w:t>
      </w:r>
      <w:r w:rsidRPr="00345944">
        <w:rPr>
          <w:lang w:eastAsia="es-MX"/>
        </w:rPr>
        <w:t xml:space="preserve">  parecería colocar a los jubilados en una situación similar a lo que sucedió en el período 2002 a 2006 que obligó a que la CSJN dictara el fallo  </w:t>
      </w:r>
      <w:proofErr w:type="spellStart"/>
      <w:r w:rsidRPr="00345944">
        <w:rPr>
          <w:lang w:eastAsia="es-MX"/>
        </w:rPr>
        <w:t>Badaro</w:t>
      </w:r>
      <w:proofErr w:type="spellEnd"/>
      <w:r w:rsidRPr="00345944">
        <w:rPr>
          <w:lang w:eastAsia="es-MX"/>
        </w:rPr>
        <w:t xml:space="preserve"> (</w:t>
      </w:r>
      <w:hyperlink r:id="rId9">
        <w:r w:rsidRPr="00345944">
          <w:rPr>
            <w:color w:val="0563C1"/>
            <w:u w:val="single"/>
            <w:lang w:eastAsia="es-MX"/>
          </w:rPr>
          <w:t>330:4866</w:t>
        </w:r>
      </w:hyperlink>
      <w:r w:rsidRPr="00345944">
        <w:rPr>
          <w:lang w:eastAsia="es-MX"/>
        </w:rPr>
        <w:t xml:space="preserve">) y eligiera un índice salarial </w:t>
      </w:r>
      <w:r w:rsidR="001D02DD">
        <w:rPr>
          <w:lang w:eastAsia="es-MX"/>
        </w:rPr>
        <w:t xml:space="preserve">para </w:t>
      </w:r>
      <w:r w:rsidRPr="00345944">
        <w:rPr>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345944">
        <w:rPr>
          <w:rFonts w:eastAsia="Calibri"/>
        </w:rPr>
        <w:t>, por lo que los índices salariales, salvo el UMA, no refleja una variación real de los salarios y están muy alejados de la inflación</w:t>
      </w:r>
      <w:r w:rsidR="001D02DD">
        <w:rPr>
          <w:rFonts w:eastAsia="Calibri"/>
        </w:rPr>
        <w:t xml:space="preserve"> en mayores periodos inflacionarios.</w:t>
      </w:r>
    </w:p>
    <w:p w14:paraId="569D1F01" w14:textId="27AD4090" w:rsidR="00B82510" w:rsidRPr="00345944" w:rsidRDefault="00B82510" w:rsidP="005C0B8B">
      <w:pPr>
        <w:ind w:firstLine="1560"/>
        <w:jc w:val="both"/>
        <w:rPr>
          <w:lang w:eastAsia="es-MX"/>
        </w:rPr>
      </w:pPr>
    </w:p>
    <w:p w14:paraId="64BB3BC8" w14:textId="422BBA42" w:rsidR="00B82510" w:rsidRPr="00345944" w:rsidRDefault="00B82510" w:rsidP="005C0B8B">
      <w:pPr>
        <w:ind w:firstLine="1560"/>
        <w:jc w:val="both"/>
        <w:rPr>
          <w:bCs/>
          <w:lang w:eastAsia="es-MX"/>
        </w:rPr>
      </w:pPr>
      <w:r w:rsidRPr="00345944">
        <w:rPr>
          <w:rFonts w:eastAsia="Calibri"/>
        </w:rPr>
        <w:t xml:space="preserve">Solicito analice el pedido de inconstitucionalidad teniendo en cuenta el desarrollo que hace la CSJN sobre el  </w:t>
      </w:r>
      <w:hyperlink r:id="rId10" w:history="1">
        <w:r w:rsidRPr="00345944">
          <w:rPr>
            <w:rFonts w:eastAsia="Calibri"/>
            <w:color w:val="0563C1"/>
            <w:u w:val="single"/>
          </w:rPr>
          <w:t>principio de progresividad</w:t>
        </w:r>
      </w:hyperlink>
      <w:r w:rsidRPr="00345944">
        <w:rPr>
          <w:rFonts w:eastAsia="Calibri"/>
        </w:rPr>
        <w:t xml:space="preserve"> en materia previsional  y e</w:t>
      </w:r>
      <w:r w:rsidRPr="00345944">
        <w:rPr>
          <w:rFonts w:eastAsia="Calibri"/>
          <w:color w:val="333333"/>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345944">
        <w:rPr>
          <w:rFonts w:eastAsia="Calibri"/>
          <w:i/>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345944">
        <w:rPr>
          <w:rFonts w:eastAsia="Calibri"/>
        </w:rPr>
        <w:t xml:space="preserve"> (</w:t>
      </w:r>
      <w:hyperlink r:id="rId11" w:history="1">
        <w:r w:rsidRPr="00345944">
          <w:rPr>
            <w:rFonts w:eastAsia="Calibri"/>
            <w:color w:val="0563C1"/>
            <w:u w:val="single"/>
          </w:rPr>
          <w:t>Fallos: 307: 2376</w:t>
        </w:r>
      </w:hyperlink>
      <w:r w:rsidRPr="00345944">
        <w:rPr>
          <w:rFonts w:eastAsia="Calibri"/>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Pr>
          <w:rFonts w:eastAsia="Calibri"/>
        </w:rPr>
        <w:t xml:space="preserve"> </w:t>
      </w:r>
      <w:r w:rsidRPr="00345944">
        <w:rPr>
          <w:rFonts w:eastAsia="Calibri"/>
        </w:rPr>
        <w:t>en</w:t>
      </w:r>
      <w:r w:rsidR="001D02DD">
        <w:rPr>
          <w:rFonts w:eastAsia="Calibri"/>
        </w:rPr>
        <w:t xml:space="preserve"> </w:t>
      </w:r>
      <w:r w:rsidRPr="00345944">
        <w:rPr>
          <w:rFonts w:eastAsia="Calibri"/>
        </w:rPr>
        <w:t xml:space="preserve">los </w:t>
      </w:r>
      <w:r w:rsidRPr="00345944">
        <w:rPr>
          <w:rFonts w:eastAsia="Calibri"/>
          <w:lang w:eastAsia="es-AR"/>
        </w:rPr>
        <w:t>Fallos</w:t>
      </w:r>
      <w:r w:rsidR="001D02DD">
        <w:rPr>
          <w:rFonts w:eastAsia="Calibri"/>
          <w:lang w:eastAsia="es-AR"/>
        </w:rPr>
        <w:t xml:space="preserve"> </w:t>
      </w:r>
      <w:hyperlink r:id="rId12" w:history="1">
        <w:r w:rsidRPr="00345944">
          <w:rPr>
            <w:rFonts w:eastAsia="Calibri"/>
            <w:color w:val="0563C1"/>
            <w:u w:val="single"/>
            <w:lang w:eastAsia="es-AR"/>
          </w:rPr>
          <w:t>“Itzcovich”(</w:t>
        </w:r>
      </w:hyperlink>
      <w:r w:rsidRPr="00345944">
        <w:rPr>
          <w:rFonts w:eastAsia="Calibri"/>
          <w:lang w:eastAsia="es-AR"/>
        </w:rPr>
        <w:t>328:566),</w:t>
      </w:r>
      <w:hyperlink r:id="rId13" w:history="1">
        <w:r w:rsidRPr="00345944">
          <w:rPr>
            <w:rFonts w:eastAsia="Calibri"/>
            <w:color w:val="0563C1"/>
            <w:u w:val="single"/>
            <w:lang w:eastAsia="es-AR"/>
          </w:rPr>
          <w:t>“Sánchez”</w:t>
        </w:r>
      </w:hyperlink>
      <w:r w:rsidRPr="00345944">
        <w:rPr>
          <w:rFonts w:eastAsia="Calibri"/>
          <w:lang w:eastAsia="es-AR"/>
        </w:rPr>
        <w:t>(328:1602),</w:t>
      </w:r>
      <w:hyperlink r:id="rId14" w:history="1">
        <w:r w:rsidRPr="00345944">
          <w:rPr>
            <w:rFonts w:eastAsia="Calibri"/>
            <w:color w:val="0563C1"/>
            <w:u w:val="single"/>
            <w:lang w:eastAsia="es-AR"/>
          </w:rPr>
          <w:t>“Badaro”(</w:t>
        </w:r>
      </w:hyperlink>
      <w:r w:rsidRPr="00345944">
        <w:rPr>
          <w:rFonts w:eastAsia="Calibri"/>
          <w:lang w:eastAsia="es-AR"/>
        </w:rPr>
        <w:t>330:4866),</w:t>
      </w:r>
      <w:bookmarkStart w:id="2" w:name="_Hlk157989214"/>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"https://sjconsulta.csjn.gov.ar/sjconsulta/documentos/verDocumentoByIdLinksJSP.html?idDocumento=7496611"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“Blanco”(</w:t>
      </w:r>
      <w:r w:rsidRPr="00345944">
        <w:rPr>
          <w:rFonts w:eastAsia="Calibri"/>
          <w:color w:val="0563C1"/>
          <w:u w:val="single"/>
          <w:lang w:eastAsia="es-AR"/>
        </w:rPr>
        <w:fldChar w:fldCharType="end"/>
      </w:r>
      <w:r w:rsidRPr="00345944">
        <w:rPr>
          <w:rFonts w:eastAsia="Calibri"/>
          <w:lang w:eastAsia="es-AR"/>
        </w:rPr>
        <w:t>341:1924)</w:t>
      </w:r>
      <w:bookmarkEnd w:id="2"/>
      <w:r w:rsidRPr="00345944">
        <w:rPr>
          <w:rFonts w:ascii="Calibri" w:eastAsia="Calibri" w:hAnsi="Calibri"/>
          <w:sz w:val="22"/>
          <w:szCs w:val="22"/>
          <w:lang w:eastAsia="en-US"/>
        </w:rPr>
        <w:fldChar w:fldCharType="begin"/>
      </w:r>
      <w:r w:rsidRPr="00345944">
        <w:rPr>
          <w:rFonts w:ascii="Calibri" w:eastAsia="Calibri" w:hAnsi="Calibri"/>
        </w:rPr>
        <w:instrText>HYPERLINK "https://sjconsulta.csjn.gov.ar/sjconsulta/documentos/verDocumentoByIdLinksJSP.html?idDocumento=7678911"</w:instrText>
      </w:r>
      <w:r w:rsidRPr="00345944">
        <w:rPr>
          <w:rFonts w:ascii="Calibri" w:eastAsia="Calibri" w:hAnsi="Calibri"/>
          <w:sz w:val="22"/>
          <w:szCs w:val="22"/>
          <w:lang w:eastAsia="en-US"/>
        </w:rPr>
      </w:r>
      <w:r w:rsidRPr="00345944">
        <w:rPr>
          <w:rFonts w:ascii="Calibri" w:eastAsia="Calibri" w:hAnsi="Calibri"/>
          <w:sz w:val="22"/>
          <w:szCs w:val="22"/>
          <w:lang w:eastAsia="en-US"/>
        </w:rPr>
        <w:fldChar w:fldCharType="separate"/>
      </w:r>
      <w:r w:rsidRPr="00345944">
        <w:rPr>
          <w:rFonts w:eastAsia="Calibri"/>
          <w:color w:val="0563C1"/>
          <w:u w:val="single"/>
          <w:lang w:eastAsia="es-AR"/>
        </w:rPr>
        <w:t>“Giménez”(</w:t>
      </w:r>
      <w:r w:rsidRPr="00345944">
        <w:rPr>
          <w:rFonts w:eastAsia="Calibri"/>
          <w:color w:val="0563C1"/>
          <w:u w:val="single"/>
          <w:lang w:eastAsia="es-AR"/>
        </w:rPr>
        <w:fldChar w:fldCharType="end"/>
      </w:r>
      <w:r w:rsidRPr="00345944">
        <w:rPr>
          <w:rFonts w:eastAsia="Calibri"/>
          <w:lang w:eastAsia="es-AR"/>
        </w:rPr>
        <w:t>344:1788), “</w:t>
      </w:r>
      <w:hyperlink r:id="rId15" w:history="1">
        <w:r w:rsidRPr="00345944">
          <w:rPr>
            <w:rFonts w:eastAsia="Calibri"/>
            <w:color w:val="0563C1"/>
            <w:u w:val="single"/>
            <w:lang w:eastAsia="es-AR"/>
          </w:rPr>
          <w:t>Garay Corina</w:t>
        </w:r>
      </w:hyperlink>
      <w:r w:rsidRPr="00345944">
        <w:rPr>
          <w:rFonts w:eastAsia="Calibri"/>
          <w:lang w:eastAsia="es-AR"/>
        </w:rPr>
        <w:t>” (344:3567) entre otros.</w:t>
      </w:r>
    </w:p>
    <w:p w14:paraId="5A89444A" w14:textId="479FB7BA" w:rsidR="00227D23" w:rsidRPr="00227D23" w:rsidRDefault="00B82510" w:rsidP="005C0B8B">
      <w:pPr>
        <w:ind w:firstLine="1560"/>
        <w:jc w:val="both"/>
        <w:rPr>
          <w:rFonts w:eastAsia="Calibri"/>
          <w:color w:val="000000"/>
          <w:lang w:val="es-MX" w:eastAsia="es-AR"/>
        </w:rPr>
      </w:pPr>
      <w:r w:rsidRPr="00345944">
        <w:rPr>
          <w:rFonts w:eastAsia="Calibri"/>
          <w:color w:val="000000"/>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345944">
          <w:rPr>
            <w:rFonts w:eastAsia="Calibri"/>
            <w:color w:val="0563C1"/>
            <w:u w:val="single"/>
            <w:lang w:val="es-MX" w:eastAsia="es-AR"/>
          </w:rPr>
          <w:t>(Fallos 331:250</w:t>
        </w:r>
      </w:hyperlink>
      <w:r w:rsidRPr="00345944">
        <w:rPr>
          <w:rFonts w:eastAsia="Calibri"/>
          <w:color w:val="000000"/>
          <w:lang w:val="es-MX" w:eastAsia="es-AR"/>
        </w:rPr>
        <w:t xml:space="preserve">). </w:t>
      </w:r>
    </w:p>
    <w:p w14:paraId="05E861BC" w14:textId="77777777" w:rsidR="00227D23" w:rsidRPr="00227D23" w:rsidRDefault="00227D23" w:rsidP="005C0B8B">
      <w:pPr>
        <w:ind w:firstLine="1560"/>
        <w:jc w:val="both"/>
        <w:rPr>
          <w:rFonts w:eastAsia="Calibri"/>
          <w:lang w:val="es-AR"/>
        </w:rPr>
      </w:pPr>
      <w:r w:rsidRPr="00227D23">
        <w:rPr>
          <w:rFonts w:eastAsia="Calibri"/>
          <w:lang w:val="es-AR"/>
        </w:rPr>
        <w:t xml:space="preserve">Cada reforma previsional en nuestro país se ha desarrollado en un marco de sucesivas emergencias casi inacabables, lo que lleva a cuestionarnos, como bien señala </w:t>
      </w:r>
      <w:proofErr w:type="spellStart"/>
      <w:r w:rsidRPr="00227D23">
        <w:rPr>
          <w:rFonts w:eastAsia="Calibri"/>
          <w:lang w:val="es-AR"/>
        </w:rPr>
        <w:t>Cassagne</w:t>
      </w:r>
      <w:proofErr w:type="spellEnd"/>
      <w:r w:rsidRPr="00227D23">
        <w:rPr>
          <w:rFonts w:eastAsia="Calibri"/>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227D23" w:rsidRDefault="00227D23" w:rsidP="005C0B8B">
      <w:pPr>
        <w:ind w:firstLine="1560"/>
        <w:jc w:val="both"/>
        <w:rPr>
          <w:rFonts w:eastAsia="Calibri"/>
          <w:lang w:val="es-AR"/>
        </w:rPr>
      </w:pPr>
      <w:r w:rsidRPr="00227D23">
        <w:rPr>
          <w:rFonts w:eastAsia="Calibri"/>
          <w:lang w:val="es-AR"/>
        </w:rPr>
        <w:t>La normalización de la emergencia y sus graves consecuencias en el cercenamiento de derechos constitucionales son tan evidentes que el entonces presidente de la Corte Suprema de Justicia de la Nación advirtió hace más de diez años:</w:t>
      </w:r>
      <w:r>
        <w:rPr>
          <w:rFonts w:eastAsia="Calibri"/>
          <w:lang w:val="es-AR"/>
        </w:rPr>
        <w:t xml:space="preserve"> </w:t>
      </w:r>
      <w:r w:rsidRPr="00227D23">
        <w:rPr>
          <w:rFonts w:eastAsia="Calibri"/>
          <w:i/>
          <w:iCs/>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227D23" w:rsidRDefault="00227D23" w:rsidP="005C0B8B">
      <w:pPr>
        <w:ind w:firstLine="1560"/>
        <w:jc w:val="both"/>
        <w:rPr>
          <w:rFonts w:eastAsia="Calibri"/>
          <w:lang w:val="es-AR"/>
        </w:rPr>
      </w:pPr>
      <w:r w:rsidRPr="00227D23">
        <w:rPr>
          <w:rFonts w:eastAsia="Calibri"/>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227D23">
        <w:rPr>
          <w:rFonts w:eastAsia="Calibri"/>
          <w:b/>
          <w:bCs/>
          <w:lang w:val="es-AR"/>
        </w:rPr>
        <w:t>progresividad y no regresividad</w:t>
      </w:r>
      <w:r w:rsidRPr="00227D23">
        <w:rPr>
          <w:rFonts w:eastAsia="Calibri"/>
          <w:lang w:val="es-AR"/>
        </w:rPr>
        <w:t>, que exigen un escrutinio agravado de la razonabilidad de las normas adoptadas tanto por el legislador como por el Poder Ejecutivo Nacional en contextos de emergencia.</w:t>
      </w:r>
    </w:p>
    <w:p w14:paraId="1C0579ED" w14:textId="77777777" w:rsidR="00227D23" w:rsidRPr="00227D23" w:rsidRDefault="00227D23" w:rsidP="005C0B8B">
      <w:pPr>
        <w:ind w:firstLine="1560"/>
        <w:jc w:val="both"/>
        <w:rPr>
          <w:rFonts w:eastAsia="Calibri"/>
          <w:lang w:val="es-AR"/>
        </w:rPr>
      </w:pPr>
      <w:r w:rsidRPr="00227D23">
        <w:rPr>
          <w:rFonts w:eastAsia="Calibri"/>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192345FA" w14:textId="732DBFF4" w:rsidR="00227D23" w:rsidRPr="00227D23" w:rsidRDefault="00227D23" w:rsidP="005C0B8B">
      <w:pPr>
        <w:ind w:firstLine="1560"/>
        <w:jc w:val="both"/>
        <w:rPr>
          <w:rFonts w:eastAsia="Calibri"/>
          <w:lang w:val="es-AR"/>
        </w:rPr>
      </w:pPr>
      <w:r w:rsidRPr="00227D23">
        <w:rPr>
          <w:rFonts w:eastAsia="Calibri"/>
          <w:lang w:val="es-AR"/>
        </w:rPr>
        <w:t>La Corte Suprema de Justicia de la Nación, al referirse a la emergencia y los grupos vulnerables, sostuvo:</w:t>
      </w:r>
      <w:r>
        <w:rPr>
          <w:rFonts w:eastAsia="Calibri"/>
          <w:lang w:val="es-AR"/>
        </w:rPr>
        <w:t xml:space="preserve"> </w:t>
      </w:r>
      <w:r w:rsidRPr="00227D23">
        <w:rPr>
          <w:rFonts w:eastAsia="Calibri"/>
          <w:i/>
          <w:iCs/>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227D23">
        <w:rPr>
          <w:rFonts w:eastAsia="Calibri"/>
          <w:lang w:val="es-AR"/>
        </w:rPr>
        <w:t xml:space="preserve"> (Fallos 341:1924).</w:t>
      </w:r>
    </w:p>
    <w:p w14:paraId="7940493B" w14:textId="77777777" w:rsidR="00227D23" w:rsidRPr="00227D23" w:rsidRDefault="00227D23" w:rsidP="005C0B8B">
      <w:pPr>
        <w:ind w:firstLine="1560"/>
        <w:jc w:val="both"/>
        <w:rPr>
          <w:rFonts w:eastAsia="Calibri"/>
          <w:lang w:val="es-AR"/>
        </w:rPr>
      </w:pPr>
      <w:r w:rsidRPr="00227D23">
        <w:rPr>
          <w:rFonts w:eastAsia="Calibri"/>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227D23">
        <w:rPr>
          <w:rFonts w:eastAsia="Calibri"/>
          <w:lang w:val="es-AR"/>
        </w:rPr>
        <w:t>sustitutividad</w:t>
      </w:r>
      <w:proofErr w:type="spellEnd"/>
      <w:r w:rsidRPr="00227D23">
        <w:rPr>
          <w:rFonts w:eastAsia="Calibri"/>
          <w:lang w:val="es-AR"/>
        </w:rPr>
        <w:t xml:space="preserve"> establecidos por este Tribunal en precedentes como Fallos 279:389, 280:424, 292:447, 293:235, 300:84, 571, 305:866, 328:1602.</w:t>
      </w:r>
    </w:p>
    <w:p w14:paraId="0F1AC2D0" w14:textId="0AD06463" w:rsidR="007A7319" w:rsidRDefault="00227D23" w:rsidP="005C0B8B">
      <w:pPr>
        <w:ind w:firstLine="1560"/>
        <w:jc w:val="both"/>
        <w:rPr>
          <w:rFonts w:eastAsia="Calibri"/>
          <w:color w:val="000000"/>
          <w:lang w:eastAsia="es-AR"/>
        </w:rPr>
      </w:pPr>
      <w:r w:rsidRPr="00227D23">
        <w:rPr>
          <w:rFonts w:eastAsia="Calibri"/>
          <w:lang w:val="es-AR"/>
        </w:rPr>
        <w:t xml:space="preserve">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Pr>
          <w:rFonts w:eastAsia="Calibri"/>
          <w:lang w:val="es-AR"/>
        </w:rPr>
        <w:t xml:space="preserve"> </w:t>
      </w:r>
      <w:r w:rsidR="007A7319">
        <w:rPr>
          <w:rFonts w:eastAsia="Calibri"/>
          <w:color w:val="000000"/>
          <w:lang w:eastAsia="es-AR"/>
        </w:rPr>
        <w:t xml:space="preserve"> </w:t>
      </w:r>
    </w:p>
    <w:p w14:paraId="7BAB0375" w14:textId="77777777" w:rsidR="00227D23" w:rsidRPr="00227D23" w:rsidRDefault="00227D23" w:rsidP="005C0B8B">
      <w:pPr>
        <w:ind w:firstLine="1560"/>
        <w:jc w:val="both"/>
        <w:rPr>
          <w:rFonts w:eastAsia="Calibri"/>
          <w:lang w:val="es-AR"/>
        </w:rPr>
      </w:pPr>
    </w:p>
    <w:p w14:paraId="640170C9" w14:textId="50B23C69" w:rsidR="00227D23" w:rsidRDefault="00227D23" w:rsidP="005C0B8B">
      <w:pPr>
        <w:pStyle w:val="NormalWeb"/>
        <w:numPr>
          <w:ilvl w:val="0"/>
          <w:numId w:val="16"/>
        </w:numPr>
      </w:pPr>
      <w:r>
        <w:rPr>
          <w:rStyle w:val="Textoennegrita"/>
        </w:rPr>
        <w:t>INCONSTITUCIONALIDAD DE LA LEY 27.426</w:t>
      </w:r>
    </w:p>
    <w:p w14:paraId="2650B8D2" w14:textId="77777777" w:rsidR="00227D23" w:rsidRDefault="00227D23" w:rsidP="005C0B8B">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5C0B8B">
      <w:pPr>
        <w:pStyle w:val="NormalWeb"/>
        <w:ind w:firstLine="567"/>
        <w:jc w:val="both"/>
      </w:pPr>
      <w:r>
        <w:t>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normativa anterior, lo cual afecta derechos constitucionales y torna inconstitucional el artículo 2 de la Ley 27.426.</w:t>
      </w:r>
    </w:p>
    <w:p w14:paraId="008DA853" w14:textId="77777777" w:rsidR="00227D23" w:rsidRDefault="00227D23" w:rsidP="005C0B8B">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5C0B8B">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5C0B8B">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5C0B8B">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5C0B8B">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5C0B8B">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5C0B8B">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 xml:space="preserve">.</w:t>
      </w:r>
      <w:r w:rsidR="00F7290A">
        <w:rPr>
          <w:bCs/>
        </w:rPr>
        <w:t xml:space="preserve">   </w:t>
      </w:r>
      <w:r>
        <w:t xml:space="preserve"/>
      </w:r>
    </w:p>
    <w:p w14:paraId="6CC32F90" w14:textId="77777777" w:rsidR="00F7290A" w:rsidRPr="00DA146B" w:rsidRDefault="00F7290A" w:rsidP="005C0B8B">
      <w:pPr>
        <w:autoSpaceDE w:val="0"/>
        <w:autoSpaceDN w:val="0"/>
        <w:adjustRightInd w:val="0"/>
        <w:ind w:firstLine="708"/>
        <w:jc w:val="both"/>
        <w:rPr>
          <w:bCs/>
        </w:rPr>
      </w:pPr>
    </w:p>
    <w:p w14:paraId="17049B4E" w14:textId="77777777" w:rsidR="00F7290A" w:rsidRDefault="00F7290A" w:rsidP="005C0B8B">
      <w:pPr>
        <w:autoSpaceDE w:val="0"/>
        <w:autoSpaceDN w:val="0"/>
        <w:adjustRightInd w:val="0"/>
        <w:ind w:left="1146"/>
        <w:jc w:val="both"/>
        <w:rPr>
          <w:b/>
          <w:bCs/>
        </w:rPr>
      </w:pPr>
    </w:p>
    <w:p w14:paraId="589362EC" w14:textId="793356CD" w:rsidR="00E90E3C" w:rsidRPr="00E90E3C" w:rsidRDefault="00E90E3C" w:rsidP="005C0B8B">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77777777" w:rsidR="00E90E3C" w:rsidRPr="00B8106E" w:rsidRDefault="00E90E3C" w:rsidP="005C0B8B">
      <w:pPr>
        <w:ind w:firstLine="1560"/>
        <w:jc w:val="both"/>
        <w:rPr>
          <w:lang w:val="es-AR"/>
        </w:rPr>
      </w:pPr>
      <w:r w:rsidRPr="00B8106E">
        <w:rPr>
          <w:lang w:val="es-AR"/>
        </w:rPr>
        <w:t>Si bien esta liquidación se presenta con posterioridad al dictado de la sentencia, la suspensión de la fórmula de movilidad, así como la implementación de la nueva fórmula, inciden directamente en el haber jubilatorio de mi mandante.</w:t>
      </w:r>
    </w:p>
    <w:p w14:paraId="1C057009" w14:textId="77777777" w:rsidR="00E90E3C" w:rsidRPr="00B8106E" w:rsidRDefault="00E90E3C" w:rsidP="005C0B8B">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77777777" w:rsidR="00E90E3C" w:rsidRPr="00B8106E" w:rsidRDefault="00E90E3C" w:rsidP="005C0B8B">
      <w:pPr>
        <w:ind w:firstLine="1560"/>
        <w:jc w:val="both"/>
        <w:rPr>
          <w:lang w:val="es-AR"/>
        </w:rPr>
      </w:pPr>
      <w:r w:rsidRPr="00B8106E">
        <w:rPr>
          <w:lang w:val="es-AR"/>
        </w:rPr>
        <w:t>Los planteos fueron realizados con posterioridad al dictado de la sentencia porque las modificaciones en las pautas de movilidad, que afectan el haber de mi mandante, también ocurrieron con posterioridad a la resolución judicial. En esta primera oportunidad procesal, se solicita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 2020.</w:t>
      </w:r>
    </w:p>
    <w:p w14:paraId="1A7F0BDC" w14:textId="77777777" w:rsidR="00E90E3C" w:rsidRPr="00B8106E" w:rsidRDefault="00E90E3C" w:rsidP="005C0B8B">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5C0B8B">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5C0B8B">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5C0B8B">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5C0B8B">
      <w:pPr>
        <w:ind w:firstLine="1560"/>
        <w:jc w:val="both"/>
        <w:rPr>
          <w:lang w:val="es-AR"/>
        </w:rPr>
      </w:pPr>
      <w:r w:rsidRPr="00B8106E">
        <w:rPr>
          <w:lang w:val="es-AR"/>
        </w:rPr>
        <w:t xml:space="preserve">En los autos </w:t>
      </w:r>
      <w:r w:rsidRPr="00B8106E">
        <w:rPr>
          <w:i/>
          <w:iCs/>
          <w:lang w:val="es-AR"/>
        </w:rPr>
        <w:t>“Abraham”</w:t>
      </w:r>
      <w:r w:rsidRPr="00B8106E">
        <w:rPr>
          <w:lang w:val="es-AR"/>
        </w:rPr>
        <w:t>,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según el derecho vigente al momento de sentenciar, promoviendo celeridad y economía procesal.</w:t>
      </w:r>
    </w:p>
    <w:p w14:paraId="79927B70" w14:textId="77777777" w:rsidR="00E90E3C" w:rsidRPr="00B8106E" w:rsidRDefault="00E90E3C" w:rsidP="005C0B8B">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5C0B8B">
      <w:pPr>
        <w:ind w:firstLine="1560"/>
        <w:jc w:val="both"/>
        <w:rPr>
          <w:lang w:val="es-AR"/>
        </w:rPr>
      </w:pPr>
      <w:r w:rsidRPr="00B8106E">
        <w:rPr>
          <w:lang w:val="es-AR"/>
        </w:rPr>
        <w:t xml:space="preserve">Del mismo modo, en </w:t>
      </w:r>
      <w:r w:rsidRPr="00B8106E">
        <w:rPr>
          <w:i/>
          <w:iCs/>
          <w:lang w:val="es-AR"/>
        </w:rPr>
        <w:t xml:space="preserve">“Flores Humberto c/ANSES y </w:t>
      </w:r>
      <w:proofErr w:type="spellStart"/>
      <w:r w:rsidRPr="00B8106E">
        <w:rPr>
          <w:i/>
          <w:iCs/>
          <w:lang w:val="es-AR"/>
        </w:rPr>
        <w:t>otro s</w:t>
      </w:r>
      <w:proofErr w:type="spellEnd"/>
      <w:r w:rsidRPr="00B8106E">
        <w:rPr>
          <w:i/>
          <w:iCs/>
          <w:lang w:val="es-AR"/>
        </w:rPr>
        <w:t>/ Reajustes Varios”</w:t>
      </w:r>
      <w:r w:rsidRPr="00B8106E">
        <w:rPr>
          <w:lang w:val="es-AR"/>
        </w:rPr>
        <w:t xml:space="preserve"> (</w:t>
      </w:r>
      <w:proofErr w:type="spellStart"/>
      <w:r w:rsidRPr="00B8106E">
        <w:rPr>
          <w:lang w:val="es-AR"/>
        </w:rPr>
        <w:t>Expte</w:t>
      </w:r>
      <w:proofErr w:type="spellEnd"/>
      <w:r w:rsidRPr="00B8106E">
        <w:rPr>
          <w:lang w:val="es-AR"/>
        </w:rPr>
        <w:t>.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5C0B8B">
      <w:pPr>
        <w:ind w:firstLine="1560"/>
        <w:jc w:val="both"/>
        <w:rPr>
          <w:lang w:val="es-AR"/>
        </w:rPr>
      </w:pPr>
      <w:r w:rsidRPr="00B8106E">
        <w:rPr>
          <w:lang w:val="es-AR"/>
        </w:rPr>
        <w:t xml:space="preserve">En el precedente </w:t>
      </w:r>
      <w:r w:rsidRPr="00B8106E">
        <w:rPr>
          <w:i/>
          <w:iCs/>
          <w:lang w:val="es-AR"/>
        </w:rPr>
        <w:t>“</w:t>
      </w:r>
      <w:proofErr w:type="spellStart"/>
      <w:r w:rsidRPr="00B8106E">
        <w:rPr>
          <w:i/>
          <w:iCs/>
          <w:lang w:val="es-AR"/>
        </w:rPr>
        <w:t>Cingolani</w:t>
      </w:r>
      <w:proofErr w:type="spellEnd"/>
      <w:r w:rsidRPr="00B8106E">
        <w:rPr>
          <w:i/>
          <w:iCs/>
          <w:lang w:val="es-AR"/>
        </w:rPr>
        <w:t>,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5C0B8B">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w:t>
      </w:r>
      <w:proofErr w:type="spellStart"/>
      <w:r w:rsidRPr="00B8106E">
        <w:rPr>
          <w:lang w:val="es-AR"/>
        </w:rPr>
        <w:t>Expte</w:t>
      </w:r>
      <w:proofErr w:type="spellEnd"/>
      <w:r w:rsidRPr="00B8106E">
        <w:rPr>
          <w:lang w:val="es-AR"/>
        </w:rPr>
        <w:t>.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5C0B8B">
      <w:pPr>
        <w:ind w:firstLine="1560"/>
        <w:jc w:val="both"/>
        <w:rPr>
          <w:b/>
          <w:bCs/>
          <w:lang w:val="es-AR"/>
        </w:rPr>
      </w:pPr>
      <w:r w:rsidRPr="00B8106E">
        <w:rPr>
          <w:lang w:val="es-AR"/>
        </w:rPr>
        <w:t xml:space="preserve">Por todo lo expuesto, solicito a V.S. que tenga en cuenta estos planteos en la etapa de ejecución para garantizar la protección efectiva de los derechos constitucionales de mi mandante y evitar un nuevo dispendio </w:t>
      </w:r>
      <w:proofErr w:type="gramStart"/>
      <w:r w:rsidRPr="00B8106E">
        <w:rPr>
          <w:lang w:val="es-AR"/>
        </w:rPr>
        <w:t>jurisdiccional</w:t>
      </w:r>
      <w:r w:rsidRPr="00B8106E">
        <w:rPr>
          <w:b/>
          <w:bCs/>
          <w:lang w:val="es-AR"/>
        </w:rPr>
        <w:t>.</w:t>
      </w:r>
      <w:r w:rsidR="00F7290A" w:rsidRPr="00B8106E">
        <w:rPr>
          <w:bCs/>
        </w:rPr>
        <w:t xml:space="preserve"/>
      </w:r>
      <w:r w:rsidR="007C0858">
        <w:rPr>
          <w:bCs/>
        </w:rPr>
        <w:t xml:space="preserve"> </w:t>
      </w:r>
      <w:r w:rsidR="007C0858">
        <w:t xml:space="preserve"/>
      </w:r>
    </w:p>
    <w:p w14:paraId="6F6141B4" w14:textId="77777777" w:rsidR="00672366" w:rsidRDefault="00672366" w:rsidP="005C0B8B">
      <w:pPr>
        <w:autoSpaceDE w:val="0"/>
        <w:autoSpaceDN w:val="0"/>
        <w:adjustRightInd w:val="0"/>
        <w:ind w:firstLine="1134"/>
        <w:jc w:val="both"/>
        <w:rPr>
          <w:b/>
          <w:color w:val="000000"/>
        </w:rPr>
      </w:pPr>
    </w:p>
    <w:bookmarkEnd w:id="1"/>
    <w:p w14:paraId="0957BB96" w14:textId="150A6682" w:rsidR="000D076D" w:rsidRPr="00000F33" w:rsidRDefault="00EE0398" w:rsidP="005C0B8B">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5C0B8B">
      <w:pPr>
        <w:autoSpaceDE w:val="0"/>
        <w:autoSpaceDN w:val="0"/>
        <w:adjustRightInd w:val="0"/>
        <w:ind w:firstLine="1134"/>
        <w:jc w:val="both"/>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 xml:space="preserve">.</w:t>
      </w:r>
      <w:r w:rsidR="007C0858">
        <w:t xml:space="preserve"> </w:t>
      </w:r>
      <w:r w:rsidR="007C0858" w:rsidRPr="000E0CD9">
        <w:rPr>
          <w:bCs/>
        </w:rPr>
        <w:t xml:space="preserve"/>
      </w:r>
      <w:r w:rsidR="00730049">
        <w:rPr>
          <w:bCs/>
        </w:rPr>
        <w:t xml:space="preserve"> </w:t>
      </w:r>
    </w:p>
    <w:p w14:paraId="6D9729EC" w14:textId="3778C030" w:rsidR="002462E3" w:rsidRDefault="002462E3" w:rsidP="005C0B8B">
      <w:pPr>
        <w:pStyle w:val="Prrafodelista"/>
        <w:numPr>
          <w:ilvl w:val="0"/>
          <w:numId w:val="16"/>
        </w:numPr>
        <w:autoSpaceDE w:val="0"/>
        <w:autoSpaceDN w:val="0"/>
        <w:adjustRightInd w:val="0"/>
        <w:jc w:val="both"/>
        <w:rPr>
          <w:b/>
          <w:bCs/>
        </w:rPr>
      </w:pPr>
      <w:r w:rsidRPr="002462E3">
        <w:rPr>
          <w:b/>
          <w:bCs/>
        </w:rPr>
        <w:t>TOPE DE HABER MAXIMO</w:t>
      </w:r>
    </w:p>
    <w:p w14:paraId="5DF4FB72" w14:textId="1410E4B2" w:rsidR="002462E3" w:rsidRDefault="002462E3" w:rsidP="005C0B8B">
      <w:pPr>
        <w:autoSpaceDE w:val="0"/>
        <w:autoSpaceDN w:val="0"/>
        <w:adjustRightInd w:val="0"/>
        <w:ind w:left="1134"/>
        <w:jc w:val="both"/>
        <w:rPr>
          <w:b/>
          <w:bCs/>
        </w:rPr>
      </w:pPr>
      <w:r>
        <w:rPr>
          <w:b/>
          <w:bCs/>
        </w:rPr>
        <w:t>Párrafo de tope de haber máximo aquí</w:t>
      </w:r>
    </w:p>
    <w:p w14:paraId="32FA7491" w14:textId="5E536E0F" w:rsidR="002462E3" w:rsidRDefault="002462E3" w:rsidP="005C0B8B">
      <w:pPr>
        <w:autoSpaceDE w:val="0"/>
        <w:autoSpaceDN w:val="0"/>
        <w:adjustRightInd w:val="0"/>
        <w:ind w:left="1134"/>
        <w:jc w:val="both"/>
        <w:rPr>
          <w:b/>
          <w:bCs/>
        </w:rPr>
      </w:pPr>
      <w:r>
        <w:rPr>
          <w:b/>
          <w:bCs/>
        </w:rPr>
        <w:t xml:space="preserve">--------------------------------------------------</w:t>
      </w:r>
    </w:p>
    <w:p w14:paraId="548CAC74" w14:textId="6CD7B83F" w:rsidR="009A6B53" w:rsidRPr="00055921" w:rsidRDefault="009A6B53" w:rsidP="005C0B8B">
      <w:pPr>
        <w:autoSpaceDE w:val="0"/>
        <w:autoSpaceDN w:val="0"/>
        <w:adjustRightInd w:val="0"/>
        <w:ind w:left="1134"/>
        <w:jc w:val="both"/>
      </w:pPr>
      <w:r w:rsidRPr="00055921">
        <w:t xml:space="preserve"/>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788D136D" w14:textId="2F62F4FB" w:rsidR="005C0B8B" w:rsidRDefault="00512472" w:rsidP="005C0B8B">
      <w:pPr>
        <w:autoSpaceDE w:val="0"/>
        <w:autoSpaceDN w:val="0"/>
        <w:adjustRightInd w:val="0"/>
        <w:ind w:firstLine="1134"/>
        <w:jc w:val="both"/>
      </w:pPr>
      <w:r>
        <w:t>Solicito</w:t>
      </w:r>
      <w:r w:rsidR="005C0B8B">
        <w:t xml:space="preserve"> tome </w:t>
      </w:r>
      <w:r>
        <w:t xml:space="preserve">como base regulatoria la suma de 3.35, teniendo en cuenta que el valor del UMA a la fecha de cierre de la liquidación, $63.545,00 y el monto reclamado $213.131,00,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t xml:space="preserve">Datos de la caja de </w:t>
      </w:r>
      <w:proofErr w:type="spellStart"/>
      <w:proofErr w:type="gramStart"/>
      <w:r>
        <w:t>abogados:Av</w:t>
      </w:r>
      <w:proofErr w:type="spellEnd"/>
      <w:r>
        <w:t xml:space="preserve">.</w:t>
      </w:r>
      <w:proofErr w:type="gramEnd"/>
      <w:r>
        <w:t xml:space="preserve"> Sarmiento N º 302/308 de la ciudad de Salta,  domicilio electrónico como persona jurídica registrado bajo el CUIT 30518723487.</w:t>
      </w:r>
      <w:r w:rsidR="008A6153">
        <w:t xml:space="preserve"> </w:t>
      </w:r>
      <w:r w:rsidR="00D21258">
        <w:t xml:space="preserve"/>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 xml:space="preserve"/>
      </w:r>
    </w:p>
    <w:p w14:paraId="3E1510A6" w14:textId="77777777" w:rsidR="004D060E" w:rsidRDefault="004D060E" w:rsidP="005C0B8B">
      <w:pPr>
        <w:autoSpaceDE w:val="0"/>
        <w:autoSpaceDN w:val="0"/>
        <w:adjustRightInd w:val="0"/>
        <w:ind w:firstLine="1134"/>
        <w:jc w:val="both"/>
        <w:rPr>
          <w:b/>
        </w:rPr>
      </w:pPr>
    </w:p>
    <w:p w14:paraId="492C95CB" w14:textId="77777777" w:rsidR="00544398" w:rsidRPr="00544398" w:rsidRDefault="00544398" w:rsidP="005C0B8B">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5C0B8B">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5C0B8B">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5C0B8B">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38E1609B" w14:textId="77777777" w:rsidR="005C0B8B" w:rsidRDefault="005C0B8B" w:rsidP="005C0B8B">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5C0B8B">
      <w:pPr>
        <w:pStyle w:val="NormalWeb"/>
        <w:ind w:firstLine="1276"/>
        <w:jc w:val="both"/>
      </w:pPr>
      <w:r>
        <w:t xml:space="preserve">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xml:space="preserve"/>
      </w:r>
      <w:bookmarkStart w:id="3" w:name="_Hlk73292622"/>
    </w:p>
    <w:bookmarkEnd w:id="3"/>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4"/>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B6A911" w14:textId="77777777" w:rsidR="00512A79" w:rsidRDefault="00512A79" w:rsidP="00544398">
      <w:r>
        <w:separator/>
      </w:r>
    </w:p>
  </w:endnote>
  <w:endnote w:type="continuationSeparator" w:id="0">
    <w:p w14:paraId="3F7DBB32" w14:textId="77777777" w:rsidR="00512A79" w:rsidRDefault="00512A79"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FE1E6" w14:textId="77777777" w:rsidR="00512A79" w:rsidRDefault="00512A79" w:rsidP="00544398">
      <w:r>
        <w:separator/>
      </w:r>
    </w:p>
  </w:footnote>
  <w:footnote w:type="continuationSeparator" w:id="0">
    <w:p w14:paraId="32C834C9" w14:textId="77777777" w:rsidR="00512A79" w:rsidRDefault="00512A79"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C0216"/>
    <w:rsid w:val="000C10B7"/>
    <w:rsid w:val="000C3B50"/>
    <w:rsid w:val="000C3EEF"/>
    <w:rsid w:val="000C5427"/>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67D4"/>
    <w:rsid w:val="001004A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4E89"/>
    <w:rsid w:val="003E7CEE"/>
    <w:rsid w:val="003F3F89"/>
    <w:rsid w:val="003F4A9A"/>
    <w:rsid w:val="003F4BB6"/>
    <w:rsid w:val="003F6FC2"/>
    <w:rsid w:val="004016FD"/>
    <w:rsid w:val="00402C20"/>
    <w:rsid w:val="0040567A"/>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014"/>
    <w:rsid w:val="00495C3C"/>
    <w:rsid w:val="00496C66"/>
    <w:rsid w:val="004A1A81"/>
    <w:rsid w:val="004A1E5B"/>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0B8B"/>
    <w:rsid w:val="005C48BE"/>
    <w:rsid w:val="005C5C81"/>
    <w:rsid w:val="005C65E0"/>
    <w:rsid w:val="005D0514"/>
    <w:rsid w:val="005D51F9"/>
    <w:rsid w:val="005E7E90"/>
    <w:rsid w:val="005F2437"/>
    <w:rsid w:val="005F2EF9"/>
    <w:rsid w:val="005F61CE"/>
    <w:rsid w:val="00606D6D"/>
    <w:rsid w:val="00607A34"/>
    <w:rsid w:val="0061715B"/>
    <w:rsid w:val="00632542"/>
    <w:rsid w:val="006407FC"/>
    <w:rsid w:val="0064173A"/>
    <w:rsid w:val="006431DC"/>
    <w:rsid w:val="00645227"/>
    <w:rsid w:val="00645309"/>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706"/>
    <w:rsid w:val="008E4D93"/>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55FAA"/>
    <w:rsid w:val="00A62268"/>
    <w:rsid w:val="00A62772"/>
    <w:rsid w:val="00A641EF"/>
    <w:rsid w:val="00A64283"/>
    <w:rsid w:val="00A678C9"/>
    <w:rsid w:val="00A67C47"/>
    <w:rsid w:val="00A70BD9"/>
    <w:rsid w:val="00A761CF"/>
    <w:rsid w:val="00A84118"/>
    <w:rsid w:val="00A91F41"/>
    <w:rsid w:val="00A9604B"/>
    <w:rsid w:val="00A97ADA"/>
    <w:rsid w:val="00AA2E52"/>
    <w:rsid w:val="00AB62F5"/>
    <w:rsid w:val="00AB71A4"/>
    <w:rsid w:val="00AC149E"/>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1A3A"/>
    <w:rsid w:val="00D55C07"/>
    <w:rsid w:val="00D605C5"/>
    <w:rsid w:val="00D623F1"/>
    <w:rsid w:val="00D645A9"/>
    <w:rsid w:val="00D67A8F"/>
    <w:rsid w:val="00D753F7"/>
    <w:rsid w:val="00D8134F"/>
    <w:rsid w:val="00D862E6"/>
    <w:rsid w:val="00DA3FC8"/>
    <w:rsid w:val="00DC316B"/>
    <w:rsid w:val="00DC3885"/>
    <w:rsid w:val="00DC4978"/>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E2A"/>
    <w:rsid w:val="00EB471C"/>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sjn.gov.ar/homeSJ/notas/nota/22/documento"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 Id="rId20"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261</TotalTime>
  <Pages>18</Pages>
  <Words>7081</Words>
  <Characters>39724</Characters>
  <Application>Microsoft Office Word</Application>
  <DocSecurity>0</DocSecurity>
  <Lines>331</Lines>
  <Paragraphs>93</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46712</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6</cp:revision>
  <cp:lastPrinted>2023-01-02T11:50:00Z</cp:lastPrinted>
  <dcterms:created xsi:type="dcterms:W3CDTF">2024-12-19T15:49:00Z</dcterms:created>
  <dcterms:modified xsi:type="dcterms:W3CDTF">2025-01-03T22:08:00Z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