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p>
    <w:p w14:paraId="63714754" w14:textId="7B01D670" w:rsidR="00284613" w:rsidRDefault="009F35E9" w:rsidP="008E5534">
      <w:pPr>
        <w:numPr>
          <w:ilvl w:val="0"/>
          <w:numId w:val="18"/>
        </w:numPr>
        <w:autoSpaceDE w:val="0"/>
        <w:autoSpaceDN w:val="0"/>
        <w:adjustRightInd w:val="0"/>
        <w:jc w:val="both"/>
      </w:pPr>
      <w:r>
        <w:t xml:space="preserve">Dejo planteada la inconstitucionalidad de la </w:t>
      </w:r>
      <w:commentRangeStart w:id="1"/>
      <w:r>
        <w:t xml:space="preserve"> ley 27.609 , ley 27.541 , ley 27.426 </w:t>
      </w:r>
      <w:r w:rsidR="005D74BA">
        <w:t xml:space="preserve">  Decreto </w:t>
      </w:r>
      <w:r w:rsidR="000A0D29">
        <w:rPr>
          <w:color w:val="000000"/>
        </w:rPr>
        <w:t xml:space="preserve">274/2024 </w:t>
      </w:r>
      <w:r>
        <w:t xml:space="preserve">.</w:t>
      </w:r>
      <w:commentRangeEnd w:id="1"/>
      <w:r w:rsidR="00A75D89">
        <w:rPr>
          <w:rStyle w:val="Refdecomentario"/>
        </w:rPr>
        <w:commentReference w:id="1"/>
      </w:r>
    </w:p>
    <w:p w14:paraId="0F4147E5" w14:textId="0C84F845" w:rsidR="00BB4314" w:rsidRDefault="00284613" w:rsidP="008E5534">
      <w:pPr>
        <w:numPr>
          <w:ilvl w:val="0"/>
          <w:numId w:val="18"/>
        </w:numPr>
        <w:autoSpaceDE w:val="0"/>
        <w:autoSpaceDN w:val="0"/>
        <w:adjustRightInd w:val="0"/>
        <w:jc w:val="both"/>
      </w:pPr>
      <w:r w:rsidRPr="000F5440">
        <w:rPr>
          <w:b/>
          <w:bCs/>
        </w:rPr>
        <w:t xml:space="preserve">Solicito que se regulen los honorarios profesionales correspondientes </w:t>
      </w:r>
      <w:commentRangeStart w:id="2"/>
      <w:r w:rsidRPr="000F5440">
        <w:rPr>
          <w:b/>
          <w:bCs/>
        </w:rPr>
        <w:t>a</w:t>
      </w:r>
      <w:commentRangeEnd w:id="2"/>
      <w:r w:rsidR="00614BEF">
        <w:rPr>
          <w:rStyle w:val="Refdecomentario"/>
        </w:rPr>
        <w:commentReference w:id="2"/>
      </w:r>
      <w:r w:rsidRPr="000F5440">
        <w:rPr>
          <w:b/>
          <w:bCs/>
        </w:rPr>
        <w:t xml:space="preserve">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w:t>
      </w:r>
      <w:r w:rsidR="00614BEF">
        <w:t xml:space="preserve">Solicito </w:t>
      </w:r>
      <w:proofErr w:type="gramStart"/>
      <w:r w:rsidR="00614BEF">
        <w:t xml:space="preserve">se </w:t>
      </w:r>
      <w:r w:rsidRPr="003E4E89">
        <w:t xml:space="preserve"> respet</w:t>
      </w:r>
      <w:r w:rsidR="00614BEF">
        <w:t>e</w:t>
      </w:r>
      <w:proofErr w:type="gramEnd"/>
      <w:r w:rsidR="00614BEF">
        <w:t xml:space="preserve"> </w:t>
      </w:r>
      <w:r w:rsidRPr="003E4E89">
        <w:t xml:space="preserve">el honorario mínimo previsto en el artículo 16, último párrafo, de la ley, que es de orden público. La regulación deberá expresarse en moneda de curso legal y en Unidades </w:t>
      </w:r>
      <w:r w:rsidRPr="003E4E89">
        <w:lastRenderedPageBreak/>
        <w:t xml:space="preserve">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11/06/2025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05/06/2025 </w:t>
      </w:r>
      <w:r w:rsidR="008E6244">
        <w:rPr>
          <w:b/>
          <w:bCs/>
        </w:rPr>
        <w:t xml:space="preserve">al </w:t>
      </w:r>
      <w:r w:rsidR="00274162">
        <w:rPr>
          <w:b/>
          <w:bCs/>
        </w:rPr>
        <w:t xml:space="preserve">05/06/2025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$3.809,71 del 25/01/2011 que el 01/05/2017 fué reajustado a $32.185,34</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lastRenderedPageBreak/>
        <w:t>Reclamado</w:t>
      </w:r>
      <w:r>
        <w:rPr>
          <w:b/>
          <w:bCs/>
        </w:rPr>
        <w:t xml:space="preserve">:</w:t>
      </w:r>
      <w:r>
        <w:t xml:space="preserve"> </w:t>
      </w:r>
      <w:proofErr w:type="gramStart"/>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02/06/2025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69BA388D" w14:textId="77777777" w:rsidR="008E4D93" w:rsidRPr="008E4D93" w:rsidRDefault="008E4D93" w:rsidP="008E5534">
      <w:pPr>
        <w:autoSpaceDE w:val="0"/>
        <w:autoSpaceDN w:val="0"/>
        <w:adjustRightInd w:val="0"/>
        <w:jc w:val="both"/>
      </w:pPr>
      <w:r w:rsidRPr="008E4D93">
        <w:rPr>
          <w:b/>
          <w:bCs/>
        </w:rPr>
        <w:t xml:space="preserve">Opción 1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Alanis, Daniel Ley 27551 $35,55% para el año 2020 hasta el 31/12/2020 y desde ahí Aumentos Generales de la ANSeS por 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05/06/2025</w:t>
      </w:r>
      <w:r w:rsidRPr="00651855">
        <w:rPr>
          <w:b/>
          <w:bCs/>
        </w:rPr>
        <w:t xml:space="preserve"> </w:t>
      </w:r>
      <w:r w:rsidRPr="00651855">
        <w:t xml:space="preserve">asciende a $1.483.802,27.</w:t>
      </w:r>
      <w:r w:rsidR="000A6F4D">
        <w:t xml:space="preserve"> </w:t>
      </w:r>
      <w:r w:rsidR="000A6F4D" w:rsidRPr="000A6F4D">
        <w:t xml:space="preserve"/>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02/06/2025 determinado por el periodo 05/06/2025</w:t>
      </w:r>
      <w:r w:rsidRPr="003D6F07">
        <w:rPr>
          <w:b/>
          <w:bCs/>
        </w:rPr>
        <w:t xml:space="preserve"> </w:t>
      </w:r>
      <w:r w:rsidRPr="003D6F07">
        <w:t xml:space="preserve">al 05/06/2025 en concepto de Capital resulta en $8.152.230,44 concepto de Intereses a $ 14.137.477,60.</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$15.940.102,94</w:t>
      </w:r>
    </w:p>
    <w:p w14:paraId="0378E622" w14:textId="2BD6DCB4" w:rsidR="007544B2" w:rsidRDefault="007544B2" w:rsidP="008E5534">
      <w:pPr>
        <w:autoSpaceDE w:val="0"/>
        <w:autoSpaceDN w:val="0"/>
        <w:adjustRightInd w:val="0"/>
        <w:jc w:val="both"/>
      </w:pPr>
      <w:r>
        <w:lastRenderedPageBreak/>
        <w:t xml:space="preserve"/>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Aumentos Generales de la ANSeS por movilidad</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05/06/2025</w:t>
      </w:r>
      <w:r w:rsidRPr="00651855">
        <w:rPr>
          <w:b/>
          <w:bCs/>
        </w:rPr>
        <w:t xml:space="preserve"> </w:t>
      </w:r>
      <w:r w:rsidRPr="00651855">
        <w:t xml:space="preserve">asciende a </w:t>
      </w:r>
      <w:proofErr w:type="gramStart"/>
      <w:r w:rsidRPr="00651855">
        <w:t xml:space="preserve">$1.023.352,70.</w:t>
      </w:r>
      <w:r>
        <w:t xml:space="preserve"> </w:t>
      </w:r>
      <w:r w:rsidRPr="000A6F4D">
        <w:t xml:space="preserve"/>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02/06/2025 determinado por el periodo 05/06/2025</w:t>
      </w:r>
      <w:r w:rsidRPr="003D6F07">
        <w:rPr>
          <w:b/>
          <w:bCs/>
        </w:rPr>
        <w:t xml:space="preserve"> </w:t>
      </w:r>
      <w:r w:rsidRPr="003D6F07">
        <w:t xml:space="preserve">al 05/06/2025 en concepto de Capital resulta en $</w:t>
      </w:r>
      <w:proofErr w:type="gramStart"/>
      <w:r w:rsidRPr="003D6F07">
        <w:t xml:space="preserve">221.024,59 concepto de Intereses a $ </w:t>
      </w:r>
      <w:proofErr w:type="gramStart"/>
      <w:r w:rsidRPr="003D6F07">
        <w:t xml:space="preserve">19.708.114,04.</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 xml:space="preserve">$18.293.633,25</w:t>
      </w:r>
    </w:p>
    <w:p w14:paraId="282726B8" w14:textId="552BAB52"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02/06/2025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05/06/2025</w:t>
      </w:r>
      <w:r w:rsidR="00BB453E">
        <w:t xml:space="preserve"> </w:t>
      </w:r>
      <w:r w:rsidRPr="00A206D0">
        <w:t xml:space="preserve">al </w:t>
      </w:r>
      <w:r w:rsidR="003A5F10" w:rsidRPr="003D6F07">
        <w:t xml:space="preserve">05/06/2025</w:t>
      </w:r>
      <w:r w:rsidRPr="00A206D0">
        <w:t xml:space="preserve"> en concepto de Capital resulta en $</w:t>
      </w:r>
      <w:r w:rsidR="00BE074C">
        <w:t xml:space="preserve"> </w:t>
      </w:r>
      <w:r w:rsidR="00A67C47">
        <w:t xml:space="preserve">13.305.622,32</w:t>
      </w:r>
      <w:r w:rsidR="00BE074C">
        <w:t xml:space="preserve"> </w:t>
      </w:r>
      <w:r w:rsidRPr="00A206D0">
        <w:t>concepto de Intereses a $</w:t>
      </w:r>
      <w:r w:rsidR="00BE074C">
        <w:t xml:space="preserve"> </w:t>
      </w:r>
      <w:r w:rsidR="00A67C47">
        <w:t xml:space="preserve">1.639.013,88</w:t>
      </w:r>
      <w:r>
        <w:t xml:space="preserve"> totalizando una deuda dotal de $</w:t>
      </w:r>
      <w:r w:rsidR="00F34C48">
        <w:t xml:space="preserve">$18.287.172,48</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7777777" w:rsidR="00B82510" w:rsidRDefault="00B82510" w:rsidP="008E5534">
            <w:pPr>
              <w:autoSpaceDE w:val="0"/>
              <w:autoSpaceDN w:val="0"/>
              <w:adjustRightInd w:val="0"/>
              <w:jc w:val="both"/>
            </w:pPr>
            <w:r>
              <w:t>Haber con IPC</w:t>
            </w:r>
          </w:p>
        </w:tc>
        <w:tc>
          <w:tcPr>
            <w:tcW w:w="1972" w:type="dxa"/>
            <w:shd w:val="clear" w:color="auto" w:fill="auto"/>
          </w:tcPr>
          <w:p w14:paraId="3F426986" w14:textId="6CE04AE4" w:rsidR="00B82510" w:rsidRDefault="00F34C48" w:rsidP="008E5534">
            <w:pPr>
              <w:autoSpaceDE w:val="0"/>
              <w:autoSpaceDN w:val="0"/>
              <w:adjustRightInd w:val="0"/>
              <w:jc w:val="both"/>
            </w:pPr>
            <w:r>
              <w:t xml:space="preserve">$270.024,59</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5"/>
            <w:r>
              <w:t>Haber con 27609</w:t>
            </w:r>
            <w:commentRangeEnd w:id="5"/>
            <w:r w:rsidR="00CB5A22">
              <w:rPr>
                <w:rStyle w:val="Refdecomentario"/>
              </w:rPr>
              <w:commentReference w:id="5"/>
            </w:r>
          </w:p>
        </w:tc>
        <w:tc>
          <w:tcPr>
            <w:tcW w:w="1972" w:type="dxa"/>
            <w:shd w:val="clear" w:color="auto" w:fill="auto"/>
          </w:tcPr>
          <w:p w14:paraId="65B4F452" w14:textId="52BC4081" w:rsidR="00B82510" w:rsidRDefault="005A7B53" w:rsidP="008E5534">
            <w:pPr>
              <w:autoSpaceDE w:val="0"/>
              <w:autoSpaceDN w:val="0"/>
              <w:adjustRightInd w:val="0"/>
              <w:jc w:val="both"/>
            </w:pPr>
            <w:r>
              <w:t xml:space="preserve">$1.483.802,27</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 xml:space="preserve">-$1.213.777,68</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 xml:space="preserve">-449.51</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002" name="Picture 1002"/>
            <wp:cNvGraphicFramePr>
              <a:graphicFrameLocks noChangeAspect="1"/>
            </wp:cNvGraphicFramePr>
            <a:graphic>
              <a:graphicData uri="http://schemas.openxmlformats.org/drawingml/2006/picture">
                <pic:pic>
                  <pic:nvPicPr>
                    <pic:cNvPr id="0" name="tmpfqgjdgu0.png"/>
                    <pic:cNvPicPr/>
                  </pic:nvPicPr>
                  <pic:blipFill>
                    <a:blip r:embed="rId26"/>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 xml:space="preserve">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02/06/2025 </w:t>
      </w:r>
      <w:r w:rsidRPr="00A206D0">
        <w:t xml:space="preserve">determinado </w:t>
      </w:r>
      <w:r>
        <w:t xml:space="preserve">con estos índices de movilidad </w:t>
      </w:r>
      <w:r w:rsidRPr="00A206D0">
        <w:t>por el periodo</w:t>
      </w:r>
      <w:r>
        <w:t xml:space="preserve"> </w:t>
      </w:r>
      <w:r w:rsidRPr="003D6F07">
        <w:t xml:space="preserve">05/06/2025</w:t>
      </w:r>
      <w:r>
        <w:t xml:space="preserve"> </w:t>
      </w:r>
      <w:r w:rsidRPr="00A206D0">
        <w:t xml:space="preserve">al </w:t>
      </w:r>
      <w:r w:rsidRPr="003D6F07">
        <w:t xml:space="preserve">05/06/2025</w:t>
      </w:r>
      <w:r w:rsidRPr="00A206D0">
        <w:t xml:space="preserve"> en concepto de Capital resulta en $</w:t>
      </w:r>
      <w:r>
        <w:t xml:space="preserve"> </w:t>
      </w:r>
      <w:proofErr w:type="gramStart"/>
      <w:r>
        <w:t xml:space="preserve">15.061.814,16 </w:t>
      </w:r>
      <w:r w:rsidRPr="00A206D0">
        <w:t xml:space="preserve">concepto de </w:t>
      </w:r>
      <w:r w:rsidRPr="00A206D0">
        <w:lastRenderedPageBreak/>
        <w:t>Intereses a $</w:t>
      </w:r>
      <w:r>
        <w:t xml:space="preserve"> </w:t>
      </w:r>
      <w:proofErr w:type="gramStart"/>
      <w:r>
        <w:t xml:space="preserve">221.024,59 totalizando una deuda dotal de $</w:t>
      </w:r>
      <w:proofErr w:type="gramStart"/>
      <w:r>
        <w:t xml:space="preserve">$35.789.446,16.</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5534">
            <w:pPr>
              <w:autoSpaceDE w:val="0"/>
              <w:autoSpaceDN w:val="0"/>
              <w:adjustRightInd w:val="0"/>
              <w:jc w:val="both"/>
            </w:pPr>
            <w:r>
              <w:t>Haber con IPC</w:t>
            </w:r>
          </w:p>
        </w:tc>
        <w:tc>
          <w:tcPr>
            <w:tcW w:w="1972" w:type="dxa"/>
            <w:shd w:val="clear" w:color="auto" w:fill="auto"/>
          </w:tcPr>
          <w:p w14:paraId="6BE1BA79" w14:textId="5C61B2C9" w:rsidR="009A6E2F" w:rsidRDefault="009A6E2F" w:rsidP="008E5534">
            <w:pPr>
              <w:autoSpaceDE w:val="0"/>
              <w:autoSpaceDN w:val="0"/>
              <w:adjustRightInd w:val="0"/>
              <w:jc w:val="both"/>
            </w:pPr>
            <w:r>
              <w:t xml:space="preserve">$1.778.492,43</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 xml:space="preserve">$1.023.352,70</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 xml:space="preserve">$755.139,73</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 xml:space="preserve">42.46%</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drawing>
          <wp:inline xmlns:a="http://schemas.openxmlformats.org/drawingml/2006/main" xmlns:pic="http://schemas.openxmlformats.org/drawingml/2006/picture">
            <wp:extent cx="4572000" cy="3429000"/>
            <wp:docPr id="1003" name="Picture 1003"/>
            <wp:cNvGraphicFramePr>
              <a:graphicFrameLocks noChangeAspect="1"/>
            </wp:cNvGraphicFramePr>
            <a:graphic>
              <a:graphicData uri="http://schemas.openxmlformats.org/drawingml/2006/picture">
                <pic:pic>
                  <pic:nvPicPr>
                    <pic:cNvPr id="0" name="tmp1d36c_7a.png"/>
                    <pic:cNvPicPr/>
                  </pic:nvPicPr>
                  <pic:blipFill>
                    <a:blip r:embed="rId27"/>
                    <a:stretch>
                      <a:fillRect/>
                    </a:stretch>
                  </pic:blipFill>
                  <pic:spPr>
                    <a:xfrm>
                      <a:off x="0" y="0"/>
                      <a:ext cx="4572000" cy="3429000"/>
                    </a:xfrm>
                    <a:prstGeom prst="rect"/>
                  </pic:spPr>
                </pic:pic>
              </a:graphicData>
            </a:graphic>
          </wp:inline>
        </w:drawing>
      </w:r>
    </w:p>
    <w:p w14:paraId="598CB85C" w14:textId="1E3E2F2C" w:rsidR="007544B2" w:rsidRPr="008A737C" w:rsidRDefault="007544B2" w:rsidP="008E5534">
      <w:pPr>
        <w:autoSpaceDE w:val="0"/>
        <w:autoSpaceDN w:val="0"/>
        <w:adjustRightInd w:val="0"/>
        <w:jc w:val="both"/>
        <w:rPr>
          <w:bCs/>
          <w:color w:val="000000"/>
          <w:u w:val="single"/>
        </w:rPr>
      </w:pPr>
      <w:r>
        <w:rPr>
          <w:color w:val="000000"/>
        </w:rPr>
        <w:t xml:space="preserve"/>
      </w:r>
      <w:r w:rsidR="008A737C">
        <w:rPr>
          <w:color w:val="000000"/>
        </w:rPr>
        <w:t xml:space="preserve"> </w:t>
      </w:r>
      <w:r w:rsidR="008A737C" w:rsidRPr="006F31BF">
        <w:rPr>
          <w:bCs/>
          <w:color w:val="000000"/>
          <w:u w:val="single"/>
        </w:rPr>
        <w:t xml:space="preserve"/>
      </w:r>
      <w:r w:rsidR="007616F8" w:rsidRPr="006F31BF">
        <w:rPr>
          <w:bCs/>
          <w:color w:val="000000"/>
          <w:u w:val="single"/>
        </w:rPr>
        <w:t xml:space="preserve">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-449.51</w:t>
      </w:r>
      <w:r w:rsidRPr="00584239">
        <w:rPr>
          <w:color w:val="000000"/>
        </w:rPr>
        <w:t xml:space="preserve">%</w:t>
      </w:r>
      <w:proofErr w:type="gramEnd"/>
      <w:r>
        <w:rPr>
          <w:color w:val="000000"/>
        </w:rPr>
        <w:t xml:space="preserve"> y </w:t>
      </w:r>
      <w:proofErr w:type="gramStart"/>
      <w:r>
        <w:t xml:space="preserve">42.46%</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r>
      <w:r>
        <w:rPr>
          <w:color w:val="000000"/>
        </w:rPr>
        <w:t xml:space="preserve"> </w:t>
      </w:r>
      <w:r w:rsidR="00163618">
        <w:rPr>
          <w:color w:val="000000"/>
        </w:rPr>
        <w:t xml:space="preserve"/>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49B8E50" w:rsidR="001D02DD" w:rsidRPr="00BC1468" w:rsidRDefault="00E663A1" w:rsidP="008E5534">
      <w:pPr>
        <w:autoSpaceDE w:val="0"/>
        <w:autoSpaceDN w:val="0"/>
        <w:adjustRightInd w:val="0"/>
        <w:ind w:firstLine="851"/>
        <w:jc w:val="both"/>
        <w:rPr>
          <w:rFonts w:eastAsia="Calibri"/>
          <w:lang w:val="es-AR"/>
        </w:rPr>
      </w:pPr>
      <w:r>
        <w:rPr>
          <w:rFonts w:eastAsia="Calibri"/>
          <w:lang w:val="es-AR"/>
        </w:rPr>
        <w:t xml:space="preserve">Sostengo </w:t>
      </w:r>
      <w:r w:rsidR="005711DF">
        <w:rPr>
          <w:rFonts w:eastAsia="Calibri"/>
          <w:lang w:val="es-AR"/>
        </w:rPr>
        <w:t>(agrega párrafo interlineado poner a todo simple</w:t>
      </w:r>
      <w:r w:rsidR="009639B5">
        <w:rPr>
          <w:rFonts w:eastAsia="Calibri"/>
          <w:lang w:val="es-AR"/>
        </w:rPr>
        <w:t xml:space="preserve"> </w:t>
      </w:r>
      <w:r w:rsidR="005711DF">
        <w:rPr>
          <w:rFonts w:eastAsia="Calibri"/>
          <w:lang w:val="es-AR"/>
        </w:rPr>
        <w:t>(</w:t>
      </w:r>
      <w:r w:rsidR="001D02DD"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001D02DD" w:rsidRPr="00BC1468">
        <w:rPr>
          <w:rFonts w:eastAsia="Calibri"/>
          <w:lang w:val="es-AR"/>
        </w:rPr>
        <w:t>Por</w:t>
      </w:r>
      <w:proofErr w:type="gramEnd"/>
      <w:r w:rsidR="001D02DD" w:rsidRPr="00BC1468">
        <w:rPr>
          <w:rFonts w:eastAsia="Calibri"/>
          <w:lang w:val="es-AR"/>
        </w:rPr>
        <w:t xml:space="preserve">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357641">
        <w:rPr>
          <w:rFonts w:eastAsia="Calibri"/>
          <w:highlight w:val="cyan"/>
          <w:lang w:val="es-AR"/>
        </w:rPr>
        <w:t>.541, la derogación de la Ley 27.426, la sanción de la Ley 27.609 y su posterior derogación, y la pauta de movilidad dictada por el Decreto 274/24—, resulta claro que los haberes de los jubilados han sufrido un daño tangible</w:t>
      </w:r>
      <w:r w:rsidR="00357641" w:rsidRPr="00357641">
        <w:rPr>
          <w:rFonts w:eastAsia="Calibri"/>
          <w:highlight w:val="cyan"/>
          <w:lang w:val="es-AR"/>
        </w:rPr>
        <w:t xml:space="preserve"> y así fue reconocido por ambas salas de esta jurisdicción en los autos</w:t>
      </w:r>
      <w:r w:rsidR="005711DF" w:rsidRPr="00357641">
        <w:rPr>
          <w:rFonts w:eastAsia="Calibri"/>
          <w:highlight w:val="cyan"/>
          <w:lang w:val="es-AR"/>
        </w:rPr>
        <w:t xml:space="preserve"> “Palavecino” y “Colina”</w:t>
      </w:r>
      <w:r w:rsidRPr="00357641">
        <w:rPr>
          <w:rFonts w:eastAsia="Calibri"/>
          <w:highlight w:val="cyan"/>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t xml:space="preserve">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w:t>
      </w:r>
      <w:r w:rsidRPr="00BC1468">
        <w:lastRenderedPageBreak/>
        <w:t>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lastRenderedPageBreak/>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12">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9B4665" w:rsidRDefault="00B82510" w:rsidP="00246283">
      <w:pPr>
        <w:pStyle w:val="NormalWeb"/>
        <w:ind w:firstLine="709"/>
        <w:jc w:val="both"/>
        <w:rPr>
          <w:highlight w:val="magenta"/>
        </w:rPr>
      </w:pPr>
      <w:commentRangeStart w:id="6"/>
      <w:r w:rsidRPr="009B4665">
        <w:rPr>
          <w:rFonts w:eastAsia="Calibri"/>
          <w:highlight w:val="magenta"/>
        </w:rPr>
        <w:t>Solicito</w:t>
      </w:r>
      <w:commentRangeEnd w:id="6"/>
      <w:r w:rsidR="001F3A83">
        <w:rPr>
          <w:rStyle w:val="Refdecomentario"/>
          <w:lang w:val="es-ES" w:eastAsia="es-ES"/>
        </w:rPr>
        <w:commentReference w:id="6"/>
      </w:r>
      <w:r w:rsidRPr="009B4665">
        <w:rPr>
          <w:rFonts w:eastAsia="Calibri"/>
          <w:highlight w:val="magenta"/>
        </w:rPr>
        <w:t xml:space="preserve"> analice el pedido de inconstitucionalidad teniendo en cuenta el desarrollo que hace la CSJN sobre el  </w:t>
      </w:r>
      <w:hyperlink r:id="rId13" w:history="1">
        <w:r w:rsidRPr="009B4665">
          <w:rPr>
            <w:rFonts w:eastAsia="Calibri"/>
            <w:color w:val="0563C1"/>
            <w:highlight w:val="magenta"/>
          </w:rPr>
          <w:t>principio de progresividad</w:t>
        </w:r>
      </w:hyperlink>
      <w:r w:rsidRPr="009B4665">
        <w:rPr>
          <w:rFonts w:eastAsia="Calibri"/>
          <w:highlight w:val="magenta"/>
        </w:rPr>
        <w:t xml:space="preserve"> en materia previsional  y e</w:t>
      </w:r>
      <w:r w:rsidRPr="009B4665">
        <w:rPr>
          <w:rFonts w:eastAsia="Calibri"/>
          <w:color w:val="333333"/>
          <w:highlight w:val="magenta"/>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9B4665">
        <w:rPr>
          <w:rFonts w:eastAsia="Calibri"/>
          <w:i/>
          <w:highlight w:val="magenta"/>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9B4665">
        <w:rPr>
          <w:rFonts w:eastAsia="Calibri"/>
          <w:highlight w:val="magenta"/>
        </w:rPr>
        <w:t xml:space="preserve"> (</w:t>
      </w:r>
      <w:hyperlink r:id="rId14" w:history="1">
        <w:r w:rsidRPr="009B4665">
          <w:rPr>
            <w:rFonts w:eastAsia="Calibri"/>
            <w:color w:val="0563C1"/>
            <w:highlight w:val="magenta"/>
          </w:rPr>
          <w:t>Fallos: 307: 2376</w:t>
        </w:r>
      </w:hyperlink>
      <w:r w:rsidRPr="009B4665">
        <w:rPr>
          <w:rFonts w:eastAsia="Calibri"/>
          <w:highlight w:val="magenta"/>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9B4665">
        <w:rPr>
          <w:rFonts w:eastAsia="Calibri"/>
          <w:highlight w:val="magenta"/>
        </w:rPr>
        <w:t xml:space="preserve"> </w:t>
      </w:r>
      <w:r w:rsidRPr="009B4665">
        <w:rPr>
          <w:rFonts w:eastAsia="Calibri"/>
          <w:highlight w:val="magenta"/>
        </w:rPr>
        <w:t>en</w:t>
      </w:r>
      <w:r w:rsidR="001D02DD" w:rsidRPr="009B4665">
        <w:rPr>
          <w:rFonts w:eastAsia="Calibri"/>
          <w:highlight w:val="magenta"/>
        </w:rPr>
        <w:t xml:space="preserve"> </w:t>
      </w:r>
      <w:r w:rsidRPr="009B4665">
        <w:rPr>
          <w:rFonts w:eastAsia="Calibri"/>
          <w:highlight w:val="magenta"/>
        </w:rPr>
        <w:t>los Fallos</w:t>
      </w:r>
      <w:r w:rsidR="001D02DD" w:rsidRPr="009B4665">
        <w:rPr>
          <w:rFonts w:eastAsia="Calibri"/>
          <w:highlight w:val="magenta"/>
        </w:rPr>
        <w:t xml:space="preserve"> </w:t>
      </w:r>
      <w:hyperlink r:id="rId15" w:history="1">
        <w:r w:rsidRPr="009B4665">
          <w:rPr>
            <w:rFonts w:eastAsia="Calibri"/>
            <w:color w:val="0563C1"/>
            <w:highlight w:val="magenta"/>
          </w:rPr>
          <w:t>“Itzcovich”(</w:t>
        </w:r>
      </w:hyperlink>
      <w:r w:rsidRPr="009B4665">
        <w:rPr>
          <w:rFonts w:eastAsia="Calibri"/>
          <w:highlight w:val="magenta"/>
        </w:rPr>
        <w:t>328:566),</w:t>
      </w:r>
      <w:hyperlink r:id="rId16" w:history="1">
        <w:r w:rsidRPr="009B4665">
          <w:rPr>
            <w:rFonts w:eastAsia="Calibri"/>
            <w:color w:val="0563C1"/>
            <w:highlight w:val="magenta"/>
          </w:rPr>
          <w:t>“Sánchez”</w:t>
        </w:r>
      </w:hyperlink>
      <w:r w:rsidRPr="009B4665">
        <w:rPr>
          <w:rFonts w:eastAsia="Calibri"/>
          <w:highlight w:val="magenta"/>
        </w:rPr>
        <w:t>(328:1602),</w:t>
      </w:r>
      <w:hyperlink r:id="rId17" w:history="1">
        <w:r w:rsidRPr="009B4665">
          <w:rPr>
            <w:rFonts w:eastAsia="Calibri"/>
            <w:color w:val="0563C1"/>
            <w:highlight w:val="magenta"/>
          </w:rPr>
          <w:t>“Badaro”(</w:t>
        </w:r>
      </w:hyperlink>
      <w:r w:rsidRPr="009B4665">
        <w:rPr>
          <w:rFonts w:eastAsia="Calibri"/>
          <w:highlight w:val="magenta"/>
        </w:rPr>
        <w:t>330:4866),</w:t>
      </w:r>
      <w:bookmarkStart w:id="7" w:name="_Hlk157989214"/>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"https://sjconsulta.csjn.gov.ar/sjconsulta/documentos/verDocumentoByIdLinksJSP.html?idDocumento=7496611"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“Blanco”(</w:t>
      </w:r>
      <w:r w:rsidRPr="009B4665">
        <w:rPr>
          <w:rFonts w:eastAsia="Calibri"/>
          <w:color w:val="0563C1"/>
          <w:highlight w:val="magenta"/>
        </w:rPr>
        <w:fldChar w:fldCharType="end"/>
      </w:r>
      <w:r w:rsidRPr="009B4665">
        <w:rPr>
          <w:rFonts w:eastAsia="Calibri"/>
          <w:highlight w:val="magenta"/>
        </w:rPr>
        <w:t>341:1924)</w:t>
      </w:r>
      <w:bookmarkEnd w:id="7"/>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"https://sjconsulta.csjn.gov.ar/sjconsulta/documentos/verDocumentoByIdLinksJSP.html?idDocumento=7678911"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“Giménez”(</w:t>
      </w:r>
      <w:r w:rsidRPr="009B4665">
        <w:rPr>
          <w:rFonts w:eastAsia="Calibri"/>
          <w:color w:val="0563C1"/>
          <w:highlight w:val="magenta"/>
        </w:rPr>
        <w:fldChar w:fldCharType="end"/>
      </w:r>
      <w:r w:rsidRPr="009B4665">
        <w:rPr>
          <w:rFonts w:eastAsia="Calibri"/>
          <w:highlight w:val="magenta"/>
        </w:rPr>
        <w:t>344:1788), “</w:t>
      </w:r>
      <w:hyperlink r:id="rId18" w:history="1">
        <w:r w:rsidRPr="009B4665">
          <w:rPr>
            <w:rFonts w:eastAsia="Calibri"/>
            <w:color w:val="0563C1"/>
            <w:highlight w:val="magenta"/>
          </w:rPr>
          <w:t>Garay Corina</w:t>
        </w:r>
      </w:hyperlink>
      <w:r w:rsidRPr="009B4665">
        <w:rPr>
          <w:rFonts w:eastAsia="Calibri"/>
          <w:highlight w:val="magenta"/>
        </w:rPr>
        <w:t>” (344:3567) entre otros.</w:t>
      </w:r>
    </w:p>
    <w:p w14:paraId="5A89444A" w14:textId="479FB7BA" w:rsidR="00227D23" w:rsidRPr="009B4665" w:rsidRDefault="00B82510" w:rsidP="008E5534">
      <w:pPr>
        <w:ind w:firstLine="1560"/>
        <w:jc w:val="both"/>
        <w:rPr>
          <w:rFonts w:eastAsia="Calibri"/>
          <w:color w:val="000000"/>
          <w:highlight w:val="magenta"/>
          <w:lang w:val="es-MX" w:eastAsia="es-AR"/>
        </w:rPr>
      </w:pPr>
      <w:r w:rsidRPr="009B4665">
        <w:rPr>
          <w:rFonts w:eastAsia="Calibri"/>
          <w:color w:val="000000"/>
          <w:highlight w:val="magenta"/>
          <w:lang w:val="es-MX" w:eastAsia="es-AR"/>
        </w:rPr>
        <w:t xml:space="preserve">Las modificaciones en la fórmula de cálculo de la movilidad previsional, no puede proyectarse en perjuicio de los jubilados y pensionados, </w:t>
      </w:r>
      <w:r w:rsidRPr="009B4665">
        <w:rPr>
          <w:rFonts w:eastAsia="Calibri"/>
          <w:color w:val="000000"/>
          <w:highlight w:val="magenta"/>
          <w:lang w:val="es-MX" w:eastAsia="es-AR"/>
        </w:rPr>
        <w:lastRenderedPageBreak/>
        <w:t xml:space="preserve">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9B4665">
          <w:rPr>
            <w:rFonts w:eastAsia="Calibri"/>
            <w:color w:val="0563C1"/>
            <w:highlight w:val="magenta"/>
            <w:lang w:val="es-MX" w:eastAsia="es-AR"/>
          </w:rPr>
          <w:t>(Fallos 331:250</w:t>
        </w:r>
      </w:hyperlink>
      <w:r w:rsidRPr="009B4665">
        <w:rPr>
          <w:rFonts w:eastAsia="Calibri"/>
          <w:color w:val="000000"/>
          <w:highlight w:val="magenta"/>
          <w:lang w:val="es-MX" w:eastAsia="es-AR"/>
        </w:rPr>
        <w:t xml:space="preserve">). </w:t>
      </w:r>
    </w:p>
    <w:p w14:paraId="05E861BC"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9B4665">
        <w:rPr>
          <w:rFonts w:eastAsia="Calibri"/>
          <w:i/>
          <w:iCs/>
          <w:highlight w:val="magenta"/>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9B4665">
        <w:rPr>
          <w:rFonts w:eastAsia="Calibri"/>
          <w:b/>
          <w:bCs/>
          <w:highlight w:val="magenta"/>
          <w:lang w:val="es-AR"/>
        </w:rPr>
        <w:t>progresividad y no regresividad</w:t>
      </w:r>
      <w:r w:rsidRPr="009B4665">
        <w:rPr>
          <w:rFonts w:eastAsia="Calibri"/>
          <w:highlight w:val="magenta"/>
          <w:lang w:val="es-AR"/>
        </w:rPr>
        <w:t>, que exigen un escrutinio agravado de la razonabilidad de las normas adoptadas tanto por el legislador como por el Poder Ejecutivo Nacional en contextos de emergencia.</w:t>
      </w:r>
    </w:p>
    <w:p w14:paraId="1C0579ED"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Corte Suprema de Justicia de la Nación, al referirse a la emergencia y los grupos vulnerables, sostuvo: </w:t>
      </w:r>
      <w:r w:rsidRPr="009B4665">
        <w:rPr>
          <w:rFonts w:eastAsia="Calibri"/>
          <w:i/>
          <w:iCs/>
          <w:highlight w:val="magenta"/>
          <w:lang w:val="es-AR"/>
        </w:rPr>
        <w:t xml:space="preserve">"Que, por último, cabe destacar que es precisamente en tiempos de crisis económica cuando la actualidad de los </w:t>
      </w:r>
      <w:r w:rsidRPr="009B4665">
        <w:rPr>
          <w:rFonts w:eastAsia="Calibri"/>
          <w:i/>
          <w:iCs/>
          <w:highlight w:val="magenta"/>
          <w:lang w:val="es-AR"/>
        </w:rPr>
        <w:lastRenderedPageBreak/>
        <w:t>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9B4665">
        <w:rPr>
          <w:rFonts w:eastAsia="Calibri"/>
          <w:highlight w:val="magenta"/>
          <w:lang w:val="es-AR"/>
        </w:rPr>
        <w:t xml:space="preserve"> (Fallos 341:1924).</w:t>
      </w:r>
    </w:p>
    <w:p w14:paraId="7940493B" w14:textId="77777777" w:rsidR="00227D23" w:rsidRPr="00BC1468" w:rsidRDefault="00227D23" w:rsidP="008E5534">
      <w:pPr>
        <w:ind w:firstLine="1560"/>
        <w:jc w:val="both"/>
        <w:rPr>
          <w:rFonts w:eastAsia="Calibri"/>
          <w:lang w:val="es-AR"/>
        </w:rPr>
      </w:pPr>
      <w:r w:rsidRPr="009B4665">
        <w:rPr>
          <w:rFonts w:eastAsia="Calibri"/>
          <w:highlight w:val="magenta"/>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 xml:space="preserve">.</w:t>
      </w:r>
      <w:r w:rsidRPr="00BC1468">
        <w:rPr>
          <w:rFonts w:eastAsia="Calibri"/>
          <w:lang w:val="es-AR"/>
        </w:rPr>
        <w:t xml:space="preserve"> </w:t>
      </w:r>
      <w:r w:rsidR="007A7319" w:rsidRPr="003E7DAF">
        <w:rPr>
          <w:rFonts w:eastAsia="Calibri"/>
          <w:color w:val="000000"/>
          <w:lang w:eastAsia="es-AR"/>
        </w:rPr>
        <w:t xml:space="preserve"> </w:t>
      </w:r>
      <w:r w:rsidR="006E566B">
        <w:rPr>
          <w:color w:val="000000"/>
        </w:rPr>
        <w:t xml:space="preserve"/>
      </w:r>
    </w:p>
    <w:p w14:paraId="7BAB0375" w14:textId="77777777" w:rsidR="00227D23" w:rsidRPr="00227D23" w:rsidRDefault="00227D23" w:rsidP="008E5534">
      <w:pPr>
        <w:ind w:firstLine="1560"/>
        <w:jc w:val="right"/>
        <w:rPr>
          <w:rFonts w:eastAsia="Calibri"/>
          <w:lang w:val="es-AR"/>
        </w:rPr>
      </w:pPr>
    </w:p>
    <w:p w14:paraId="723E8D5A" w14:textId="62C817E7" w:rsidR="003C6589" w:rsidRPr="005D180A" w:rsidRDefault="00C12F00" w:rsidP="00730130">
      <w:pPr>
        <w:pStyle w:val="NormalWeb"/>
        <w:numPr>
          <w:ilvl w:val="0"/>
          <w:numId w:val="16"/>
        </w:numPr>
      </w:pPr>
      <w:r>
        <w:rPr>
          <w:rFonts w:eastAsia="Aptos"/>
          <w:b/>
          <w:iCs/>
        </w:rPr>
        <w:t>INCONSTITUCIONALIDAD DEL DECRETO 274/2024</w:t>
      </w:r>
    </w:p>
    <w:p w14:paraId="7DD9B97B" w14:textId="77777777" w:rsidR="005D180A" w:rsidRPr="009B4015" w:rsidRDefault="005D180A" w:rsidP="009B4015">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24ADAA7B" w14:textId="77777777" w:rsidR="005D180A" w:rsidRPr="009B4015" w:rsidRDefault="005D180A" w:rsidP="009B4015">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57201D5" w14:textId="77777777" w:rsidR="005D180A" w:rsidRPr="009B4015" w:rsidRDefault="005D180A" w:rsidP="009B4015">
      <w:pPr>
        <w:pStyle w:val="NormalWeb"/>
        <w:ind w:firstLine="567"/>
        <w:jc w:val="both"/>
      </w:pPr>
      <w:r w:rsidRPr="009B4015">
        <w:t xml:space="preserve">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w:t>
      </w:r>
      <w:r w:rsidRPr="009B4015">
        <w:lastRenderedPageBreak/>
        <w:t>relación sustitutiva entre el haber de pasividad y el salario en actividad, no sólo su poder adquisitivo nominal.</w:t>
      </w:r>
    </w:p>
    <w:p w14:paraId="71BD175A" w14:textId="77777777" w:rsidR="005D180A" w:rsidRPr="009B4015" w:rsidRDefault="005D180A" w:rsidP="009B4015">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E35C2C4" w14:textId="77777777" w:rsidR="005D180A" w:rsidRPr="009B4015" w:rsidRDefault="005D180A" w:rsidP="009B4015">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F7DC8C5" w14:textId="28F841B7" w:rsidR="005D180A" w:rsidRPr="009B4015" w:rsidRDefault="005D180A" w:rsidP="009B4015">
      <w:pPr>
        <w:pStyle w:val="NormalWeb"/>
        <w:ind w:firstLine="567"/>
        <w:jc w:val="both"/>
      </w:pPr>
      <w:r w:rsidRPr="009B4015">
        <w:t xml:space="preserve">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rsidR="009B4015">
        <w:t xml:space="preserve"> </w:t>
      </w:r>
      <w:r w:rsidR="00004233" w:rsidRPr="003E7DAF">
        <w:rPr>
          <w:rFonts w:eastAsia="Calibri"/>
          <w:color w:val="000000"/>
        </w:rPr>
        <w:t xml:space="preserve"> </w:t>
      </w:r>
      <w:r w:rsidR="009B4015" w:rsidRPr="003E7DAF">
        <w:rPr>
          <w:rFonts w:eastAsia="Calibri"/>
          <w:color w:val="000000"/>
        </w:rPr>
        <w:t xml:space="preserve"/>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 xml:space="preserve">El cambio en la fórmula para calcular la movilidad de las prestaciones es una facultad del Congreso. Sin embargo, al establecer que la primera actualización </w:t>
      </w:r>
      <w:r>
        <w:lastRenderedPageBreak/>
        <w:t>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 xml:space="preserve">.</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w:t>
      </w:r>
      <w:r w:rsidRPr="0076667E">
        <w:rPr>
          <w:bCs/>
        </w:rPr>
        <w:lastRenderedPageBreak/>
        <w:t xml:space="preserve">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 xml:space="preserve">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100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r>
        <w:t xml:space="preserve"/>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3F40C6AA" w:rsidR="00E90E3C" w:rsidRPr="00B8106E" w:rsidRDefault="006A7DC8" w:rsidP="008E5534">
      <w:pPr>
        <w:ind w:firstLine="1560"/>
        <w:jc w:val="both"/>
        <w:rPr>
          <w:lang w:val="es-AR"/>
        </w:rPr>
      </w:pPr>
      <w:r w:rsidRPr="006A7DC8">
        <w:rPr>
          <w:highlight w:val="cyan"/>
          <w:lang w:val="es-AR"/>
        </w:rPr>
        <w:t xml:space="preserve">Cualquier modificación </w:t>
      </w:r>
      <w:proofErr w:type="gramStart"/>
      <w:r w:rsidRPr="006A7DC8">
        <w:rPr>
          <w:highlight w:val="cyan"/>
          <w:lang w:val="es-AR"/>
        </w:rPr>
        <w:t xml:space="preserve">en </w:t>
      </w:r>
      <w:r w:rsidR="00E90E3C" w:rsidRPr="006A7DC8">
        <w:rPr>
          <w:highlight w:val="cyan"/>
          <w:lang w:val="es-AR"/>
        </w:rPr>
        <w:t xml:space="preserve"> fórmula</w:t>
      </w:r>
      <w:proofErr w:type="gramEnd"/>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lastRenderedPageBreak/>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6A7DC8">
        <w:rPr>
          <w:highlight w:val="cyan"/>
          <w:lang w:val="es-AR"/>
        </w:rPr>
        <w:t xml:space="preserve">Los planteos </w:t>
      </w:r>
      <w:r w:rsidR="006A7DC8" w:rsidRPr="006A7DC8">
        <w:rPr>
          <w:highlight w:val="cyan"/>
          <w:lang w:val="es-AR"/>
        </w:rPr>
        <w:t>se sostienen en cada oportunidad, dado que</w:t>
      </w:r>
      <w:r w:rsidRPr="006A7DC8">
        <w:rPr>
          <w:highlight w:val="cyan"/>
          <w:lang w:val="es-AR"/>
        </w:rPr>
        <w:t xml:space="preserve"> las modificaciones en las pautas de movilidad, qu</w:t>
      </w:r>
      <w:r w:rsidRPr="00B8106E">
        <w:rPr>
          <w:lang w:val="es-AR"/>
        </w:rPr>
        <w:t xml:space="preserve">e afectan el haber de mi </w:t>
      </w:r>
      <w:proofErr w:type="gramStart"/>
      <w:r w:rsidRPr="00B8106E">
        <w:rPr>
          <w:lang w:val="es-AR"/>
        </w:rPr>
        <w:t>mandante,.</w:t>
      </w:r>
      <w:proofErr w:type="gramEnd"/>
      <w:r w:rsidRPr="00B8106E">
        <w:rPr>
          <w:lang w:val="es-AR"/>
        </w:rPr>
        <w:t xml:space="preserve"> En esta oportunidad procesal</w:t>
      </w:r>
      <w:r w:rsidRPr="006A7DC8">
        <w:rPr>
          <w:highlight w:val="cyan"/>
          <w:lang w:val="es-AR"/>
        </w:rPr>
        <w:t>, se solicita</w:t>
      </w:r>
      <w:r w:rsidR="006A7DC8" w:rsidRPr="006A7DC8">
        <w:rPr>
          <w:highlight w:val="cyan"/>
          <w:lang w:val="es-AR"/>
        </w:rPr>
        <w:t xml:space="preserve"> y </w:t>
      </w:r>
      <w:proofErr w:type="gramStart"/>
      <w:r w:rsidR="006A7DC8" w:rsidRPr="006A7DC8">
        <w:rPr>
          <w:highlight w:val="cyan"/>
          <w:lang w:val="es-AR"/>
        </w:rPr>
        <w:t>sostiene</w:t>
      </w:r>
      <w:r w:rsidR="006A7DC8">
        <w:rPr>
          <w:lang w:val="es-AR"/>
        </w:rPr>
        <w:t xml:space="preserve"> </w:t>
      </w:r>
      <w:r w:rsidRPr="00B8106E">
        <w:rPr>
          <w:lang w:val="es-AR"/>
        </w:rPr>
        <w:t xml:space="preserve"> la</w:t>
      </w:r>
      <w:proofErr w:type="gramEnd"/>
      <w:r w:rsidRPr="00B8106E">
        <w:rPr>
          <w:lang w:val="es-AR"/>
        </w:rPr>
        <w:t xml:space="preserve">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w:t>
      </w:r>
      <w:r w:rsidRPr="006A7DC8">
        <w:rPr>
          <w:highlight w:val="cyan"/>
          <w:lang w:val="es-AR"/>
        </w:rPr>
        <w:t>presentan un carácter netamente regresivo, como lo demuestra la pérdida sufrida en</w:t>
      </w:r>
      <w:r w:rsidR="006A7DC8" w:rsidRPr="006A7DC8">
        <w:rPr>
          <w:highlight w:val="cyan"/>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lastRenderedPageBreak/>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3"/>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8E5534">
      <w:pPr>
        <w:autoSpaceDE w:val="0"/>
        <w:autoSpaceDN w:val="0"/>
        <w:adjustRightInd w:val="0"/>
        <w:jc w:val="both"/>
      </w:pPr>
      <w:r w:rsidRPr="00F900A3">
        <w:rPr>
          <w:highlight w:val="yellow"/>
        </w:rPr>
        <w:t>Solicito</w:t>
      </w:r>
      <w:r w:rsidR="005C0B8B" w:rsidRPr="00F900A3">
        <w:rPr>
          <w:highlight w:val="yellow"/>
        </w:rPr>
        <w:t xml:space="preserve"> tome </w:t>
      </w:r>
      <w:r w:rsidRPr="00F900A3">
        <w:rPr>
          <w:highlight w:val="yellow"/>
        </w:rPr>
        <w:t xml:space="preserve">como base regulatoria la suma de 225.43</w:t>
      </w:r>
      <w:r w:rsidR="001E4C47" w:rsidRPr="00F900A3">
        <w:rPr>
          <w:highlight w:val="yellow"/>
        </w:rPr>
        <w:t xml:space="preserve"> UMA</w:t>
      </w:r>
      <w:r w:rsidRPr="00F900A3">
        <w:rPr>
          <w:highlight w:val="yellow"/>
        </w:rPr>
        <w:t xml:space="preserve">, teniendo en cuenta que el valor del UMA a la fecha de cierre de la liquidación, $70.709,00 y el monto reclamado $15.940.102,94,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F900A3">
        <w:rPr>
          <w:highlight w:val="yellow"/>
        </w:rPr>
        <w:t xml:space="preserve"> </w:t>
      </w:r>
      <w:r w:rsidR="00624ABB" w:rsidRPr="00F900A3">
        <w:rPr>
          <w:highlight w:val="yellow"/>
        </w:rP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1ra </w:t>
            </w:r>
            <w:r>
              <w:t xml:space="preserve">Liquidacion: </w:t>
            </w:r>
            <w:proofErr w:type="gramStart"/>
            <w:r w:rsidRPr="004D0A71">
              <w:t xml:space="preserve">$15.940.102,94</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225.43</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2da </w:t>
            </w:r>
            <w:r>
              <w:t xml:space="preserve">Liquidacion: </w:t>
            </w:r>
            <w:proofErr w:type="gramStart"/>
            <w:r w:rsidRPr="004D0A71">
              <w:t xml:space="preserve">$18.293.633,25</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258.72</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3ra </w:t>
            </w:r>
            <w:r>
              <w:t xml:space="preserve">Liquidacion: </w:t>
            </w:r>
            <w:proofErr w:type="gramStart"/>
            <w:r w:rsidRPr="004D0A71">
              <w:t xml:space="preserve">$18.287.172,48</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258.63</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4ta </w:t>
            </w:r>
            <w:r>
              <w:t xml:space="preserve">Liquidacion: </w:t>
            </w:r>
            <w:proofErr w:type="gramStart"/>
            <w:r w:rsidRPr="004D0A71">
              <w:t xml:space="preserve">$35.789.446,16</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506.15</w:t>
            </w:r>
          </w:p>
        </w:tc>
      </w:tr>
    </w:tbl>
    <w:p w14:paraId="46E7A5EF" w14:textId="1CB6F3F8" w:rsidR="0049655B" w:rsidRDefault="00BD5843" w:rsidP="008E5534">
      <w:pPr>
        <w:autoSpaceDE w:val="0"/>
        <w:autoSpaceDN w:val="0"/>
        <w:adjustRightInd w:val="0"/>
        <w:jc w:val="both"/>
      </w:pPr>
      <w:r>
        <w:t xml:space="preserve"/>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310322"/>
            <wp:docPr id="1004" name="Picture 1004"/>
            <wp:cNvGraphicFramePr>
              <a:graphicFrameLocks noChangeAspect="1"/>
            </wp:cNvGraphicFramePr>
            <a:graphic>
              <a:graphicData uri="http://schemas.openxmlformats.org/drawingml/2006/picture">
                <pic:pic>
                  <pic:nvPicPr>
                    <pic:cNvPr id="0" name="temp_liquidacion.png"/>
                    <pic:cNvPicPr/>
                  </pic:nvPicPr>
                  <pic:blipFill>
                    <a:blip r:embed="rId28"/>
                    <a:stretch>
                      <a:fillRect/>
                    </a:stretch>
                  </pic:blipFill>
                  <pic:spPr>
                    <a:xfrm>
                      <a:off x="0" y="0"/>
                      <a:ext cx="4572000" cy="4310322"/>
                    </a:xfrm>
                    <a:prstGeom prst="rect"/>
                  </pic:spPr>
                </pic:pic>
              </a:graphicData>
            </a:graphic>
          </wp:inline>
        </w:drawing>
      </w: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gramStart"/>
      <w:r>
        <w:t>abogados:Av.</w:t>
      </w:r>
      <w:proofErr w:type="gramEnd"/>
      <w:r>
        <w:t xml:space="preserve"> Sarmiento N º 302/308 de la ciudad de </w:t>
      </w:r>
      <w:proofErr w:type="gramStart"/>
      <w:r>
        <w:t xml:space="preserve">Salta,  domicilio</w:t>
      </w:r>
      <w:proofErr w:type="gramEnd"/>
      <w:r>
        <w:t xml:space="preserve">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10" w:name="_Hlk73292622"/>
    </w:p>
    <w:bookmarkEnd w:id="10"/>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11"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11"/>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anco Galván" w:date="2025-05-21T17:57:00Z" w:initials="FG">
    <w:p w14:paraId="0D23CD58" w14:textId="77777777" w:rsidR="00A75D89" w:rsidRDefault="00A75D89" w:rsidP="00A75D89">
      <w:pPr>
        <w:pStyle w:val="Textocomentario"/>
      </w:pPr>
      <w:r>
        <w:rPr>
          <w:rStyle w:val="Refdecomentario"/>
        </w:rPr>
        <w:annotationRef/>
      </w:r>
      <w:r>
        <w:rPr>
          <w:lang w:val="es-AR"/>
        </w:rPr>
        <w:t>Analizar la fecha de sentencia y si dijo algo de marquez o no, si tiene marquez , hay que poner sostengo inco de 27609 y planteo inco de dcreto 274-24. si tiene caliva ya tiene la inco de 27541 y de fernanddez pastor, entonces no la planteo solo la sostengo , si en periodo las comprende.</w:t>
      </w:r>
    </w:p>
  </w:comment>
  <w:comment w:id="2" w:author="Franco Galván" w:date="2025-05-21T17:58:00Z" w:initials="FG">
    <w:p w14:paraId="5F807566" w14:textId="77777777" w:rsidR="00614BEF" w:rsidRDefault="00614BEF" w:rsidP="00614BEF">
      <w:pPr>
        <w:pStyle w:val="Textocomentario"/>
      </w:pPr>
      <w:r>
        <w:rPr>
          <w:rStyle w:val="Refdecomentario"/>
        </w:rPr>
        <w:annotationRef/>
      </w:r>
      <w:r>
        <w:rPr>
          <w:lang w:val="es-AR"/>
        </w:rPr>
        <w:t xml:space="preserve">Al proceso principal por cuanto se fijaron las costas a la demandada Anses en pimera instancia, y se regulen los honorarios de este incidencia previa. </w:t>
      </w:r>
    </w:p>
  </w:comment>
  <w:comment w:id="4"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5"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6"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8"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9"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CD58" w15:done="0"/>
  <w15:commentEx w15:paraId="5F807566" w15:done="0"/>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F21CFE" w16cex:dateUtc="2025-05-21T20:57:00Z"/>
  <w16cex:commentExtensible w16cex:durableId="0E18B334" w16cex:dateUtc="2025-05-21T20:58:00Z"/>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CD58" w16cid:durableId="5FF21CFE"/>
  <w16cid:commentId w16cid:paraId="5F807566" w16cid:durableId="0E18B33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5781"/>
    <w:rsid w:val="002B5D20"/>
    <w:rsid w:val="002C3164"/>
    <w:rsid w:val="002C54BD"/>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ios.infoleg.gob.ar/infolegInternet/anexos/40000-44999/44974/texact.htm"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20</Pages>
  <Words>7730</Words>
  <Characters>43221</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50850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82</cp:revision>
  <cp:lastPrinted>2023-01-02T11:50:00Z</cp:lastPrinted>
  <dcterms:created xsi:type="dcterms:W3CDTF">2024-12-19T15:49:00Z</dcterms:created>
  <dcterms:modified xsi:type="dcterms:W3CDTF">2025-06-11T14:07:00Z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