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endif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w:t>
      </w:r>
      <w:r w:rsidR="009F35E9">
        <w:t xml:space="preserve"> if ley_27609_Si or ley_27541_Si or ley_27426_Si %}</w:t>
      </w:r>
    </w:p>
    <w:p w14:paraId="2188C16D" w14:textId="2C8719FF" w:rsidR="00593286" w:rsidRDefault="009F35E9" w:rsidP="005C0B8B">
      <w:pPr>
        <w:numPr>
          <w:ilvl w:val="0"/>
          <w:numId w:val="18"/>
        </w:numPr>
        <w:autoSpaceDE w:val="0"/>
        <w:autoSpaceDN w:val="0"/>
        <w:adjustRightInd w:val="0"/>
        <w:jc w:val="both"/>
      </w:pPr>
      <w:r>
        <w:t>Dejo planteada la inconstitucionalidad de la {% if ley_27609_Si %} ley 27.609 {% endif %}{% if ley_27541_Si %}, ley 27.541 {% endif %}{% if ley_27426_Si %}, ley 27.426 {% endif %}.{% endif %}</w:t>
      </w:r>
    </w:p>
    <w:p w14:paraId="63714754" w14:textId="77777777" w:rsidR="00284613" w:rsidRDefault="00284613" w:rsidP="005C0B8B">
      <w:pPr>
        <w:autoSpaceDE w:val="0"/>
        <w:autoSpaceDN w:val="0"/>
        <w:adjustRightInd w:val="0"/>
        <w:ind w:left="720"/>
        <w:jc w:val="both"/>
      </w:pP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w:t>
      </w:r>
      <w:r w:rsidRPr="003E4E89">
        <w:lastRenderedPageBreak/>
        <w:t>Unidades de Medida Arancelaria (UMA), según el artículo 51, siendo el pago definitivo al abonarse el equivalente en UMA vigente. Solicito que se consideren los intereses, frutos y accesorios como parte de la base regulatoria</w:t>
      </w:r>
      <w:r>
        <w:t>.</w:t>
      </w:r>
      <w:r w:rsidR="00DA3FC8">
        <w:t>{</w:t>
      </w:r>
      <w:r w:rsidR="000F370A">
        <w:t xml:space="preserve">% if </w:t>
      </w:r>
      <w:r w:rsidR="000F370A" w:rsidRPr="000F370A">
        <w:t>Edad_Avanzada_Si</w:t>
      </w:r>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r w:rsidRPr="003E4E89">
          <w:rPr>
            <w:rStyle w:val="Hipervnculo"/>
          </w:rPr>
          <w:t>N° 56/97</w:t>
        </w:r>
      </w:hyperlink>
      <w:r w:rsidRPr="003E4E89">
        <w:t>. Asimismo, solicito que se notifique expresamente esta resolución a la demandada ANSES y se la intime a otorgar trámite prioritario al expediente administrativo correspondiente.</w:t>
      </w:r>
      <w:r w:rsidR="001957BB">
        <w:t>{% endif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5C0B8B">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endif %}</w:t>
      </w:r>
      <w:r w:rsidR="00B44D48">
        <w:t xml:space="preserve"> {% if Badaro_Si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endif %} </w:t>
      </w:r>
      <w:r w:rsidR="00D16CF3">
        <w:t>{% if Badaro_Si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endif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5C0B8B">
      <w:pPr>
        <w:autoSpaceDE w:val="0"/>
        <w:autoSpaceDN w:val="0"/>
        <w:adjustRightInd w:val="0"/>
        <w:jc w:val="both"/>
      </w:pPr>
      <w:r w:rsidRPr="008E4D93">
        <w:rPr>
          <w:b/>
          <w:bCs/>
        </w:rPr>
        <w:t>Opción 1 {% endif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5C0B8B">
      <w:pPr>
        <w:autoSpaceDE w:val="0"/>
        <w:autoSpaceDN w:val="0"/>
        <w:adjustRightInd w:val="0"/>
        <w:jc w:val="both"/>
      </w:pPr>
      <w:r>
        <w:t xml:space="preserve">{% if </w:t>
      </w:r>
      <w:r w:rsidRPr="008E4D93">
        <w:t>Segunda_Liquidacion_Si</w:t>
      </w:r>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5C0B8B">
      <w:pPr>
        <w:autoSpaceDE w:val="0"/>
        <w:autoSpaceDN w:val="0"/>
        <w:adjustRightInd w:val="0"/>
        <w:jc w:val="both"/>
      </w:pPr>
      <w:r>
        <w:t>{% endif %}</w:t>
      </w:r>
    </w:p>
    <w:p w14:paraId="1BFB6399" w14:textId="50214A2B" w:rsidR="007544B2" w:rsidRDefault="005F61CE" w:rsidP="005C0B8B">
      <w:pPr>
        <w:autoSpaceDE w:val="0"/>
        <w:autoSpaceDN w:val="0"/>
        <w:adjustRightInd w:val="0"/>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r>
              <w:t>Dif</w:t>
            </w:r>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r>
              <w:t>}}</w:t>
            </w:r>
            <w:r w:rsidR="00B82510">
              <w:t>%</w:t>
            </w:r>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if IPC_Liquidacion_Si and </w:t>
      </w:r>
      <w:r w:rsidRPr="008E4D93">
        <w:t>Segunda_Liquidacion_Si</w:t>
      </w:r>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r>
              <w:t>Dif</w:t>
            </w:r>
          </w:p>
        </w:tc>
        <w:tc>
          <w:tcPr>
            <w:tcW w:w="1972" w:type="dxa"/>
            <w:shd w:val="clear" w:color="auto" w:fill="auto"/>
          </w:tcPr>
          <w:p w14:paraId="673F6AA9" w14:textId="551E00E6" w:rsidR="009A6E2F" w:rsidRDefault="009A6E2F" w:rsidP="005C0B8B">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r w:rsidR="00163618">
        <w:rPr>
          <w:color w:val="000000"/>
        </w:rPr>
        <w:t xml:space="preserve">{% if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BC06B9" w:rsidRDefault="001D02DD" w:rsidP="005C0B8B">
      <w:pPr>
        <w:autoSpaceDE w:val="0"/>
        <w:autoSpaceDN w:val="0"/>
        <w:adjustRightInd w:val="0"/>
        <w:ind w:firstLine="851"/>
        <w:jc w:val="both"/>
        <w:rPr>
          <w:rFonts w:eastAsia="Calibri"/>
          <w:u w:val="single"/>
          <w:lang w:val="es-AR"/>
        </w:rPr>
      </w:pPr>
      <w:r w:rsidRPr="00BC06B9">
        <w:rPr>
          <w:rFonts w:eastAsia="Calibri"/>
          <w:u w:val="single"/>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1B39ECB4" w14:textId="77777777" w:rsidR="001D02DD" w:rsidRPr="00BC06B9" w:rsidRDefault="001D02DD" w:rsidP="005C0B8B">
      <w:pPr>
        <w:autoSpaceDE w:val="0"/>
        <w:autoSpaceDN w:val="0"/>
        <w:adjustRightInd w:val="0"/>
        <w:ind w:firstLine="851"/>
        <w:jc w:val="both"/>
        <w:rPr>
          <w:rFonts w:eastAsia="Calibri"/>
          <w:u w:val="single"/>
          <w:lang w:val="es-AR"/>
        </w:rPr>
      </w:pPr>
      <w:r w:rsidRPr="00BC06B9">
        <w:rPr>
          <w:rFonts w:eastAsia="Calibri"/>
          <w:u w:val="single"/>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BC06B9" w:rsidRDefault="001D02DD" w:rsidP="005C0B8B">
      <w:pPr>
        <w:autoSpaceDE w:val="0"/>
        <w:autoSpaceDN w:val="0"/>
        <w:adjustRightInd w:val="0"/>
        <w:ind w:firstLine="851"/>
        <w:jc w:val="both"/>
        <w:rPr>
          <w:rFonts w:eastAsia="Calibri"/>
          <w:u w:val="single"/>
          <w:lang w:val="es-AR"/>
        </w:rPr>
      </w:pPr>
      <w:r w:rsidRPr="00BC06B9">
        <w:rPr>
          <w:rFonts w:eastAsia="Calibri"/>
          <w:u w:val="single"/>
          <w:lang w:val="es-AR"/>
        </w:rPr>
        <w:t>Los fallos “Márquez” y “Cendán”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345944" w:rsidRDefault="001D02DD" w:rsidP="005C0B8B">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Pr="00BC06B9" w:rsidRDefault="001D02DD" w:rsidP="005C0B8B">
      <w:pPr>
        <w:pStyle w:val="NormalWeb"/>
        <w:ind w:firstLine="709"/>
        <w:jc w:val="both"/>
        <w:rPr>
          <w:u w:val="single"/>
        </w:rPr>
      </w:pPr>
      <w:r w:rsidRPr="00BC06B9">
        <w:rPr>
          <w:u w:val="single"/>
        </w:rP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06B9" w:rsidRDefault="001D02DD" w:rsidP="005C0B8B">
      <w:pPr>
        <w:pStyle w:val="NormalWeb"/>
        <w:ind w:firstLine="709"/>
        <w:jc w:val="both"/>
        <w:rPr>
          <w:u w:val="single"/>
        </w:rPr>
      </w:pPr>
      <w:r w:rsidRPr="00BC06B9">
        <w:rPr>
          <w:u w:val="single"/>
        </w:rP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06B9" w:rsidRDefault="001D02DD" w:rsidP="005C0B8B">
      <w:pPr>
        <w:pStyle w:val="NormalWeb"/>
        <w:ind w:firstLine="709"/>
        <w:jc w:val="both"/>
        <w:rPr>
          <w:u w:val="single"/>
        </w:rPr>
      </w:pPr>
      <w:r w:rsidRPr="00BC06B9">
        <w:rPr>
          <w:u w:val="single"/>
        </w:rPr>
        <w:t>Como lo ha sostenido la Corte Suprema de Justicia de la Nación:</w:t>
      </w:r>
      <w:r w:rsidRPr="00BC06B9">
        <w:rPr>
          <w:u w:val="single"/>
        </w:rPr>
        <w:br/>
      </w:r>
      <w:r w:rsidRPr="00BC06B9">
        <w:rPr>
          <w:rStyle w:val="nfasis"/>
          <w:u w:val="single"/>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06B9">
        <w:rPr>
          <w:u w:val="single"/>
        </w:rP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06B9" w:rsidRDefault="001D02DD" w:rsidP="005C0B8B">
      <w:pPr>
        <w:pStyle w:val="NormalWeb"/>
        <w:ind w:firstLine="709"/>
        <w:jc w:val="both"/>
        <w:rPr>
          <w:u w:val="single"/>
        </w:rPr>
      </w:pPr>
      <w:r w:rsidRPr="00BC06B9">
        <w:rPr>
          <w:u w:val="single"/>
        </w:rP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06B9" w:rsidRDefault="001D02DD" w:rsidP="005C0B8B">
      <w:pPr>
        <w:pStyle w:val="NormalWeb"/>
        <w:ind w:firstLine="709"/>
        <w:jc w:val="both"/>
        <w:rPr>
          <w:u w:val="single"/>
        </w:rPr>
      </w:pPr>
      <w:r w:rsidRPr="00BC06B9">
        <w:rPr>
          <w:u w:val="single"/>
        </w:rP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06B9" w:rsidRDefault="001D02DD" w:rsidP="005C0B8B">
      <w:pPr>
        <w:pStyle w:val="NormalWeb"/>
        <w:ind w:firstLine="709"/>
        <w:jc w:val="both"/>
        <w:rPr>
          <w:u w:val="single"/>
        </w:rPr>
      </w:pPr>
      <w:r w:rsidRPr="00BC06B9">
        <w:rPr>
          <w:u w:val="single"/>
        </w:rPr>
        <w:t>Como sostuvo la Corte Suprema de Justicia de la Nación en Fallos 301:317:</w:t>
      </w:r>
      <w:r w:rsidRPr="00BC06B9">
        <w:rPr>
          <w:rStyle w:val="nfasis"/>
          <w:u w:val="single"/>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06B9">
        <w:rPr>
          <w:u w:val="single"/>
        </w:rPr>
        <w:t xml:space="preserve"> (el subrayado me pertenece).</w:t>
      </w:r>
    </w:p>
    <w:p w14:paraId="4336B917" w14:textId="77777777" w:rsidR="001D02DD" w:rsidRPr="00BC06B9" w:rsidRDefault="001D02DD" w:rsidP="005C0B8B">
      <w:pPr>
        <w:pStyle w:val="NormalWeb"/>
        <w:ind w:firstLine="709"/>
        <w:jc w:val="both"/>
        <w:rPr>
          <w:u w:val="single"/>
        </w:rPr>
      </w:pPr>
      <w:r w:rsidRPr="00BC06B9">
        <w:rPr>
          <w:u w:val="single"/>
        </w:rP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Pr="00BC06B9" w:rsidRDefault="001D02DD" w:rsidP="005C0B8B">
      <w:pPr>
        <w:pStyle w:val="NormalWeb"/>
        <w:ind w:firstLine="709"/>
        <w:jc w:val="both"/>
        <w:rPr>
          <w:u w:val="single"/>
        </w:rPr>
      </w:pPr>
      <w:r w:rsidRPr="00BC06B9">
        <w:rPr>
          <w:u w:val="single"/>
        </w:rP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BC06B9" w:rsidRDefault="00B82510" w:rsidP="005C0B8B">
      <w:pPr>
        <w:ind w:firstLine="1560"/>
        <w:jc w:val="both"/>
        <w:rPr>
          <w:rFonts w:eastAsia="Calibri"/>
          <w:u w:val="single"/>
        </w:rPr>
      </w:pPr>
      <w:r w:rsidRPr="00BC06B9">
        <w:rPr>
          <w:u w:val="single"/>
          <w:lang w:eastAsia="es-MX"/>
        </w:rPr>
        <w:t>Los  bonos otorgados a las jubilaciones mínimas</w:t>
      </w:r>
      <w:r w:rsidR="001D02DD" w:rsidRPr="00BC06B9">
        <w:rPr>
          <w:u w:val="single"/>
          <w:lang w:eastAsia="es-MX"/>
        </w:rPr>
        <w:t xml:space="preserve"> en vigencia de la ley 27.609, </w:t>
      </w:r>
      <w:r w:rsidRPr="00BC06B9">
        <w:rPr>
          <w:u w:val="single"/>
          <w:lang w:eastAsia="es-MX"/>
        </w:rPr>
        <w:t xml:space="preserve">  parecería colocar a los jubilados en una situación similar a lo que sucedió en el período 2002 a 2006 que obligó a que la CSJN dictara el fallo  Badaro (</w:t>
      </w:r>
      <w:hyperlink r:id="rId9">
        <w:r w:rsidRPr="00BC06B9">
          <w:rPr>
            <w:color w:val="0563C1"/>
            <w:u w:val="single"/>
            <w:lang w:eastAsia="es-MX"/>
          </w:rPr>
          <w:t>330:4866</w:t>
        </w:r>
      </w:hyperlink>
      <w:r w:rsidRPr="00BC06B9">
        <w:rPr>
          <w:u w:val="single"/>
          <w:lang w:eastAsia="es-MX"/>
        </w:rPr>
        <w:t xml:space="preserve">) y eligiera un índice salarial </w:t>
      </w:r>
      <w:r w:rsidR="001D02DD" w:rsidRPr="00BC06B9">
        <w:rPr>
          <w:u w:val="single"/>
          <w:lang w:eastAsia="es-MX"/>
        </w:rPr>
        <w:t xml:space="preserve">para </w:t>
      </w:r>
      <w:r w:rsidRPr="00BC06B9">
        <w:rPr>
          <w:u w:val="single"/>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06B9">
        <w:rPr>
          <w:rFonts w:eastAsia="Calibri"/>
          <w:u w:val="single"/>
        </w:rPr>
        <w:t>, por lo que los índices salariales, salvo el UMA, no refleja una variación real de los salarios y están muy alejados de la inflación</w:t>
      </w:r>
      <w:r w:rsidR="001D02DD" w:rsidRPr="00BC06B9">
        <w:rPr>
          <w:rFonts w:eastAsia="Calibri"/>
          <w:u w:val="single"/>
        </w:rPr>
        <w:t xml:space="preserve"> en mayores periodos inflacionarios.</w:t>
      </w:r>
    </w:p>
    <w:p w14:paraId="569D1F01" w14:textId="27AD4090" w:rsidR="00B82510" w:rsidRPr="00BC06B9" w:rsidRDefault="00B82510" w:rsidP="005C0B8B">
      <w:pPr>
        <w:ind w:firstLine="1560"/>
        <w:jc w:val="both"/>
        <w:rPr>
          <w:u w:val="single"/>
          <w:lang w:eastAsia="es-MX"/>
        </w:rPr>
      </w:pPr>
    </w:p>
    <w:p w14:paraId="64BB3BC8" w14:textId="422BBA42" w:rsidR="00B82510" w:rsidRPr="00BC06B9" w:rsidRDefault="00B82510" w:rsidP="005C0B8B">
      <w:pPr>
        <w:ind w:firstLine="1560"/>
        <w:jc w:val="both"/>
        <w:rPr>
          <w:bCs/>
          <w:u w:val="single"/>
          <w:lang w:eastAsia="es-MX"/>
        </w:rPr>
      </w:pPr>
      <w:r w:rsidRPr="00BC06B9">
        <w:rPr>
          <w:rFonts w:eastAsia="Calibri"/>
          <w:u w:val="single"/>
        </w:rPr>
        <w:t xml:space="preserve">Solicito analice el pedido de inconstitucionalidad teniendo en cuenta el desarrollo que hace la CSJN sobre el  </w:t>
      </w:r>
      <w:hyperlink r:id="rId10" w:history="1">
        <w:r w:rsidRPr="00BC06B9">
          <w:rPr>
            <w:rFonts w:eastAsia="Calibri"/>
            <w:color w:val="0563C1"/>
            <w:u w:val="single"/>
          </w:rPr>
          <w:t>principio de progresividad</w:t>
        </w:r>
      </w:hyperlink>
      <w:r w:rsidRPr="00BC06B9">
        <w:rPr>
          <w:rFonts w:eastAsia="Calibri"/>
          <w:u w:val="single"/>
        </w:rPr>
        <w:t xml:space="preserve"> en materia previsional  y e</w:t>
      </w:r>
      <w:r w:rsidRPr="00BC06B9">
        <w:rPr>
          <w:rFonts w:eastAsia="Calibri"/>
          <w:color w:val="333333"/>
          <w:u w:val="single"/>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C06B9">
        <w:rPr>
          <w:rFonts w:eastAsia="Calibri"/>
          <w:i/>
          <w:u w:val="single"/>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C06B9">
        <w:rPr>
          <w:rFonts w:eastAsia="Calibri"/>
          <w:u w:val="single"/>
        </w:rPr>
        <w:t xml:space="preserve"> (</w:t>
      </w:r>
      <w:hyperlink r:id="rId11" w:history="1">
        <w:r w:rsidRPr="00BC06B9">
          <w:rPr>
            <w:rFonts w:eastAsia="Calibri"/>
            <w:color w:val="0563C1"/>
            <w:u w:val="single"/>
          </w:rPr>
          <w:t>Fallos: 307: 2376</w:t>
        </w:r>
      </w:hyperlink>
      <w:r w:rsidRPr="00BC06B9">
        <w:rPr>
          <w:rFonts w:eastAsia="Calibri"/>
          <w:u w:val="single"/>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BC06B9">
        <w:rPr>
          <w:rFonts w:eastAsia="Calibri"/>
          <w:u w:val="single"/>
        </w:rPr>
        <w:t xml:space="preserve"> </w:t>
      </w:r>
      <w:r w:rsidRPr="00BC06B9">
        <w:rPr>
          <w:rFonts w:eastAsia="Calibri"/>
          <w:u w:val="single"/>
        </w:rPr>
        <w:t>en</w:t>
      </w:r>
      <w:r w:rsidR="001D02DD" w:rsidRPr="00BC06B9">
        <w:rPr>
          <w:rFonts w:eastAsia="Calibri"/>
          <w:u w:val="single"/>
        </w:rPr>
        <w:t xml:space="preserve"> </w:t>
      </w:r>
      <w:r w:rsidRPr="00BC06B9">
        <w:rPr>
          <w:rFonts w:eastAsia="Calibri"/>
          <w:u w:val="single"/>
        </w:rPr>
        <w:t xml:space="preserve">los </w:t>
      </w:r>
      <w:r w:rsidRPr="00BC06B9">
        <w:rPr>
          <w:rFonts w:eastAsia="Calibri"/>
          <w:u w:val="single"/>
          <w:lang w:eastAsia="es-AR"/>
        </w:rPr>
        <w:t>Fallos</w:t>
      </w:r>
      <w:r w:rsidR="001D02DD" w:rsidRPr="00BC06B9">
        <w:rPr>
          <w:rFonts w:eastAsia="Calibri"/>
          <w:u w:val="single"/>
          <w:lang w:eastAsia="es-AR"/>
        </w:rPr>
        <w:t xml:space="preserve"> </w:t>
      </w:r>
      <w:hyperlink r:id="rId12" w:history="1">
        <w:r w:rsidRPr="00BC06B9">
          <w:rPr>
            <w:rFonts w:eastAsia="Calibri"/>
            <w:color w:val="0563C1"/>
            <w:u w:val="single"/>
            <w:lang w:eastAsia="es-AR"/>
          </w:rPr>
          <w:t>“Itzcovich”(</w:t>
        </w:r>
      </w:hyperlink>
      <w:r w:rsidRPr="00BC06B9">
        <w:rPr>
          <w:rFonts w:eastAsia="Calibri"/>
          <w:u w:val="single"/>
          <w:lang w:eastAsia="es-AR"/>
        </w:rPr>
        <w:t>328:566),</w:t>
      </w:r>
      <w:hyperlink r:id="rId13" w:history="1">
        <w:r w:rsidRPr="00BC06B9">
          <w:rPr>
            <w:rFonts w:eastAsia="Calibri"/>
            <w:color w:val="0563C1"/>
            <w:u w:val="single"/>
            <w:lang w:eastAsia="es-AR"/>
          </w:rPr>
          <w:t>“Sánchez”</w:t>
        </w:r>
      </w:hyperlink>
      <w:r w:rsidRPr="00BC06B9">
        <w:rPr>
          <w:rFonts w:eastAsia="Calibri"/>
          <w:u w:val="single"/>
          <w:lang w:eastAsia="es-AR"/>
        </w:rPr>
        <w:t>(328:1602),</w:t>
      </w:r>
      <w:hyperlink r:id="rId14" w:history="1">
        <w:r w:rsidRPr="00BC06B9">
          <w:rPr>
            <w:rFonts w:eastAsia="Calibri"/>
            <w:color w:val="0563C1"/>
            <w:u w:val="single"/>
            <w:lang w:eastAsia="es-AR"/>
          </w:rPr>
          <w:t>“Badaro”(</w:t>
        </w:r>
      </w:hyperlink>
      <w:r w:rsidRPr="00BC06B9">
        <w:rPr>
          <w:rFonts w:eastAsia="Calibri"/>
          <w:u w:val="single"/>
          <w:lang w:eastAsia="es-AR"/>
        </w:rPr>
        <w:t>330:4866),</w:t>
      </w:r>
      <w:bookmarkStart w:id="2" w:name="_Hlk157989214"/>
      <w:r w:rsidRPr="00BC06B9">
        <w:rPr>
          <w:rFonts w:ascii="Calibri" w:eastAsia="Calibri" w:hAnsi="Calibri"/>
          <w:sz w:val="22"/>
          <w:szCs w:val="22"/>
          <w:u w:val="single"/>
          <w:lang w:eastAsia="en-US"/>
        </w:rPr>
        <w:fldChar w:fldCharType="begin"/>
      </w:r>
      <w:r w:rsidRPr="00BC06B9">
        <w:rPr>
          <w:rFonts w:ascii="Calibri" w:eastAsia="Calibri" w:hAnsi="Calibri"/>
          <w:u w:val="single"/>
        </w:rPr>
        <w:instrText>HYPERLINK "https://sjconsulta.csjn.gov.ar/sjconsulta/documentos/verDocumentoByIdLinksJSP.html?idDocumento=7496611"</w:instrText>
      </w:r>
      <w:r w:rsidRPr="00BC06B9">
        <w:rPr>
          <w:rFonts w:ascii="Calibri" w:eastAsia="Calibri" w:hAnsi="Calibri"/>
          <w:sz w:val="22"/>
          <w:szCs w:val="22"/>
          <w:u w:val="single"/>
          <w:lang w:eastAsia="en-US"/>
        </w:rPr>
      </w:r>
      <w:r w:rsidRPr="00BC06B9">
        <w:rPr>
          <w:rFonts w:ascii="Calibri" w:eastAsia="Calibri" w:hAnsi="Calibri"/>
          <w:sz w:val="22"/>
          <w:szCs w:val="22"/>
          <w:u w:val="single"/>
          <w:lang w:eastAsia="en-US"/>
        </w:rPr>
        <w:fldChar w:fldCharType="separate"/>
      </w:r>
      <w:r w:rsidRPr="00BC06B9">
        <w:rPr>
          <w:rFonts w:eastAsia="Calibri"/>
          <w:color w:val="0563C1"/>
          <w:u w:val="single"/>
          <w:lang w:eastAsia="es-AR"/>
        </w:rPr>
        <w:t>“Blanco”(</w:t>
      </w:r>
      <w:r w:rsidRPr="00BC06B9">
        <w:rPr>
          <w:rFonts w:eastAsia="Calibri"/>
          <w:color w:val="0563C1"/>
          <w:u w:val="single"/>
          <w:lang w:eastAsia="es-AR"/>
        </w:rPr>
        <w:fldChar w:fldCharType="end"/>
      </w:r>
      <w:r w:rsidRPr="00BC06B9">
        <w:rPr>
          <w:rFonts w:eastAsia="Calibri"/>
          <w:u w:val="single"/>
          <w:lang w:eastAsia="es-AR"/>
        </w:rPr>
        <w:t>341:1924)</w:t>
      </w:r>
      <w:bookmarkEnd w:id="2"/>
      <w:r w:rsidRPr="00BC06B9">
        <w:rPr>
          <w:rFonts w:ascii="Calibri" w:eastAsia="Calibri" w:hAnsi="Calibri"/>
          <w:sz w:val="22"/>
          <w:szCs w:val="22"/>
          <w:u w:val="single"/>
          <w:lang w:eastAsia="en-US"/>
        </w:rPr>
        <w:fldChar w:fldCharType="begin"/>
      </w:r>
      <w:r w:rsidRPr="00BC06B9">
        <w:rPr>
          <w:rFonts w:ascii="Calibri" w:eastAsia="Calibri" w:hAnsi="Calibri"/>
          <w:u w:val="single"/>
        </w:rPr>
        <w:instrText>HYPERLINK "https://sjconsulta.csjn.gov.ar/sjconsulta/documentos/verDocumentoByIdLinksJSP.html?idDocumento=7678911"</w:instrText>
      </w:r>
      <w:r w:rsidRPr="00BC06B9">
        <w:rPr>
          <w:rFonts w:ascii="Calibri" w:eastAsia="Calibri" w:hAnsi="Calibri"/>
          <w:sz w:val="22"/>
          <w:szCs w:val="22"/>
          <w:u w:val="single"/>
          <w:lang w:eastAsia="en-US"/>
        </w:rPr>
      </w:r>
      <w:r w:rsidRPr="00BC06B9">
        <w:rPr>
          <w:rFonts w:ascii="Calibri" w:eastAsia="Calibri" w:hAnsi="Calibri"/>
          <w:sz w:val="22"/>
          <w:szCs w:val="22"/>
          <w:u w:val="single"/>
          <w:lang w:eastAsia="en-US"/>
        </w:rPr>
        <w:fldChar w:fldCharType="separate"/>
      </w:r>
      <w:r w:rsidRPr="00BC06B9">
        <w:rPr>
          <w:rFonts w:eastAsia="Calibri"/>
          <w:color w:val="0563C1"/>
          <w:u w:val="single"/>
          <w:lang w:eastAsia="es-AR"/>
        </w:rPr>
        <w:t>“Giménez”(</w:t>
      </w:r>
      <w:r w:rsidRPr="00BC06B9">
        <w:rPr>
          <w:rFonts w:eastAsia="Calibri"/>
          <w:color w:val="0563C1"/>
          <w:u w:val="single"/>
          <w:lang w:eastAsia="es-AR"/>
        </w:rPr>
        <w:fldChar w:fldCharType="end"/>
      </w:r>
      <w:r w:rsidRPr="00BC06B9">
        <w:rPr>
          <w:rFonts w:eastAsia="Calibri"/>
          <w:u w:val="single"/>
          <w:lang w:eastAsia="es-AR"/>
        </w:rPr>
        <w:t>344:1788), “</w:t>
      </w:r>
      <w:hyperlink r:id="rId15" w:history="1">
        <w:r w:rsidRPr="00BC06B9">
          <w:rPr>
            <w:rFonts w:eastAsia="Calibri"/>
            <w:color w:val="0563C1"/>
            <w:u w:val="single"/>
            <w:lang w:eastAsia="es-AR"/>
          </w:rPr>
          <w:t>Garay Corina</w:t>
        </w:r>
      </w:hyperlink>
      <w:r w:rsidRPr="00BC06B9">
        <w:rPr>
          <w:rFonts w:eastAsia="Calibri"/>
          <w:u w:val="single"/>
          <w:lang w:eastAsia="es-AR"/>
        </w:rPr>
        <w:t>” (344:3567) entre otros.</w:t>
      </w:r>
    </w:p>
    <w:p w14:paraId="5A89444A" w14:textId="479FB7BA" w:rsidR="00227D23" w:rsidRPr="00BC06B9" w:rsidRDefault="00B82510" w:rsidP="005C0B8B">
      <w:pPr>
        <w:ind w:firstLine="1560"/>
        <w:jc w:val="both"/>
        <w:rPr>
          <w:rFonts w:eastAsia="Calibri"/>
          <w:color w:val="000000"/>
          <w:u w:val="single"/>
          <w:lang w:val="es-MX" w:eastAsia="es-AR"/>
        </w:rPr>
      </w:pPr>
      <w:r w:rsidRPr="00BC06B9">
        <w:rPr>
          <w:rFonts w:eastAsia="Calibri"/>
          <w:color w:val="000000"/>
          <w:u w:val="single"/>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BC06B9">
          <w:rPr>
            <w:rFonts w:eastAsia="Calibri"/>
            <w:color w:val="0563C1"/>
            <w:u w:val="single"/>
            <w:lang w:val="es-MX" w:eastAsia="es-AR"/>
          </w:rPr>
          <w:t>(Fallos 331:250</w:t>
        </w:r>
      </w:hyperlink>
      <w:r w:rsidRPr="00BC06B9">
        <w:rPr>
          <w:rFonts w:eastAsia="Calibri"/>
          <w:color w:val="000000"/>
          <w:u w:val="single"/>
          <w:lang w:val="es-MX" w:eastAsia="es-AR"/>
        </w:rPr>
        <w:t xml:space="preserve">). </w:t>
      </w:r>
    </w:p>
    <w:p w14:paraId="05E861BC"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C06B9">
        <w:rPr>
          <w:rFonts w:eastAsia="Calibri"/>
          <w:i/>
          <w:iCs/>
          <w:u w:val="single"/>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C06B9">
        <w:rPr>
          <w:rFonts w:eastAsia="Calibri"/>
          <w:b/>
          <w:bCs/>
          <w:u w:val="single"/>
          <w:lang w:val="es-AR"/>
        </w:rPr>
        <w:t>progresividad y no regresividad</w:t>
      </w:r>
      <w:r w:rsidRPr="00BC06B9">
        <w:rPr>
          <w:rFonts w:eastAsia="Calibri"/>
          <w:u w:val="single"/>
          <w:lang w:val="es-AR"/>
        </w:rPr>
        <w:t>, que exigen un escrutinio agravado de la razonabilidad de las normas adoptadas tanto por el legislador como por el Poder Ejecutivo Nacional en contextos de emergencia.</w:t>
      </w:r>
    </w:p>
    <w:p w14:paraId="1C0579ED"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La Corte Suprema de Justicia de la Nación, al referirse a la emergencia y los grupos vulnerables, sostuvo: </w:t>
      </w:r>
      <w:r w:rsidRPr="00BC06B9">
        <w:rPr>
          <w:rFonts w:eastAsia="Calibri"/>
          <w:i/>
          <w:iCs/>
          <w:u w:val="single"/>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C06B9">
        <w:rPr>
          <w:rFonts w:eastAsia="Calibri"/>
          <w:u w:val="single"/>
          <w:lang w:val="es-AR"/>
        </w:rPr>
        <w:t xml:space="preserve"> (Fallos 341:1924).</w:t>
      </w:r>
    </w:p>
    <w:p w14:paraId="7940493B"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0F1AC2D0" w14:textId="00ACD4AD" w:rsidR="007A7319" w:rsidRPr="003E7DAF" w:rsidRDefault="00227D23" w:rsidP="005C0B8B">
      <w:pPr>
        <w:ind w:firstLine="1560"/>
        <w:jc w:val="both"/>
        <w:rPr>
          <w:rFonts w:eastAsia="Calibri"/>
          <w:color w:val="000000"/>
          <w:lang w:eastAsia="es-AR"/>
        </w:rPr>
      </w:pPr>
      <w:r w:rsidRPr="00BC06B9">
        <w:rPr>
          <w:rFonts w:eastAsia="Calibri"/>
          <w:u w:val="single"/>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Pr>
          <w:rFonts w:eastAsia="Calibri"/>
          <w:u w:val="single"/>
          <w:lang w:val="es-AR"/>
        </w:rPr>
        <w:t>.</w:t>
      </w:r>
      <w:r w:rsidRPr="00BC06B9">
        <w:rPr>
          <w:rFonts w:eastAsia="Calibri"/>
          <w:u w:val="single"/>
          <w:lang w:val="es-AR"/>
        </w:rPr>
        <w:t xml:space="preserve"> </w:t>
      </w:r>
      <w:r w:rsidR="007A7319" w:rsidRPr="003E7DAF">
        <w:rPr>
          <w:rFonts w:eastAsia="Calibri"/>
          <w:color w:val="000000"/>
          <w:lang w:eastAsia="es-AR"/>
        </w:rPr>
        <w:t>{% endif %} {% if ley_27426_Si %}</w:t>
      </w:r>
    </w:p>
    <w:p w14:paraId="7BAB0375" w14:textId="77777777" w:rsidR="00227D23" w:rsidRPr="00227D23" w:rsidRDefault="00227D23" w:rsidP="003E7DAF">
      <w:pPr>
        <w:ind w:firstLine="1560"/>
        <w:jc w:val="right"/>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endif %} {% if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Por todo lo expuesto, solicito a V.S. que tenga en cuenta estos planteos en la etapa de ejecución para garantizar la protección efectiva de los derechos constitucionales de mi mandante y evitar un nuevo dispendio jurisdiccional</w:t>
      </w:r>
      <w:r w:rsidRPr="00B8106E">
        <w:rPr>
          <w:b/>
          <w:bCs/>
          <w:lang w:val="es-AR"/>
        </w:rPr>
        <w:t>.</w:t>
      </w:r>
      <w:r w:rsidR="00F7290A" w:rsidRPr="00B8106E">
        <w:rPr>
          <w:bCs/>
        </w:rPr>
        <w:t>{%</w:t>
      </w:r>
      <w:r w:rsidR="00F7290A" w:rsidRPr="000E0CD9">
        <w:rPr>
          <w:bCs/>
        </w:rPr>
        <w:t xml:space="preserve">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endif %}</w:t>
      </w:r>
      <w:r w:rsidR="00730049">
        <w:rPr>
          <w:bCs/>
        </w:rPr>
        <w:t xml:space="preserve"> {% if </w:t>
      </w:r>
      <w:r w:rsidR="00645309" w:rsidRPr="00645309">
        <w:rPr>
          <w:bCs/>
        </w:rPr>
        <w:t>Tope_Si</w:t>
      </w:r>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7777777" w:rsidR="000B6176" w:rsidRPr="00643FB0" w:rsidRDefault="000B6176" w:rsidP="000B6176">
      <w:pPr>
        <w:jc w:val="both"/>
      </w:pPr>
      <w:r w:rsidRPr="00643FB0">
        <w:t>Note VS El tope del art 9 inc. 3 de la ley 24463 es a</w:t>
      </w:r>
      <w:r>
        <w:t>l {{</w:t>
      </w:r>
      <w:r w:rsidRPr="00334E53">
        <w:t xml:space="preserve"> Fecha_de_cierre_de_intereses</w:t>
      </w:r>
      <w:r>
        <w:t xml:space="preserve">}} </w:t>
      </w:r>
      <w:r w:rsidRPr="00643FB0">
        <w:t xml:space="preserve"> </w:t>
      </w:r>
      <w:r>
        <w:rPr>
          <w:b/>
        </w:rPr>
        <w:t>$ (Monto del tope Anses a la Fecha de cierre de intereses)</w:t>
      </w:r>
    </w:p>
    <w:p w14:paraId="5E9CAB3B" w14:textId="77777777"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w:t>
      </w:r>
      <w:r w:rsidRPr="00334E53">
        <w:t xml:space="preserve"> Fecha_de_cierre_de_intereses</w:t>
      </w:r>
      <w:r>
        <w:t xml:space="preserve">}} </w:t>
      </w:r>
      <w:r w:rsidRPr="00643FB0">
        <w:t xml:space="preserve"> del 82% de la remuneración máxima</w:t>
      </w:r>
      <w:r>
        <w:t xml:space="preserve"> es decir $ </w:t>
      </w:r>
      <w:r>
        <w:rPr>
          <w:b/>
        </w:rPr>
        <w:t>(Monto del tope 82% de la rem max a la Fecha de cierre de intereses)</w:t>
      </w:r>
      <w:r>
        <w:t xml:space="preserve">  un (Porcentaje de diferencia con haber máximo de la 82% de la rem max) %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r w:rsidRPr="0039784E">
        <w:rPr>
          <w:noProof/>
        </w:rPr>
        <w:drawing>
          <wp:inline distT="0" distB="0" distL="0" distR="0" wp14:anchorId="534A1DC2" wp14:editId="0A253CCD">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0B6176">
      <w:pPr>
        <w:jc w:val="both"/>
        <w:rPr>
          <w:b/>
        </w:rPr>
      </w:pPr>
    </w:p>
    <w:p w14:paraId="02F30C18" w14:textId="77777777" w:rsidR="000B6176" w:rsidRPr="00A34D7D" w:rsidRDefault="000B6176" w:rsidP="000B6176">
      <w:pPr>
        <w:jc w:val="both"/>
        <w:rPr>
          <w:b/>
          <w:u w:val="single"/>
        </w:rPr>
      </w:pPr>
      <w:r w:rsidRPr="00A34D7D">
        <w:rPr>
          <w:b/>
          <w:u w:val="single"/>
        </w:rPr>
        <w:t xml:space="preserve">La quita en el haber de mi mandante es $ </w:t>
      </w:r>
      <w:r>
        <w:rPr>
          <w:b/>
          <w:u w:val="single"/>
        </w:rPr>
        <w:t xml:space="preserve">(Diferencia en $ del haber reclamado con respecto el tope Anses) </w:t>
      </w:r>
      <w:r w:rsidRPr="00A34D7D">
        <w:rPr>
          <w:b/>
          <w:u w:val="single"/>
        </w:rPr>
        <w:t xml:space="preserve">conforme el tope de Anses, es decir un </w:t>
      </w:r>
      <w:r>
        <w:rPr>
          <w:b/>
          <w:u w:val="single"/>
        </w:rPr>
        <w:t xml:space="preserve">(Diferencia en % del haber reclamado con respecto el tope Anses) </w:t>
      </w:r>
      <w:r w:rsidRPr="00A34D7D">
        <w:rPr>
          <w:b/>
          <w:u w:val="single"/>
        </w:rPr>
        <w:t>%.</w:t>
      </w:r>
    </w:p>
    <w:p w14:paraId="412395FD" w14:textId="77777777" w:rsidR="000B6176" w:rsidRDefault="000B6176" w:rsidP="000B6176">
      <w:pPr>
        <w:jc w:val="both"/>
      </w:pPr>
    </w:p>
    <w:p w14:paraId="0D3DD745" w14:textId="68856B98" w:rsidR="000B6176" w:rsidRDefault="000B6176" w:rsidP="000B6176">
      <w:pPr>
        <w:jc w:val="both"/>
      </w:pPr>
      <w:r w:rsidRPr="0039784E">
        <w:rPr>
          <w:noProof/>
        </w:rPr>
        <w:drawing>
          <wp:inline distT="0" distB="0" distL="0" distR="0" wp14:anchorId="5D6479F6" wp14:editId="1533ED74">
            <wp:extent cx="3916680" cy="3928881"/>
            <wp:effectExtent l="0" t="0" r="7620" b="0"/>
            <wp:docPr id="1877721314"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629" cy="3945883"/>
                    </a:xfrm>
                    <a:prstGeom prst="rect">
                      <a:avLst/>
                    </a:prstGeom>
                    <a:noFill/>
                    <a:ln>
                      <a:noFill/>
                    </a:ln>
                  </pic:spPr>
                </pic:pic>
              </a:graphicData>
            </a:graphic>
          </wp:inline>
        </w:drawing>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0B6176">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endif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788D136D" w14:textId="074A14BD" w:rsidR="005C0B8B" w:rsidRDefault="00512472" w:rsidP="005C0B8B">
      <w:pPr>
        <w:autoSpaceDE w:val="0"/>
        <w:autoSpaceDN w:val="0"/>
        <w:adjustRightInd w:val="0"/>
        <w:ind w:firstLine="1134"/>
        <w:jc w:val="both"/>
      </w:pPr>
      <w:r>
        <w:t>Solicito</w:t>
      </w:r>
      <w:r w:rsidR="005C0B8B">
        <w:t xml:space="preserve"> tome </w:t>
      </w:r>
      <w:r>
        <w:t>como base regulatoria la suma de {{</w:t>
      </w:r>
      <w:r w:rsidRPr="00E9369F">
        <w:t>total_liquidacion_en_UMA</w:t>
      </w:r>
      <w:r>
        <w:t>}}</w:t>
      </w:r>
      <w:r w:rsidR="001E4C47">
        <w:t xml:space="preserve"> 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Datos de la caja de abogados:Av. Sarmiento N º 302/308 de la ciudad de Salta,  domicilio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168766EB" w:rsidR="00E90E3C" w:rsidRPr="00FB281D" w:rsidRDefault="00E90E3C" w:rsidP="00FB281D">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r w:rsidRPr="00E90E3C">
        <w:rPr>
          <w:lang w:val="es-AR"/>
        </w:rPr>
        <w:t>Solicito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endif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w:t>
      </w:r>
      <w:r w:rsidR="00AC149E">
        <w:rPr>
          <w:bCs/>
        </w:rPr>
        <w:t xml:space="preserve">% </w:t>
      </w:r>
      <w:r w:rsidR="00AC149E" w:rsidRPr="003E0AF8">
        <w:rPr>
          <w:bCs/>
        </w:rPr>
        <w:t xml:space="preserve">if Daños_Si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endif %}</w:t>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081CA" w14:textId="77777777" w:rsidR="00DA7EE6" w:rsidRDefault="00DA7EE6" w:rsidP="00544398">
      <w:r>
        <w:separator/>
      </w:r>
    </w:p>
  </w:endnote>
  <w:endnote w:type="continuationSeparator" w:id="0">
    <w:p w14:paraId="790DCB89" w14:textId="77777777" w:rsidR="00DA7EE6" w:rsidRDefault="00DA7EE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C0A69" w14:textId="77777777" w:rsidR="00DA7EE6" w:rsidRDefault="00DA7EE6" w:rsidP="00544398">
      <w:r>
        <w:separator/>
      </w:r>
    </w:p>
  </w:footnote>
  <w:footnote w:type="continuationSeparator" w:id="0">
    <w:p w14:paraId="3B2B2FC6" w14:textId="77777777" w:rsidR="00DA7EE6" w:rsidRDefault="00DA7EE6"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B6176"/>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014"/>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0B8B"/>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761CF"/>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471C"/>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268</TotalTime>
  <Pages>20</Pages>
  <Words>7479</Words>
  <Characters>41522</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48904</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12</cp:revision>
  <cp:lastPrinted>2023-01-02T11:50:00Z</cp:lastPrinted>
  <dcterms:created xsi:type="dcterms:W3CDTF">2024-12-19T15:49:00Z</dcterms:created>
  <dcterms:modified xsi:type="dcterms:W3CDTF">2025-01-12T19:32:00Z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