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77777777" w:rsidR="001C182E" w:rsidRDefault="00444858" w:rsidP="005C0B8B">
      <w:pPr>
        <w:autoSpaceDE w:val="0"/>
        <w:autoSpaceDN w:val="0"/>
        <w:adjustRightInd w:val="0"/>
        <w:jc w:val="both"/>
        <w:rPr>
          <w:b/>
          <w:bCs/>
          <w:u w:val="single"/>
        </w:rPr>
      </w:pPr>
      <w:r w:rsidRPr="00677014">
        <w:rPr>
          <w:b/>
          <w:bCs/>
          <w:u w:val="single"/>
        </w:rPr>
        <w:t>ADJUNTO PLANILLA DE LIQUIDACION</w:t>
      </w:r>
      <w:r w:rsidR="00220B58" w:rsidRPr="00677014">
        <w:rPr>
          <w:b/>
          <w:bCs/>
          <w:u w:val="single"/>
        </w:rPr>
        <w:t xml:space="preserve"> </w:t>
      </w:r>
    </w:p>
    <w:p w14:paraId="081E2988" w14:textId="77777777" w:rsidR="00A922D9" w:rsidRDefault="00A922D9" w:rsidP="005C0B8B">
      <w:pPr>
        <w:autoSpaceDE w:val="0"/>
        <w:autoSpaceDN w:val="0"/>
        <w:adjustRightInd w:val="0"/>
        <w:jc w:val="both"/>
        <w:rPr>
          <w:b/>
          <w:bCs/>
          <w:u w:val="single"/>
        </w:rPr>
      </w:pPr>
    </w:p>
    <w:p w14:paraId="65D0B29C" w14:textId="1738447A" w:rsidR="00A922D9" w:rsidRDefault="00A922D9" w:rsidP="005C0B8B">
      <w:pPr>
        <w:autoSpaceDE w:val="0"/>
        <w:autoSpaceDN w:val="0"/>
        <w:adjustRightInd w:val="0"/>
        <w:jc w:val="both"/>
      </w:pPr>
      <w:r w:rsidRPr="00A922D9">
        <w:t>LIQUIDACION_IMG</w:t>
      </w:r>
    </w:p>
    <w:p w14:paraId="1A7749E4" w14:textId="77777777" w:rsidR="00CD7E18" w:rsidRDefault="00CD7E18" w:rsidP="005C0B8B">
      <w:pPr>
        <w:autoSpaceDE w:val="0"/>
        <w:autoSpaceDN w:val="0"/>
        <w:adjustRightInd w:val="0"/>
        <w:jc w:val="both"/>
      </w:pPr>
    </w:p>
    <w:p w14:paraId="6D5A68FF" w14:textId="77777777" w:rsidR="00C946D4" w:rsidRPr="00241391" w:rsidRDefault="00C946D4" w:rsidP="005C0B8B">
      <w:pPr>
        <w:autoSpaceDE w:val="0"/>
        <w:autoSpaceDN w:val="0"/>
        <w:adjustRightInd w:val="0"/>
        <w:jc w:val="both"/>
      </w:pPr>
      <w:r w:rsidRPr="00241391">
        <w:t>Señor Juez:</w:t>
      </w:r>
    </w:p>
    <w:p w14:paraId="407AEF2E" w14:textId="52F2DD2D" w:rsidR="0045440C" w:rsidRDefault="0088143E" w:rsidP="005C0B8B">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r w:rsidR="000B05C2" w:rsidRPr="00241391">
        <w:t xml:space="preserve">Nº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w:t>
      </w:r>
      <w:r w:rsidR="00AC6EFE" w:rsidRPr="00AC6EFE">
        <w:rPr>
          <w:b/>
          <w:bCs/>
        </w:rPr>
        <w:t>cliente</w:t>
      </w:r>
      <w:r w:rsidR="00AC6EFE">
        <w:rPr>
          <w:b/>
          <w:bCs/>
        </w:rPr>
        <w:t xml:space="preserve">}} </w:t>
      </w:r>
      <w:r w:rsidR="00947C76" w:rsidRPr="00947C76">
        <w:rPr>
          <w:b/>
          <w:bCs/>
        </w:rPr>
        <w:t>c/ ANSES s/ REAJUSTES VARIOS”</w:t>
      </w:r>
      <w:r w:rsidR="000F1642" w:rsidRPr="00947C76">
        <w:rPr>
          <w:b/>
          <w:bCs/>
        </w:rPr>
        <w:t xml:space="preserve"> </w:t>
      </w:r>
      <w:r w:rsidR="002E6FDD" w:rsidRPr="000F1642">
        <w:rPr>
          <w:b/>
          <w:bCs/>
        </w:rPr>
        <w:t>Expte</w:t>
      </w:r>
      <w:r w:rsidR="002E6FDD" w:rsidRPr="004E7FA7">
        <w:t xml:space="preserve">. Nº </w:t>
      </w:r>
      <w:r w:rsidR="004A1A81">
        <w:t>{{</w:t>
      </w:r>
      <w:r w:rsidR="004A1A81" w:rsidRPr="004A1A81">
        <w:t>expediente</w:t>
      </w:r>
      <w:r w:rsidR="004A1A81">
        <w:t>}}</w:t>
      </w:r>
      <w:r w:rsidR="008548F6">
        <w:t xml:space="preserve"> </w:t>
      </w:r>
      <w:r w:rsidR="00047B09" w:rsidRPr="00166649">
        <w:t>a</w:t>
      </w:r>
      <w:r w:rsidR="002E6FDD" w:rsidRPr="00166649">
        <w:t xml:space="preserve"> V.S. muy respetuosamente digo:</w:t>
      </w:r>
    </w:p>
    <w:p w14:paraId="47368AF5" w14:textId="77777777" w:rsidR="0045440C" w:rsidRDefault="0045440C" w:rsidP="005C0B8B">
      <w:pPr>
        <w:autoSpaceDE w:val="0"/>
        <w:autoSpaceDN w:val="0"/>
        <w:adjustRightInd w:val="0"/>
        <w:ind w:firstLine="1134"/>
        <w:jc w:val="both"/>
      </w:pPr>
    </w:p>
    <w:p w14:paraId="127DAB47" w14:textId="77777777" w:rsidR="0045440C" w:rsidRPr="0045440C" w:rsidRDefault="0045440C" w:rsidP="005C0B8B">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5C0B8B">
      <w:pPr>
        <w:numPr>
          <w:ilvl w:val="0"/>
          <w:numId w:val="18"/>
        </w:numPr>
        <w:autoSpaceDE w:val="0"/>
        <w:autoSpaceDN w:val="0"/>
        <w:adjustRightInd w:val="0"/>
        <w:jc w:val="both"/>
      </w:pPr>
      <w:r w:rsidRPr="003E4E89">
        <w:t>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5C0B8B">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if </w:t>
      </w:r>
      <w:r w:rsidR="00B60232" w:rsidRPr="00B60232">
        <w:t>Honorarios_No</w:t>
      </w:r>
      <w:r w:rsidR="00B60232">
        <w:t xml:space="preserve"> </w:t>
      </w:r>
      <w:r w:rsidR="00BB23A2">
        <w:t>%</w:t>
      </w:r>
      <w:r w:rsidR="00632542">
        <w:t>}</w:t>
      </w:r>
    </w:p>
    <w:p w14:paraId="2146D557" w14:textId="6A3838C4" w:rsidR="0045440C" w:rsidRPr="0045440C" w:rsidRDefault="00DC316B" w:rsidP="005C0B8B">
      <w:pPr>
        <w:numPr>
          <w:ilvl w:val="0"/>
          <w:numId w:val="18"/>
        </w:numPr>
        <w:autoSpaceDE w:val="0"/>
        <w:autoSpaceDN w:val="0"/>
        <w:adjustRightInd w:val="0"/>
        <w:jc w:val="both"/>
      </w:pPr>
      <w:r w:rsidRPr="003E4E89">
        <w:t>Intímese a la demandada a proceder al reajuste del haber, bajo apercibimiento de aplicarse las sanciones conminatorias previstas en el artículo 37 del Código Procesal Civil y Comercial de la Nación</w:t>
      </w:r>
      <w:r w:rsidRPr="00DC316B">
        <w:t>.</w:t>
      </w:r>
      <w:r w:rsidR="00632542">
        <w:t>{% endif %}</w:t>
      </w:r>
    </w:p>
    <w:p w14:paraId="06108FA4" w14:textId="44633BA1" w:rsidR="00DC316B" w:rsidRPr="003E4E89" w:rsidRDefault="00DC316B" w:rsidP="005C0B8B">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3970629B" w:rsidR="009F35E9" w:rsidRDefault="00DC316B" w:rsidP="005C0B8B">
      <w:pPr>
        <w:numPr>
          <w:ilvl w:val="0"/>
          <w:numId w:val="18"/>
        </w:numPr>
        <w:autoSpaceDE w:val="0"/>
        <w:autoSpaceDN w:val="0"/>
        <w:adjustRightInd w:val="0"/>
        <w:jc w:val="both"/>
      </w:pPr>
      <w:r w:rsidRPr="003E4E89">
        <w:t>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judicial.</w:t>
      </w:r>
      <w:r w:rsidR="009F35E9" w:rsidRPr="003E4E89">
        <w:t>{%</w:t>
      </w:r>
      <w:r w:rsidR="009F35E9">
        <w:t xml:space="preserve"> if ley_27609_Si or ley_27541_Si or ley_27426_Si %}</w:t>
      </w:r>
    </w:p>
    <w:p w14:paraId="63714754" w14:textId="1B84FD0A" w:rsidR="00284613" w:rsidRDefault="009F35E9" w:rsidP="002D0056">
      <w:pPr>
        <w:numPr>
          <w:ilvl w:val="0"/>
          <w:numId w:val="18"/>
        </w:numPr>
        <w:autoSpaceDE w:val="0"/>
        <w:autoSpaceDN w:val="0"/>
        <w:adjustRightInd w:val="0"/>
        <w:jc w:val="both"/>
      </w:pPr>
      <w:r>
        <w:t>Dejo planteada la inconstitucionalidad de la {% if ley_27609_Si %} ley 27.609 {% endif %}{% if ley_27541_Si %}, ley 27.541 {% endif %}{% if ley_27426_Si %}, ley 27.426 {% endif %}.{% endif %}</w:t>
      </w:r>
    </w:p>
    <w:p w14:paraId="0F4147E5" w14:textId="08283EEC" w:rsidR="00BB4314" w:rsidRDefault="00284613" w:rsidP="005C0B8B">
      <w:pPr>
        <w:numPr>
          <w:ilvl w:val="0"/>
          <w:numId w:val="18"/>
        </w:numPr>
        <w:autoSpaceDE w:val="0"/>
        <w:autoSpaceDN w:val="0"/>
        <w:adjustRightInd w:val="0"/>
        <w:jc w:val="both"/>
      </w:pPr>
      <w:r w:rsidRPr="000F5440">
        <w:rPr>
          <w:b/>
          <w:bCs/>
        </w:rPr>
        <w:t xml:space="preserve">Solicito que se regulen los honorarios profesionales correspondientes a esta </w:t>
      </w:r>
      <w:r w:rsidR="000F5440" w:rsidRPr="000F5440">
        <w:rPr>
          <w:b/>
          <w:bCs/>
        </w:rPr>
        <w:t xml:space="preserve">incidencia previa, necesaria para la </w:t>
      </w:r>
      <w:r w:rsidRPr="000F5440">
        <w:rPr>
          <w:b/>
          <w:bCs/>
        </w:rPr>
        <w:t>ejecución</w:t>
      </w:r>
      <w:r w:rsidRPr="003E4E89">
        <w:t xml:space="preserve">, conforme al artículo 52 de la Ley 27.423, que establece la obligatoriedad de regular los honorarios al dictarse sentencia. Asimismo, se debe respetar el honorario mínimo previsto en el artículo 16, último párrafo, de la ley, que es de orden </w:t>
      </w:r>
      <w:r w:rsidRPr="003E4E89">
        <w:lastRenderedPageBreak/>
        <w:t>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w:t>
      </w:r>
      <w:r>
        <w:t>.</w:t>
      </w:r>
      <w:r w:rsidR="00DA3FC8">
        <w:t>{</w:t>
      </w:r>
      <w:r w:rsidR="000F370A">
        <w:t xml:space="preserve">% if </w:t>
      </w:r>
      <w:r w:rsidR="000F370A" w:rsidRPr="000F370A">
        <w:t>Edad_Avanzada_Si</w:t>
      </w:r>
      <w:r w:rsidR="000F370A">
        <w:t xml:space="preserve"> %}</w:t>
      </w:r>
    </w:p>
    <w:p w14:paraId="4A8DA428" w14:textId="1DE3D112" w:rsidR="000F370A" w:rsidRDefault="00A761CF" w:rsidP="005C0B8B">
      <w:pPr>
        <w:numPr>
          <w:ilvl w:val="0"/>
          <w:numId w:val="18"/>
        </w:numPr>
        <w:autoSpaceDE w:val="0"/>
        <w:autoSpaceDN w:val="0"/>
        <w:adjustRightInd w:val="0"/>
        <w:jc w:val="both"/>
      </w:pPr>
      <w:r w:rsidRPr="003E4E89">
        <w:t xml:space="preserve">Solicito que se otorgue prioridad de pago en favor de mi mandante, en virtud de su edad avanzada, conforme a lo dispuesto en el artículo 4 de la Resolución de la Secretaría de Seguridad Social </w:t>
      </w:r>
      <w:hyperlink r:id="rId7" w:history="1">
        <w:r w:rsidRPr="003E4E89">
          <w:rPr>
            <w:rStyle w:val="Hipervnculo"/>
          </w:rPr>
          <w:t>N° 56/97</w:t>
        </w:r>
      </w:hyperlink>
      <w:r w:rsidRPr="003E4E89">
        <w:t>. Asimismo, solicito que se notifique expresamente esta resolución a la demandada ANSES y se la intime a otorgar trámite prioritario al expediente administrativo correspondiente.</w:t>
      </w:r>
      <w:r w:rsidR="001957BB">
        <w:t>{% endif %}</w:t>
      </w:r>
    </w:p>
    <w:bookmarkEnd w:id="0"/>
    <w:p w14:paraId="1B3F3C21" w14:textId="77777777" w:rsidR="0045440C" w:rsidRPr="00C14A7C" w:rsidRDefault="0045440C" w:rsidP="005C0B8B">
      <w:pPr>
        <w:autoSpaceDE w:val="0"/>
        <w:autoSpaceDN w:val="0"/>
        <w:adjustRightInd w:val="0"/>
        <w:jc w:val="both"/>
        <w:rPr>
          <w:u w:val="single"/>
        </w:rPr>
      </w:pPr>
    </w:p>
    <w:p w14:paraId="63F28FCF" w14:textId="4E49EF9D" w:rsidR="0045440C" w:rsidRDefault="0045440C" w:rsidP="005C0B8B">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r w:rsidR="00E55496">
        <w:t>Anses</w:t>
      </w:r>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5C0B8B">
      <w:pPr>
        <w:autoSpaceDE w:val="0"/>
        <w:autoSpaceDN w:val="0"/>
        <w:adjustRightInd w:val="0"/>
        <w:ind w:left="1134"/>
        <w:jc w:val="both"/>
      </w:pPr>
      <w:r>
        <w:t>Sentencia de 1 ra instancia de fecha:</w:t>
      </w:r>
      <w:r w:rsidR="004E7FA7">
        <w:t xml:space="preserve"> </w:t>
      </w:r>
      <w:r w:rsidR="004A1A81">
        <w:t>{{</w:t>
      </w:r>
      <w:r w:rsidR="004A1A81" w:rsidRPr="004A1A81">
        <w:t>Fecha_Sentencia_Primera</w:t>
      </w:r>
      <w:r w:rsidR="004A1A81">
        <w:t>}}</w:t>
      </w:r>
      <w:r w:rsidR="006C5E8F">
        <w:t xml:space="preserve">{% if </w:t>
      </w:r>
      <w:r w:rsidR="006C5E8F" w:rsidRPr="006C5E8F">
        <w:t>Sentencia_2da_Si</w:t>
      </w:r>
      <w:r w:rsidR="006C5E8F">
        <w:t xml:space="preserve"> %}</w:t>
      </w:r>
    </w:p>
    <w:p w14:paraId="3508F769" w14:textId="35DC8265" w:rsidR="00192ED2" w:rsidRDefault="00192ED2" w:rsidP="005C0B8B">
      <w:pPr>
        <w:autoSpaceDE w:val="0"/>
        <w:autoSpaceDN w:val="0"/>
        <w:adjustRightInd w:val="0"/>
        <w:ind w:left="1134"/>
        <w:jc w:val="both"/>
      </w:pPr>
      <w:r>
        <w:t xml:space="preserve">Sentencia de 2 da instancia, </w:t>
      </w:r>
      <w:r w:rsidR="000D7A6C">
        <w:t xml:space="preserve"> {{</w:t>
      </w:r>
      <w:r w:rsidR="000D7A6C" w:rsidRPr="000D7A6C">
        <w:t>Sala</w:t>
      </w:r>
      <w:r w:rsidR="000D7A6C">
        <w:t>}}</w:t>
      </w:r>
      <w:r w:rsidR="007B2E2A">
        <w:t>,</w:t>
      </w:r>
      <w:r>
        <w:t xml:space="preserve"> de fecha: </w:t>
      </w:r>
      <w:r w:rsidR="000D7A6C">
        <w:t>{{</w:t>
      </w:r>
      <w:r w:rsidR="000D7A6C" w:rsidRPr="000D7A6C">
        <w:t>Sentencia_de_Segunda</w:t>
      </w:r>
      <w:r w:rsidR="000D7A6C">
        <w:t>}}</w:t>
      </w:r>
      <w:r w:rsidR="006C5E8F">
        <w:t>{% endif %}</w:t>
      </w:r>
    </w:p>
    <w:p w14:paraId="035E4D33" w14:textId="084B9E6E" w:rsidR="0045440C" w:rsidRDefault="0045440C" w:rsidP="005C0B8B">
      <w:pPr>
        <w:autoSpaceDE w:val="0"/>
        <w:autoSpaceDN w:val="0"/>
        <w:adjustRightInd w:val="0"/>
        <w:ind w:firstLine="993"/>
        <w:jc w:val="both"/>
      </w:pPr>
      <w:r>
        <w:t xml:space="preserve">Solicito intime a </w:t>
      </w:r>
      <w:r w:rsidR="000A0A1B">
        <w:t>Anses</w:t>
      </w:r>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5C0B8B">
      <w:pPr>
        <w:autoSpaceDE w:val="0"/>
        <w:autoSpaceDN w:val="0"/>
        <w:adjustRightInd w:val="0"/>
        <w:jc w:val="both"/>
      </w:pPr>
    </w:p>
    <w:p w14:paraId="50639A46" w14:textId="77777777" w:rsidR="0088143E" w:rsidRPr="0045440C" w:rsidRDefault="0045440C" w:rsidP="005C0B8B">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5C0B8B">
      <w:pPr>
        <w:autoSpaceDE w:val="0"/>
        <w:autoSpaceDN w:val="0"/>
        <w:adjustRightInd w:val="0"/>
        <w:ind w:firstLine="1134"/>
        <w:jc w:val="both"/>
        <w:rPr>
          <w:b/>
          <w:bCs/>
        </w:rPr>
      </w:pPr>
      <w:r>
        <w:t>Que vengo por la presente a promover ejecución de sentencia por las diferencias e intereses de los haberes no redeterminados por la ANSeS adeudados por el período comprendido entre</w:t>
      </w:r>
      <w:r w:rsidR="004E5E90">
        <w:t xml:space="preserve"> </w:t>
      </w:r>
      <w:r w:rsidR="000E6A17">
        <w:rPr>
          <w:b/>
          <w:bCs/>
        </w:rPr>
        <w:t>{{</w:t>
      </w:r>
      <w:r w:rsidR="000E6A17" w:rsidRPr="000E6A17">
        <w:rPr>
          <w:b/>
          <w:bCs/>
        </w:rPr>
        <w:t>Fecha_Inicial_de_Pago</w:t>
      </w:r>
      <w:r w:rsidR="000E6A17">
        <w:rPr>
          <w:b/>
          <w:bCs/>
        </w:rPr>
        <w:t xml:space="preserve">}} </w:t>
      </w:r>
      <w:r w:rsidR="008E6244">
        <w:rPr>
          <w:b/>
          <w:bCs/>
        </w:rPr>
        <w:t xml:space="preserve">al </w:t>
      </w:r>
      <w:r w:rsidR="00274162">
        <w:rPr>
          <w:b/>
          <w:bCs/>
        </w:rPr>
        <w:t>{{</w:t>
      </w:r>
      <w:r w:rsidR="00274162" w:rsidRPr="00274162">
        <w:rPr>
          <w:b/>
          <w:bCs/>
        </w:rPr>
        <w:t>Fecha_de_cierre_de_liquidación</w:t>
      </w:r>
      <w:r w:rsidR="00274162">
        <w:rPr>
          <w:b/>
          <w:bCs/>
        </w:rPr>
        <w:t>}}</w:t>
      </w:r>
      <w:r w:rsidR="00814A09">
        <w:rPr>
          <w:b/>
          <w:bCs/>
        </w:rPr>
        <w:t xml:space="preserve"> </w:t>
      </w:r>
      <w:r w:rsidR="001B0EE2">
        <w:t xml:space="preserve">{% if </w:t>
      </w:r>
      <w:r w:rsidR="001B0EE2" w:rsidRPr="001B0EE2">
        <w:t>Pension_Si</w:t>
      </w:r>
      <w:r w:rsidR="001B0EE2">
        <w:t xml:space="preserve"> %}</w:t>
      </w:r>
    </w:p>
    <w:p w14:paraId="66298C59" w14:textId="2E04AFD7" w:rsidR="002832CA" w:rsidRDefault="00E00F61" w:rsidP="005C0B8B">
      <w:pPr>
        <w:numPr>
          <w:ilvl w:val="0"/>
          <w:numId w:val="24"/>
        </w:numPr>
        <w:autoSpaceDE w:val="0"/>
        <w:autoSpaceDN w:val="0"/>
        <w:adjustRightInd w:val="0"/>
        <w:ind w:left="0" w:firstLine="1058"/>
        <w:jc w:val="both"/>
      </w:pPr>
      <w:r>
        <w:t>{{cliente}} fallece</w:t>
      </w:r>
      <w:r w:rsidR="00B158C3">
        <w:t xml:space="preserve"> en fecha {{</w:t>
      </w:r>
      <w:r w:rsidR="00B158C3" w:rsidRPr="00B158C3">
        <w:t>fecha_fallecimiento</w:t>
      </w:r>
      <w:r w:rsidR="00B158C3">
        <w:t>}}, siendo su {{</w:t>
      </w:r>
      <w:r w:rsidR="00B158C3" w:rsidRPr="00B158C3">
        <w:t>Receptor</w:t>
      </w:r>
      <w:r w:rsidR="00B158C3">
        <w:t xml:space="preserve">}}, </w:t>
      </w:r>
      <w:r w:rsidR="005C65E0">
        <w:t>{{</w:t>
      </w:r>
      <w:r w:rsidR="005C65E0" w:rsidRPr="005C65E0">
        <w:t>nombre_receptor</w:t>
      </w:r>
      <w:r w:rsidR="005C65E0">
        <w:t xml:space="preserve">}}, quien percibe actualmente la pensión, por un porcentaje del </w:t>
      </w:r>
      <w:r w:rsidR="002832CA">
        <w:t>{{</w:t>
      </w:r>
      <w:r w:rsidR="002832CA" w:rsidRPr="002832CA">
        <w:t>Porcentaje_Pension</w:t>
      </w:r>
      <w:r w:rsidR="002832CA">
        <w:t>}}. {% endif %}{</w:t>
      </w:r>
      <w:r w:rsidR="00816838">
        <w:t xml:space="preserve">% if </w:t>
      </w:r>
      <w:r w:rsidR="000F67D4">
        <w:t>Error_Material_Si %}</w:t>
      </w:r>
    </w:p>
    <w:p w14:paraId="61284FD3" w14:textId="452E35A2" w:rsidR="00200403" w:rsidRDefault="000F67D4" w:rsidP="005C0B8B">
      <w:pPr>
        <w:numPr>
          <w:ilvl w:val="0"/>
          <w:numId w:val="24"/>
        </w:numPr>
        <w:autoSpaceDE w:val="0"/>
        <w:autoSpaceDN w:val="0"/>
        <w:adjustRightInd w:val="0"/>
        <w:ind w:left="0" w:firstLine="1058"/>
        <w:jc w:val="both"/>
        <w:rPr>
          <w:lang w:val="es-AR"/>
        </w:rPr>
      </w:pPr>
      <w:r>
        <w:rPr>
          <w:b/>
          <w:bCs/>
        </w:rPr>
        <w:t>Remuneraciones</w:t>
      </w:r>
      <w:r w:rsidRPr="00AC666F">
        <w:t>:</w:t>
      </w:r>
      <w:r>
        <w:rPr>
          <w:lang w:val="es-AR"/>
        </w:rPr>
        <w:t xml:space="preserve"> Conforme ordena la sentencia se modificaron las remuneraciones del periodo</w:t>
      </w:r>
      <w:r w:rsidR="00200403">
        <w:t xml:space="preserve"> {{</w:t>
      </w:r>
      <w:r w:rsidR="00200403" w:rsidRPr="00200403">
        <w:t xml:space="preserve"> Error_Material_primer_fecha</w:t>
      </w:r>
      <w:r w:rsidR="00200403">
        <w:t>}} al {{</w:t>
      </w:r>
      <w:r w:rsidR="00200403" w:rsidRPr="00200403">
        <w:t xml:space="preserve"> Error_Material_ultima_fecha</w:t>
      </w:r>
      <w:r w:rsidR="00200403">
        <w:t>}}</w:t>
      </w:r>
      <w:r>
        <w:t>,</w:t>
      </w:r>
      <w:r>
        <w:rPr>
          <w:lang w:val="es-AR"/>
        </w:rPr>
        <w:t>por cuanto existía un error material. {% endif %}.</w:t>
      </w:r>
      <w:r w:rsidR="001004A0">
        <w:rPr>
          <w:lang w:val="es-AR"/>
        </w:rPr>
        <w:t>{</w:t>
      </w:r>
      <w:r w:rsidR="00BF4F68">
        <w:rPr>
          <w:lang w:val="es-AR"/>
        </w:rPr>
        <w:t xml:space="preserve">% if </w:t>
      </w:r>
      <w:r w:rsidR="00BF4F68" w:rsidRPr="00BF4F68">
        <w:rPr>
          <w:lang w:val="es-AR"/>
        </w:rPr>
        <w:t>Sumas_Si</w:t>
      </w:r>
      <w:r w:rsidR="00BF4F68">
        <w:rPr>
          <w:lang w:val="es-AR"/>
        </w:rPr>
        <w:t xml:space="preserve"> %}</w:t>
      </w:r>
    </w:p>
    <w:p w14:paraId="36F0D774" w14:textId="3A750F49" w:rsidR="006E4D6C" w:rsidRPr="006E4D6C" w:rsidRDefault="006E4D6C" w:rsidP="005C0B8B">
      <w:pPr>
        <w:numPr>
          <w:ilvl w:val="0"/>
          <w:numId w:val="24"/>
        </w:numPr>
        <w:autoSpaceDE w:val="0"/>
        <w:autoSpaceDN w:val="0"/>
        <w:adjustRightInd w:val="0"/>
        <w:ind w:left="0" w:firstLine="1058"/>
        <w:jc w:val="both"/>
        <w:rPr>
          <w:lang w:val="es-AR"/>
        </w:rPr>
      </w:pPr>
      <w:r>
        <w:rPr>
          <w:b/>
          <w:bCs/>
        </w:rPr>
        <w:t>Haber inicial</w:t>
      </w:r>
      <w:r w:rsidRPr="000A40BB">
        <w:t>:</w:t>
      </w:r>
      <w:r>
        <w:rPr>
          <w:lang w:val="es-AR"/>
        </w:rPr>
        <w:t xml:space="preserve"> Previo a proceder a la redeterminación del haber se procedió a incorporar las sumas no remunerativas percibidas por mi mandante, según lo ordenara la sentencia, para realizar el re calculo del haber inicial.{% endif %}</w:t>
      </w:r>
      <w:r w:rsidR="006B26C8">
        <w:rPr>
          <w:lang w:val="es-AR"/>
        </w:rPr>
        <w:t xml:space="preserve">{% if </w:t>
      </w:r>
      <w:r w:rsidR="006B26C8" w:rsidRPr="006B26C8">
        <w:rPr>
          <w:lang w:val="es-AR"/>
        </w:rPr>
        <w:t>PBU_Si</w:t>
      </w:r>
      <w:r w:rsidR="006B26C8">
        <w:rPr>
          <w:lang w:val="es-AR"/>
        </w:rPr>
        <w:t xml:space="preserve"> %}</w:t>
      </w:r>
    </w:p>
    <w:p w14:paraId="75143CBD" w14:textId="1E63AD72" w:rsidR="000F1642" w:rsidRPr="000F1642" w:rsidRDefault="000E10F6" w:rsidP="005C0B8B">
      <w:pPr>
        <w:numPr>
          <w:ilvl w:val="0"/>
          <w:numId w:val="24"/>
        </w:numPr>
        <w:autoSpaceDE w:val="0"/>
        <w:autoSpaceDN w:val="0"/>
        <w:adjustRightInd w:val="0"/>
        <w:ind w:left="0" w:firstLine="1058"/>
        <w:jc w:val="both"/>
      </w:pPr>
      <w:r>
        <w:rPr>
          <w:b/>
          <w:bCs/>
        </w:rPr>
        <w:t>PBU:</w:t>
      </w:r>
      <w:r w:rsidR="000F1642">
        <w:rPr>
          <w:b/>
          <w:bCs/>
        </w:rPr>
        <w:t xml:space="preserve"> </w:t>
      </w:r>
      <w:r>
        <w:t xml:space="preserve">Se reajusto la PBU conforme Soule/Blanco, comparando la confiscatoriedad con el haber reajustado. La confiscatoriedad es del </w:t>
      </w:r>
      <w:r w:rsidR="00574D0E">
        <w:t>{{</w:t>
      </w:r>
      <w:r w:rsidR="00574D0E" w:rsidRPr="00574D0E">
        <w:t xml:space="preserve"> Porcentaje_PBU</w:t>
      </w:r>
      <w:r w:rsidR="00574D0E">
        <w:t>}}</w:t>
      </w:r>
      <w:r>
        <w:t>%, por lo cual se reajusto la misma y se realizó la quita del 15% según lo ordenado, conformándose una nueva PBU $</w:t>
      </w:r>
      <w:r w:rsidR="006B26C8">
        <w:t xml:space="preserve"> {{</w:t>
      </w:r>
      <w:r w:rsidR="006B26C8" w:rsidRPr="006B26C8">
        <w:t>Monto_PBU</w:t>
      </w:r>
      <w:r w:rsidR="006B26C8">
        <w:t>}} {% endif %}</w:t>
      </w:r>
    </w:p>
    <w:p w14:paraId="246B09BC" w14:textId="552E7841" w:rsidR="00477CCD" w:rsidRDefault="00477CCD" w:rsidP="005C0B8B">
      <w:pPr>
        <w:numPr>
          <w:ilvl w:val="0"/>
          <w:numId w:val="24"/>
        </w:numPr>
        <w:autoSpaceDE w:val="0"/>
        <w:autoSpaceDN w:val="0"/>
        <w:adjustRightInd w:val="0"/>
        <w:ind w:left="0" w:firstLine="1058"/>
        <w:jc w:val="both"/>
      </w:pPr>
      <w:r>
        <w:rPr>
          <w:b/>
          <w:bCs/>
        </w:rPr>
        <w:t xml:space="preserve">Percibido: </w:t>
      </w:r>
      <w:r w:rsidR="009B372A">
        <w:t>{{</w:t>
      </w:r>
      <w:r w:rsidR="009B372A" w:rsidRPr="009B372A">
        <w:t xml:space="preserve"> Percibido</w:t>
      </w:r>
      <w:r w:rsidR="009B372A">
        <w:t xml:space="preserve"> }}</w:t>
      </w:r>
    </w:p>
    <w:p w14:paraId="39613A81" w14:textId="75B010CD" w:rsidR="00477CCD" w:rsidRPr="00477CCD" w:rsidRDefault="00477CCD" w:rsidP="005C0B8B">
      <w:pPr>
        <w:numPr>
          <w:ilvl w:val="0"/>
          <w:numId w:val="24"/>
        </w:numPr>
        <w:autoSpaceDE w:val="0"/>
        <w:autoSpaceDN w:val="0"/>
        <w:adjustRightInd w:val="0"/>
        <w:ind w:left="0" w:firstLine="1058"/>
        <w:jc w:val="both"/>
      </w:pPr>
      <w:r w:rsidRPr="00C61F24">
        <w:rPr>
          <w:b/>
          <w:bCs/>
        </w:rPr>
        <w:lastRenderedPageBreak/>
        <w:t>Reclamado</w:t>
      </w:r>
      <w:r>
        <w:rPr>
          <w:b/>
          <w:bCs/>
        </w:rPr>
        <w:t>:</w:t>
      </w:r>
      <w:r>
        <w:t xml:space="preserve"> </w:t>
      </w:r>
      <w:r w:rsidR="001F1BCD">
        <w:rPr>
          <w:lang w:val="es-AR"/>
        </w:rPr>
        <w:t xml:space="preserve">{{ </w:t>
      </w:r>
      <w:r w:rsidR="001F1BCD" w:rsidRPr="001F1BCD">
        <w:rPr>
          <w:lang w:val="es-AR"/>
        </w:rPr>
        <w:t>Reclamado</w:t>
      </w:r>
      <w:r w:rsidR="001F1BCD">
        <w:rPr>
          <w:lang w:val="es-AR"/>
        </w:rPr>
        <w:t xml:space="preserve"> }} {% if </w:t>
      </w:r>
      <w:r w:rsidR="001F1BCD" w:rsidRPr="001F1BCD">
        <w:rPr>
          <w:lang w:val="es-AR"/>
        </w:rPr>
        <w:t>RH_Si</w:t>
      </w:r>
      <w:r w:rsidR="001F1BCD">
        <w:rPr>
          <w:lang w:val="es-AR"/>
        </w:rPr>
        <w:t xml:space="preserve"> %}</w:t>
      </w:r>
    </w:p>
    <w:p w14:paraId="0B2918DC" w14:textId="77777777" w:rsidR="00CA5133" w:rsidRPr="00CA5133" w:rsidRDefault="000F1642" w:rsidP="005C0B8B">
      <w:pPr>
        <w:numPr>
          <w:ilvl w:val="0"/>
          <w:numId w:val="24"/>
        </w:numPr>
        <w:autoSpaceDE w:val="0"/>
        <w:autoSpaceDN w:val="0"/>
        <w:adjustRightInd w:val="0"/>
        <w:ind w:left="0" w:firstLine="1058"/>
        <w:jc w:val="both"/>
        <w:rPr>
          <w:b/>
          <w:bCs/>
        </w:rPr>
      </w:pPr>
      <w:bookmarkStart w:id="1" w:name="_Hlk536778973"/>
      <w:r w:rsidRPr="00C61F24">
        <w:rPr>
          <w:b/>
          <w:bCs/>
        </w:rPr>
        <w:t>Reparación histórica:</w:t>
      </w:r>
      <w:r>
        <w:rPr>
          <w:b/>
          <w:bCs/>
        </w:rPr>
        <w:t xml:space="preserve"> </w:t>
      </w:r>
      <w:r w:rsidR="00A62772">
        <w:rPr>
          <w:lang w:val="es-AR"/>
        </w:rPr>
        <w:t xml:space="preserve">Percibió desde el </w:t>
      </w:r>
      <w:r w:rsidR="00211800">
        <w:rPr>
          <w:lang w:val="es-AR"/>
        </w:rPr>
        <w:t>{{</w:t>
      </w:r>
      <w:r w:rsidR="00211800" w:rsidRPr="00211800">
        <w:rPr>
          <w:lang w:val="es-AR"/>
        </w:rPr>
        <w:t>primer_fecha_RH</w:t>
      </w:r>
      <w:r w:rsidR="00211800">
        <w:rPr>
          <w:lang w:val="es-AR"/>
        </w:rPr>
        <w:t xml:space="preserve">}} </w:t>
      </w:r>
      <w:r w:rsidR="00311CB7">
        <w:rPr>
          <w:lang w:val="es-AR"/>
        </w:rPr>
        <w:t>al</w:t>
      </w:r>
      <w:r w:rsidR="00A62772">
        <w:rPr>
          <w:lang w:val="es-AR"/>
        </w:rPr>
        <w:t xml:space="preserve"> </w:t>
      </w:r>
      <w:r w:rsidR="00211800">
        <w:rPr>
          <w:lang w:val="es-AR"/>
        </w:rPr>
        <w:t>{{</w:t>
      </w:r>
      <w:r w:rsidR="00211800" w:rsidRPr="00211800">
        <w:t xml:space="preserve"> </w:t>
      </w:r>
      <w:r w:rsidR="00211800" w:rsidRPr="00211800">
        <w:rPr>
          <w:lang w:val="es-AR"/>
        </w:rPr>
        <w:t>ultima_fecha_RH</w:t>
      </w:r>
      <w:r w:rsidR="00211800">
        <w:rPr>
          <w:lang w:val="es-AR"/>
        </w:rPr>
        <w:t>}}</w:t>
      </w:r>
      <w:r w:rsidR="00A62772">
        <w:rPr>
          <w:lang w:val="es-AR"/>
        </w:rPr>
        <w:t>, la cual se consideró para la conformación del percibido.</w:t>
      </w:r>
      <w:r w:rsidR="00296CBB" w:rsidRPr="00296CBB">
        <w:t xml:space="preserve"> {% else %}</w:t>
      </w:r>
    </w:p>
    <w:p w14:paraId="620E2C18" w14:textId="3BEEEA88" w:rsidR="000F1642" w:rsidRDefault="00CA5133" w:rsidP="005C0B8B">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endif %}</w:t>
      </w:r>
      <w:r w:rsidR="00211800">
        <w:rPr>
          <w:lang w:val="es-AR"/>
        </w:rPr>
        <w:t xml:space="preserve"> {% if </w:t>
      </w:r>
      <w:r w:rsidR="00857B25" w:rsidRPr="00857B25">
        <w:rPr>
          <w:lang w:val="es-AR"/>
        </w:rPr>
        <w:t>AC_Si</w:t>
      </w:r>
      <w:r w:rsidR="00857B25">
        <w:rPr>
          <w:lang w:val="es-AR"/>
        </w:rPr>
        <w:t xml:space="preserve"> %}</w:t>
      </w:r>
    </w:p>
    <w:p w14:paraId="5D49ADE4" w14:textId="77777777" w:rsidR="00CC1DB3" w:rsidRPr="00CC1DB3" w:rsidRDefault="000F1642" w:rsidP="005C0B8B">
      <w:pPr>
        <w:numPr>
          <w:ilvl w:val="0"/>
          <w:numId w:val="24"/>
        </w:numPr>
        <w:autoSpaceDE w:val="0"/>
        <w:autoSpaceDN w:val="0"/>
        <w:adjustRightInd w:val="0"/>
        <w:ind w:left="0" w:firstLine="1058"/>
        <w:jc w:val="both"/>
      </w:pPr>
      <w:r>
        <w:rPr>
          <w:b/>
          <w:bCs/>
        </w:rPr>
        <w:t xml:space="preserve">Asignación complementaria: </w:t>
      </w:r>
      <w:r w:rsidR="00D01EBF">
        <w:rPr>
          <w:lang w:val="es-AR"/>
        </w:rPr>
        <w:t xml:space="preserve">Percibió la asignación desde </w:t>
      </w:r>
      <w:r w:rsidR="00C27ACD">
        <w:rPr>
          <w:lang w:val="es-AR"/>
        </w:rPr>
        <w:t>{{</w:t>
      </w:r>
      <w:r w:rsidR="00C27ACD" w:rsidRPr="00C27ACD">
        <w:t xml:space="preserve"> </w:t>
      </w:r>
      <w:r w:rsidR="00C27ACD" w:rsidRPr="00C27ACD">
        <w:rPr>
          <w:lang w:val="es-AR"/>
        </w:rPr>
        <w:t xml:space="preserve">primer_fecha_AC </w:t>
      </w:r>
      <w:r w:rsidR="00C27ACD">
        <w:rPr>
          <w:lang w:val="es-AR"/>
        </w:rPr>
        <w:t xml:space="preserve">}} </w:t>
      </w:r>
      <w:r w:rsidR="00D01EBF">
        <w:rPr>
          <w:lang w:val="es-AR"/>
        </w:rPr>
        <w:t xml:space="preserve">al </w:t>
      </w:r>
      <w:r w:rsidR="00C27ACD">
        <w:rPr>
          <w:lang w:val="es-AR"/>
        </w:rPr>
        <w:t>{{</w:t>
      </w:r>
      <w:r w:rsidR="00C27ACD" w:rsidRPr="00C27ACD">
        <w:t xml:space="preserve"> </w:t>
      </w:r>
      <w:r w:rsidR="00C27ACD" w:rsidRPr="00C27ACD">
        <w:rPr>
          <w:lang w:val="es-AR"/>
        </w:rPr>
        <w:t>ultima_fecha_AC</w:t>
      </w:r>
      <w:r w:rsidR="00C27ACD">
        <w:rPr>
          <w:lang w:val="es-AR"/>
        </w:rPr>
        <w:t>}}</w:t>
      </w:r>
      <w:r w:rsidR="00D01EBF">
        <w:rPr>
          <w:lang w:val="es-AR"/>
        </w:rPr>
        <w:t xml:space="preserve"> y la misma fue considerada para la conformación del percibido. </w:t>
      </w:r>
      <w:r w:rsidR="00CA5133">
        <w:rPr>
          <w:lang w:val="es-AR"/>
        </w:rPr>
        <w:t xml:space="preserve">{% else %} </w:t>
      </w:r>
    </w:p>
    <w:p w14:paraId="54BE8EA0" w14:textId="77DE5A46" w:rsidR="000F1642" w:rsidRDefault="00CC1DB3" w:rsidP="005C0B8B">
      <w:pPr>
        <w:numPr>
          <w:ilvl w:val="0"/>
          <w:numId w:val="24"/>
        </w:numPr>
        <w:autoSpaceDE w:val="0"/>
        <w:autoSpaceDN w:val="0"/>
        <w:adjustRightInd w:val="0"/>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endif %}</w:t>
      </w:r>
      <w:r w:rsidR="000D595C">
        <w:rPr>
          <w:lang w:val="es-AR"/>
        </w:rPr>
        <w:t xml:space="preserve">{% if </w:t>
      </w:r>
      <w:r w:rsidR="000D595C" w:rsidRPr="000D595C">
        <w:rPr>
          <w:lang w:val="es-AR"/>
        </w:rPr>
        <w:t>SP_Si</w:t>
      </w:r>
      <w:r w:rsidR="000D595C">
        <w:rPr>
          <w:lang w:val="es-AR"/>
        </w:rPr>
        <w:t xml:space="preserve"> %}</w:t>
      </w:r>
    </w:p>
    <w:p w14:paraId="7D07E586" w14:textId="77777777" w:rsidR="00CC1DB3" w:rsidRPr="00CC1DB3" w:rsidRDefault="000F1642" w:rsidP="005C0B8B">
      <w:pPr>
        <w:numPr>
          <w:ilvl w:val="0"/>
          <w:numId w:val="24"/>
        </w:numPr>
        <w:autoSpaceDE w:val="0"/>
        <w:autoSpaceDN w:val="0"/>
        <w:adjustRightInd w:val="0"/>
        <w:ind w:left="0" w:firstLine="1058"/>
        <w:jc w:val="both"/>
        <w:rPr>
          <w:lang w:val="es-AR"/>
        </w:rPr>
      </w:pPr>
      <w:r w:rsidRPr="00C61F24">
        <w:rPr>
          <w:b/>
          <w:bCs/>
        </w:rPr>
        <w:t>Suplemento dinerario</w:t>
      </w:r>
      <w:r>
        <w:t>:</w:t>
      </w:r>
      <w:r w:rsidR="00BA1DCD">
        <w:t xml:space="preserve"> Percibió suplemento dinerario creado por el art 125 bis Ley 24.241 (s/texto Ley 27.426, Art. 5°) hasta alcanzar el 82% del SMVM.</w:t>
      </w:r>
      <w:r w:rsidR="00CC1DB3">
        <w:t xml:space="preserve"> {% else %}</w:t>
      </w:r>
    </w:p>
    <w:p w14:paraId="1C62F75C" w14:textId="37B0E978" w:rsidR="006C7D7B" w:rsidRPr="00CC1DB3" w:rsidRDefault="00CC1DB3" w:rsidP="005C0B8B">
      <w:pPr>
        <w:numPr>
          <w:ilvl w:val="0"/>
          <w:numId w:val="24"/>
        </w:numPr>
        <w:autoSpaceDE w:val="0"/>
        <w:autoSpaceDN w:val="0"/>
        <w:adjustRightInd w:val="0"/>
        <w:ind w:left="0" w:firstLine="1058"/>
        <w:jc w:val="both"/>
        <w:rPr>
          <w:lang w:val="es-AR"/>
        </w:rPr>
      </w:pPr>
      <w:r w:rsidRPr="00C61F24">
        <w:rPr>
          <w:b/>
          <w:bCs/>
        </w:rPr>
        <w:t>Suplemento dinerario</w:t>
      </w:r>
      <w:r>
        <w:t xml:space="preserve">: No Percibió suplemento dinerario supera el 82% del SMVM. </w:t>
      </w:r>
      <w:r w:rsidR="000D595C">
        <w:t>{% endif %}</w:t>
      </w:r>
      <w:r w:rsidR="00B44D48">
        <w:t xml:space="preserve"> {% if Badaro_Si == False %}</w:t>
      </w:r>
    </w:p>
    <w:p w14:paraId="70B601A4" w14:textId="4679F187" w:rsidR="00A1676F" w:rsidRDefault="00C61F24" w:rsidP="005C0B8B">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5C0B8B">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5C0B8B">
      <w:pPr>
        <w:numPr>
          <w:ilvl w:val="0"/>
          <w:numId w:val="25"/>
        </w:numPr>
        <w:autoSpaceDE w:val="0"/>
        <w:autoSpaceDN w:val="0"/>
        <w:adjustRightInd w:val="0"/>
        <w:jc w:val="both"/>
      </w:pPr>
      <w:r>
        <w:t>Se aplico el tope de la PC máxima Art 26.</w:t>
      </w:r>
    </w:p>
    <w:p w14:paraId="573C4651" w14:textId="77777777" w:rsidR="00C61F24" w:rsidRDefault="00C61F24" w:rsidP="005C0B8B">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5C0B8B">
      <w:pPr>
        <w:numPr>
          <w:ilvl w:val="0"/>
          <w:numId w:val="25"/>
        </w:numPr>
        <w:autoSpaceDE w:val="0"/>
        <w:autoSpaceDN w:val="0"/>
        <w:adjustRightInd w:val="0"/>
        <w:jc w:val="both"/>
      </w:pPr>
      <w:r>
        <w:t xml:space="preserve">Se aplico tope del art 24 de la ley 24.241. </w:t>
      </w:r>
      <w:r w:rsidR="00B44D48">
        <w:t xml:space="preserve"> {% endif %} </w:t>
      </w:r>
      <w:r w:rsidR="00D16CF3">
        <w:t>{% if Badaro_Si %}</w:t>
      </w:r>
    </w:p>
    <w:p w14:paraId="3BC4C17A" w14:textId="77777777" w:rsidR="00D16CF3" w:rsidRDefault="00D16CF3" w:rsidP="005C0B8B">
      <w:pPr>
        <w:numPr>
          <w:ilvl w:val="0"/>
          <w:numId w:val="24"/>
        </w:numPr>
        <w:autoSpaceDE w:val="0"/>
        <w:autoSpaceDN w:val="0"/>
        <w:adjustRightInd w:val="0"/>
        <w:ind w:left="0" w:firstLine="1058"/>
        <w:jc w:val="both"/>
      </w:pPr>
      <w:r w:rsidRPr="00C61F24">
        <w:rPr>
          <w:b/>
          <w:bCs/>
        </w:rPr>
        <w:t>Tope</w:t>
      </w:r>
    </w:p>
    <w:p w14:paraId="063F2C35" w14:textId="2E5A0BD2" w:rsidR="00D16CF3" w:rsidRDefault="00D16CF3" w:rsidP="005C0B8B">
      <w:pPr>
        <w:numPr>
          <w:ilvl w:val="0"/>
          <w:numId w:val="25"/>
        </w:numPr>
        <w:autoSpaceDE w:val="0"/>
        <w:autoSpaceDN w:val="0"/>
        <w:adjustRightInd w:val="0"/>
        <w:jc w:val="both"/>
      </w:pPr>
      <w:r w:rsidRPr="00535F0F">
        <w:t xml:space="preserve">Se aplico el tope del artículo 9 inc. </w:t>
      </w:r>
      <w:r w:rsidR="00B4118A">
        <w:t>2</w:t>
      </w:r>
      <w:r w:rsidRPr="00535F0F">
        <w:t xml:space="preserve"> de la ley 24.463</w:t>
      </w:r>
      <w:r>
        <w:t xml:space="preserve">. </w:t>
      </w:r>
    </w:p>
    <w:p w14:paraId="39BCD4C4" w14:textId="27AFDD2D" w:rsidR="00D16CF3" w:rsidRDefault="00D16CF3" w:rsidP="005C0B8B">
      <w:pPr>
        <w:autoSpaceDE w:val="0"/>
        <w:autoSpaceDN w:val="0"/>
        <w:adjustRightInd w:val="0"/>
        <w:ind w:left="1418"/>
        <w:jc w:val="both"/>
      </w:pPr>
      <w:r>
        <w:t>{% endif %}</w:t>
      </w:r>
    </w:p>
    <w:p w14:paraId="631E25D4" w14:textId="77777777" w:rsidR="00C61F24" w:rsidRDefault="00C61F24" w:rsidP="005C0B8B">
      <w:pPr>
        <w:autoSpaceDE w:val="0"/>
        <w:autoSpaceDN w:val="0"/>
        <w:adjustRightInd w:val="0"/>
        <w:ind w:firstLine="1058"/>
        <w:jc w:val="both"/>
      </w:pPr>
    </w:p>
    <w:p w14:paraId="169E13FB" w14:textId="77777777" w:rsidR="008B4C8E" w:rsidRPr="00C6431A" w:rsidRDefault="00C61F24" w:rsidP="005C0B8B">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5C0B8B">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5C0B8B">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r w:rsidR="00334E53">
        <w:t>{{</w:t>
      </w:r>
      <w:r w:rsidR="00334E53" w:rsidRPr="00334E53">
        <w:t xml:space="preserve"> Fecha_de_cierre_de_intereses</w:t>
      </w:r>
      <w:r w:rsidR="00334E53">
        <w:t xml:space="preserve">}} </w:t>
      </w:r>
      <w:r w:rsidR="008B4C8E">
        <w:t>aplicando para ello la Tasa</w:t>
      </w:r>
      <w:r w:rsidR="008B4C8E" w:rsidRPr="000D6B2B">
        <w:t xml:space="preserve"> Pasiva para uso de la Justicia (Com. 14290 BCRA)</w:t>
      </w:r>
      <w:r w:rsidR="008B4C8E">
        <w:t>.</w:t>
      </w:r>
      <w:r w:rsidR="00722AFB">
        <w:t xml:space="preserve"> </w:t>
      </w:r>
      <w:r w:rsidR="008E4D93" w:rsidRPr="008E4D93">
        <w:t>{% if Segunda_Liquidacion_Si %}</w:t>
      </w:r>
    </w:p>
    <w:p w14:paraId="69BA388D" w14:textId="77777777" w:rsidR="008E4D93" w:rsidRPr="008E4D93" w:rsidRDefault="008E4D93" w:rsidP="005C0B8B">
      <w:pPr>
        <w:autoSpaceDE w:val="0"/>
        <w:autoSpaceDN w:val="0"/>
        <w:adjustRightInd w:val="0"/>
        <w:jc w:val="both"/>
      </w:pPr>
      <w:r w:rsidRPr="008E4D93">
        <w:rPr>
          <w:b/>
          <w:bCs/>
        </w:rPr>
        <w:t>Opción 1 {% endif %}</w:t>
      </w:r>
    </w:p>
    <w:p w14:paraId="28185F0D" w14:textId="77777777" w:rsidR="008E4D93" w:rsidRPr="00651855" w:rsidRDefault="008E4D93" w:rsidP="005C0B8B">
      <w:pPr>
        <w:numPr>
          <w:ilvl w:val="0"/>
          <w:numId w:val="24"/>
        </w:numPr>
        <w:autoSpaceDE w:val="0"/>
        <w:autoSpaceDN w:val="0"/>
        <w:adjustRightInd w:val="0"/>
        <w:ind w:left="0" w:firstLine="1058"/>
        <w:jc w:val="both"/>
        <w:rPr>
          <w:lang w:val="es-AR"/>
        </w:rPr>
      </w:pPr>
      <w:r w:rsidRPr="008E4D93">
        <w:rPr>
          <w:b/>
          <w:bCs/>
        </w:rPr>
        <w:t xml:space="preserve">Movilidad: </w:t>
      </w:r>
      <w:r w:rsidRPr="008E4D93">
        <w:t>{{Movilidad}}</w:t>
      </w:r>
    </w:p>
    <w:p w14:paraId="4E815391" w14:textId="6E6989AE" w:rsidR="000A6F4D" w:rsidRPr="000A6F4D" w:rsidRDefault="00651855" w:rsidP="005C0B8B">
      <w:pPr>
        <w:numPr>
          <w:ilvl w:val="0"/>
          <w:numId w:val="24"/>
        </w:numPr>
        <w:autoSpaceDE w:val="0"/>
        <w:autoSpaceDN w:val="0"/>
        <w:adjustRightInd w:val="0"/>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{{Haber_de_Alta}}.</w:t>
      </w:r>
      <w:r w:rsidR="000A6F4D">
        <w:t xml:space="preserve"> </w:t>
      </w:r>
      <w:r w:rsidR="000A6F4D" w:rsidRPr="000A6F4D">
        <w:t>{% if pagos_Si %}</w:t>
      </w:r>
    </w:p>
    <w:p w14:paraId="600FFE4F" w14:textId="00827718" w:rsidR="00651855" w:rsidRDefault="000A6F4D" w:rsidP="005C0B8B">
      <w:pPr>
        <w:numPr>
          <w:ilvl w:val="0"/>
          <w:numId w:val="24"/>
        </w:numPr>
        <w:autoSpaceDE w:val="0"/>
        <w:autoSpaceDN w:val="0"/>
        <w:adjustRightInd w:val="0"/>
        <w:ind w:left="0" w:firstLine="1058"/>
        <w:jc w:val="both"/>
      </w:pPr>
      <w:r w:rsidRPr="000A6F4D">
        <w:rPr>
          <w:b/>
          <w:bCs/>
        </w:rPr>
        <w:t xml:space="preserve">Pagos descontados: </w:t>
      </w:r>
      <w:r w:rsidRPr="000A6F4D">
        <w:t>{{parrafo_descuentos}} {% endif %}</w:t>
      </w:r>
    </w:p>
    <w:p w14:paraId="72469C0C" w14:textId="70CC62C1" w:rsidR="00E65FDF" w:rsidRDefault="003D6F07" w:rsidP="005C0B8B">
      <w:pPr>
        <w:numPr>
          <w:ilvl w:val="0"/>
          <w:numId w:val="24"/>
        </w:numPr>
        <w:autoSpaceDE w:val="0"/>
        <w:autoSpaceDN w:val="0"/>
        <w:adjustRightInd w:val="0"/>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${{Capital}} concepto de Intereses a $ {{Intereses}}.</w:t>
      </w:r>
    </w:p>
    <w:p w14:paraId="287BC1D8" w14:textId="77777777" w:rsidR="003A264B" w:rsidRDefault="003A264B" w:rsidP="005C0B8B">
      <w:pPr>
        <w:autoSpaceDE w:val="0"/>
        <w:autoSpaceDN w:val="0"/>
        <w:adjustRightInd w:val="0"/>
        <w:jc w:val="both"/>
        <w:rPr>
          <w:b/>
          <w:bCs/>
        </w:rPr>
      </w:pPr>
    </w:p>
    <w:p w14:paraId="7BDD8F30" w14:textId="418B4D13" w:rsidR="003A264B" w:rsidRDefault="003A264B" w:rsidP="005C0B8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r w:rsidRPr="003A264B">
        <w:rPr>
          <w:b/>
          <w:bCs/>
        </w:rPr>
        <w:t>{{total_liquidacion}}</w:t>
      </w:r>
    </w:p>
    <w:p w14:paraId="0378E622" w14:textId="2BD6DCB4" w:rsidR="007544B2" w:rsidRDefault="007544B2" w:rsidP="005C0B8B">
      <w:pPr>
        <w:autoSpaceDE w:val="0"/>
        <w:autoSpaceDN w:val="0"/>
        <w:adjustRightInd w:val="0"/>
        <w:jc w:val="both"/>
      </w:pPr>
      <w:r>
        <w:lastRenderedPageBreak/>
        <w:t xml:space="preserve">{% if </w:t>
      </w:r>
      <w:r w:rsidRPr="008E4D93">
        <w:t>Segunda_Liquidacion_Si</w:t>
      </w:r>
      <w:r>
        <w:t xml:space="preserve"> %}</w:t>
      </w:r>
    </w:p>
    <w:p w14:paraId="12808A2E" w14:textId="5856AAA3" w:rsidR="00BA56DB" w:rsidRPr="00BA56DB" w:rsidRDefault="00BA56DB" w:rsidP="005C0B8B">
      <w:pPr>
        <w:autoSpaceDE w:val="0"/>
        <w:autoSpaceDN w:val="0"/>
        <w:adjustRightInd w:val="0"/>
        <w:jc w:val="both"/>
        <w:rPr>
          <w:b/>
          <w:bCs/>
        </w:rPr>
      </w:pPr>
      <w:r w:rsidRPr="00BA56DB">
        <w:rPr>
          <w:b/>
          <w:bCs/>
        </w:rPr>
        <w:t>Opción 2</w:t>
      </w:r>
    </w:p>
    <w:p w14:paraId="0105252F" w14:textId="72FC7177" w:rsidR="007544B2" w:rsidRPr="00651855" w:rsidRDefault="007544B2" w:rsidP="005C0B8B">
      <w:pPr>
        <w:numPr>
          <w:ilvl w:val="0"/>
          <w:numId w:val="24"/>
        </w:numPr>
        <w:autoSpaceDE w:val="0"/>
        <w:autoSpaceDN w:val="0"/>
        <w:adjustRightInd w:val="0"/>
        <w:ind w:left="0" w:firstLine="1058"/>
        <w:jc w:val="both"/>
        <w:rPr>
          <w:lang w:val="es-AR"/>
        </w:rPr>
      </w:pPr>
      <w:r w:rsidRPr="008E4D93">
        <w:rPr>
          <w:b/>
          <w:bCs/>
        </w:rPr>
        <w:t xml:space="preserve">Movilidad: </w:t>
      </w:r>
      <w:r w:rsidRPr="008E4D93">
        <w:t>{{</w:t>
      </w:r>
      <w:r w:rsidR="008262E0" w:rsidRPr="008262E0">
        <w:t xml:space="preserve"> Movilidad_Segunda_Liquidacion </w:t>
      </w:r>
      <w:r w:rsidRPr="008E4D93">
        <w:t>}}</w:t>
      </w:r>
    </w:p>
    <w:p w14:paraId="3D70225D" w14:textId="65B8309B" w:rsidR="007544B2" w:rsidRPr="000A6F4D" w:rsidRDefault="007544B2" w:rsidP="005C0B8B">
      <w:pPr>
        <w:numPr>
          <w:ilvl w:val="0"/>
          <w:numId w:val="24"/>
        </w:numPr>
        <w:autoSpaceDE w:val="0"/>
        <w:autoSpaceDN w:val="0"/>
        <w:adjustRightInd w:val="0"/>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w:t>
      </w:r>
      <w:r w:rsidR="004C3545" w:rsidRPr="004C3545">
        <w:t xml:space="preserve"> Haber_de_Alta_Segunda_Liquidacion </w:t>
      </w:r>
      <w:r w:rsidR="00745522">
        <w:t>}</w:t>
      </w:r>
      <w:r w:rsidRPr="00651855">
        <w:t>}.</w:t>
      </w:r>
      <w:r>
        <w:t xml:space="preserve"> </w:t>
      </w:r>
      <w:r w:rsidRPr="000A6F4D">
        <w:t>{% if pagos_Si %}</w:t>
      </w:r>
    </w:p>
    <w:p w14:paraId="11E31CA9" w14:textId="77777777" w:rsidR="007544B2" w:rsidRDefault="007544B2" w:rsidP="005C0B8B">
      <w:pPr>
        <w:numPr>
          <w:ilvl w:val="0"/>
          <w:numId w:val="24"/>
        </w:numPr>
        <w:autoSpaceDE w:val="0"/>
        <w:autoSpaceDN w:val="0"/>
        <w:adjustRightInd w:val="0"/>
        <w:ind w:left="0" w:firstLine="1058"/>
        <w:jc w:val="both"/>
      </w:pPr>
      <w:r w:rsidRPr="000A6F4D">
        <w:rPr>
          <w:b/>
          <w:bCs/>
        </w:rPr>
        <w:t xml:space="preserve">Pagos descontados: </w:t>
      </w:r>
      <w:r w:rsidRPr="000A6F4D">
        <w:t>{{parrafo_descuentos}} {% endif %}</w:t>
      </w:r>
    </w:p>
    <w:p w14:paraId="50CF3A4A" w14:textId="5681D2E9" w:rsidR="007544B2" w:rsidRDefault="007544B2" w:rsidP="005C0B8B">
      <w:pPr>
        <w:numPr>
          <w:ilvl w:val="0"/>
          <w:numId w:val="24"/>
        </w:numPr>
        <w:autoSpaceDE w:val="0"/>
        <w:autoSpaceDN w:val="0"/>
        <w:adjustRightInd w:val="0"/>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w:t>
      </w:r>
      <w:r w:rsidR="00BA56DB" w:rsidRPr="00BA56DB">
        <w:t xml:space="preserve"> Capital_Segunda_Liquidacion </w:t>
      </w:r>
      <w:r w:rsidRPr="003D6F07">
        <w:t>}} concepto de Intereses a $ {{</w:t>
      </w:r>
      <w:r w:rsidR="00BA56DB" w:rsidRPr="00BA56DB">
        <w:t xml:space="preserve"> Intereses_Segunda_Liquidacion </w:t>
      </w:r>
      <w:r w:rsidRPr="003D6F07">
        <w:t>}}.</w:t>
      </w:r>
    </w:p>
    <w:p w14:paraId="38FBF9E2" w14:textId="77777777" w:rsidR="007544B2" w:rsidRDefault="007544B2" w:rsidP="005C0B8B">
      <w:pPr>
        <w:autoSpaceDE w:val="0"/>
        <w:autoSpaceDN w:val="0"/>
        <w:adjustRightInd w:val="0"/>
        <w:jc w:val="both"/>
        <w:rPr>
          <w:b/>
          <w:bCs/>
        </w:rPr>
      </w:pPr>
    </w:p>
    <w:p w14:paraId="35AE1424" w14:textId="4B3B83B2" w:rsidR="007544B2" w:rsidRDefault="007544B2" w:rsidP="005C0B8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00BA56DB" w:rsidRPr="00BA56DB">
        <w:t xml:space="preserve"> </w:t>
      </w:r>
      <w:r w:rsidR="00BA56DB" w:rsidRPr="00BA56DB">
        <w:rPr>
          <w:b/>
          <w:bCs/>
        </w:rPr>
        <w:t xml:space="preserve">Total_Segunda_Liquidacion </w:t>
      </w:r>
      <w:r w:rsidRPr="003A264B">
        <w:rPr>
          <w:b/>
          <w:bCs/>
        </w:rPr>
        <w:t>}}</w:t>
      </w:r>
    </w:p>
    <w:p w14:paraId="282726B8" w14:textId="552BAB52" w:rsidR="007544B2" w:rsidRDefault="007544B2" w:rsidP="005C0B8B">
      <w:pPr>
        <w:autoSpaceDE w:val="0"/>
        <w:autoSpaceDN w:val="0"/>
        <w:adjustRightInd w:val="0"/>
        <w:jc w:val="both"/>
      </w:pPr>
      <w:r>
        <w:t>{% endif %}</w:t>
      </w:r>
    </w:p>
    <w:p w14:paraId="1BFB6399" w14:textId="50214A2B" w:rsidR="007544B2" w:rsidRDefault="005F61CE" w:rsidP="005C0B8B">
      <w:pPr>
        <w:autoSpaceDE w:val="0"/>
        <w:autoSpaceDN w:val="0"/>
        <w:adjustRightInd w:val="0"/>
        <w:jc w:val="both"/>
      </w:pPr>
      <w:r>
        <w:t>{% if IPC_Liquidacion_S</w:t>
      </w:r>
      <w:r w:rsidR="001B7765">
        <w:t xml:space="preserve">i and </w:t>
      </w:r>
      <w:r w:rsidR="001B7765" w:rsidRPr="008E4D93">
        <w:t>Segunda_Liquidacion_Si</w:t>
      </w:r>
      <w:r>
        <w:t xml:space="preserve"> %}</w:t>
      </w:r>
    </w:p>
    <w:p w14:paraId="0C5C500A" w14:textId="2D623558" w:rsidR="005F61CE" w:rsidRPr="00F76497" w:rsidRDefault="005F61CE" w:rsidP="005C0B8B">
      <w:pPr>
        <w:autoSpaceDE w:val="0"/>
        <w:autoSpaceDN w:val="0"/>
        <w:adjustRightInd w:val="0"/>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endif %}</w:t>
      </w:r>
      <w:r w:rsidR="00F76497">
        <w:rPr>
          <w:color w:val="000000"/>
        </w:rPr>
        <w:t xml:space="preserve"> </w:t>
      </w:r>
      <w:r w:rsidR="00F76497" w:rsidRPr="006F31BF">
        <w:rPr>
          <w:bCs/>
          <w:color w:val="000000"/>
          <w:u w:val="single"/>
        </w:rPr>
        <w:t xml:space="preserve">{% if IPC_Liquidacion_Si and not Segunda_Liquidacion_Si %} </w:t>
      </w:r>
    </w:p>
    <w:p w14:paraId="48EBE409" w14:textId="3305233E" w:rsidR="00B82510" w:rsidRDefault="00B82510" w:rsidP="005C0B8B">
      <w:pPr>
        <w:autoSpaceDE w:val="0"/>
        <w:autoSpaceDN w:val="0"/>
        <w:adjustRightInd w:val="0"/>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F34CD2">
        <w:rPr>
          <w:color w:val="000000"/>
        </w:rPr>
        <w:t xml:space="preserve"> </w:t>
      </w:r>
      <w:r w:rsidR="00F76497">
        <w:rPr>
          <w:color w:val="000000"/>
        </w:rPr>
        <w:t xml:space="preserve">{% </w:t>
      </w:r>
      <w:r w:rsidR="00766103">
        <w:rPr>
          <w:color w:val="000000"/>
        </w:rPr>
        <w:t xml:space="preserve"> </w:t>
      </w:r>
      <w:r w:rsidR="00F76497">
        <w:rPr>
          <w:color w:val="000000"/>
        </w:rPr>
        <w:t>endif</w:t>
      </w:r>
      <w:r w:rsidR="00766103">
        <w:rPr>
          <w:color w:val="000000"/>
        </w:rPr>
        <w:t xml:space="preserve"> </w:t>
      </w:r>
      <w:r w:rsidR="00F76497">
        <w:rPr>
          <w:color w:val="000000"/>
        </w:rPr>
        <w:t>%}</w:t>
      </w:r>
      <w:r w:rsidR="004503C3">
        <w:rPr>
          <w:color w:val="000000"/>
        </w:rPr>
        <w:t xml:space="preserve"> </w:t>
      </w:r>
      <w:r w:rsidR="004503C3" w:rsidRPr="006F31BF">
        <w:rPr>
          <w:bCs/>
          <w:color w:val="000000"/>
          <w:u w:val="single"/>
        </w:rPr>
        <w:t>{% if IPC_Liquidacion_Si</w:t>
      </w:r>
      <w:r w:rsidR="004503C3">
        <w:rPr>
          <w:bCs/>
          <w:color w:val="000000"/>
          <w:u w:val="single"/>
        </w:rPr>
        <w:t xml:space="preserve"> %}</w:t>
      </w:r>
    </w:p>
    <w:p w14:paraId="1C981725" w14:textId="1C96E9FC"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Movilidad</w:t>
      </w:r>
      <w:r>
        <w:t xml:space="preserve">: se aplica </w:t>
      </w:r>
      <w:r w:rsidR="003A5F10">
        <w:t>{{</w:t>
      </w:r>
      <w:r w:rsidR="003A5F10" w:rsidRPr="003A5F10">
        <w:t xml:space="preserve"> Movilidad_Primera_Liquidacion_IPC</w:t>
      </w:r>
      <w:r w:rsidR="003A5F10">
        <w:t xml:space="preserve"> }}</w:t>
      </w:r>
    </w:p>
    <w:p w14:paraId="11BCB32C" w14:textId="47CA8E57"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w:t>
      </w:r>
      <w:r w:rsidR="003A5F10" w:rsidRPr="003D6F07">
        <w:t>Fecha_de_cierre_de_intereses</w:t>
      </w:r>
      <w:r w:rsidR="003A5F10">
        <w:t>}}</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{{Fecha_Inicial_de_Pago}}</w:t>
      </w:r>
      <w:r w:rsidR="00BB453E">
        <w:t xml:space="preserve"> </w:t>
      </w:r>
      <w:r w:rsidRPr="00A206D0">
        <w:t xml:space="preserve">al </w:t>
      </w:r>
      <w:r w:rsidR="003A5F10" w:rsidRPr="003D6F07">
        <w:t>{{Fecha_de_cierre_de_liquidación}}</w:t>
      </w:r>
      <w:r w:rsidRPr="00A206D0">
        <w:t xml:space="preserve"> en concepto de Capital resulta en $</w:t>
      </w:r>
      <w:r w:rsidR="00BE074C">
        <w:t xml:space="preserve"> </w:t>
      </w:r>
      <w:r w:rsidR="00A67C47">
        <w:t>{{</w:t>
      </w:r>
      <w:r w:rsidR="00A67C47" w:rsidRPr="00A67C47">
        <w:t>Capital_Primera_Liquidacion_IPC</w:t>
      </w:r>
      <w:r w:rsidR="00A67C47">
        <w:t>}}</w:t>
      </w:r>
      <w:r w:rsidR="00BE074C">
        <w:t xml:space="preserve"> </w:t>
      </w:r>
      <w:r w:rsidRPr="00A206D0">
        <w:t>concepto de Intereses a $</w:t>
      </w:r>
      <w:r w:rsidR="00BE074C">
        <w:t xml:space="preserve"> </w:t>
      </w:r>
      <w:r w:rsidR="00A67C47">
        <w:t>{{</w:t>
      </w:r>
      <w:r w:rsidR="00A67C47" w:rsidRPr="00A67C47">
        <w:t>Intereses_Primera_Liquidacion_IPC</w:t>
      </w:r>
      <w:r w:rsidR="00A67C47">
        <w:t>}}</w:t>
      </w:r>
      <w:r>
        <w:t xml:space="preserve"> totalizando una deuda dotal de $</w:t>
      </w:r>
      <w:r w:rsidR="00F34C48">
        <w:t>{{</w:t>
      </w:r>
      <w:r w:rsidR="00F34C48" w:rsidRPr="00F34C48">
        <w:t>Total_Primera_Liquidacion_IPC</w:t>
      </w:r>
      <w:r w:rsidR="00F34C48">
        <w:t>}}</w:t>
      </w:r>
      <w:r>
        <w:t>.</w:t>
      </w:r>
      <w:r w:rsidRPr="00A206D0">
        <w:t xml:space="preserve"> </w:t>
      </w:r>
    </w:p>
    <w:p w14:paraId="0F325277" w14:textId="77777777" w:rsidR="00B82510" w:rsidRDefault="00B82510" w:rsidP="005C0B8B">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shd w:val="clear" w:color="auto" w:fill="auto"/>
          </w:tcPr>
          <w:p w14:paraId="18924A8B" w14:textId="77777777" w:rsidR="00B82510" w:rsidRDefault="00B82510" w:rsidP="005C0B8B">
            <w:pPr>
              <w:autoSpaceDE w:val="0"/>
              <w:autoSpaceDN w:val="0"/>
              <w:adjustRightInd w:val="0"/>
              <w:jc w:val="both"/>
            </w:pPr>
            <w:r>
              <w:t>Haber con IPC</w:t>
            </w:r>
          </w:p>
        </w:tc>
        <w:tc>
          <w:tcPr>
            <w:tcW w:w="1972" w:type="dxa"/>
            <w:shd w:val="clear" w:color="auto" w:fill="auto"/>
          </w:tcPr>
          <w:p w14:paraId="3F426986" w14:textId="6CE04AE4" w:rsidR="00B82510" w:rsidRDefault="00F34C48" w:rsidP="005C0B8B">
            <w:pPr>
              <w:autoSpaceDE w:val="0"/>
              <w:autoSpaceDN w:val="0"/>
              <w:adjustRightInd w:val="0"/>
              <w:jc w:val="both"/>
            </w:pPr>
            <w:r>
              <w:t>{{</w:t>
            </w:r>
            <w:r w:rsidRPr="00F34C48">
              <w:t>Haber_de_Alta_Primera_Liquidacion_IPC</w:t>
            </w:r>
            <w:r>
              <w:t>}}</w:t>
            </w:r>
          </w:p>
        </w:tc>
      </w:tr>
      <w:tr w:rsidR="00B82510" w14:paraId="6A0DD5A3" w14:textId="77777777" w:rsidTr="001979E4">
        <w:trPr>
          <w:trHeight w:val="255"/>
        </w:trPr>
        <w:tc>
          <w:tcPr>
            <w:tcW w:w="1971" w:type="dxa"/>
            <w:shd w:val="clear" w:color="auto" w:fill="auto"/>
          </w:tcPr>
          <w:p w14:paraId="61571B08" w14:textId="77777777" w:rsidR="00B82510" w:rsidRDefault="00B82510" w:rsidP="005C0B8B">
            <w:pPr>
              <w:autoSpaceDE w:val="0"/>
              <w:autoSpaceDN w:val="0"/>
              <w:adjustRightInd w:val="0"/>
              <w:jc w:val="both"/>
            </w:pPr>
            <w:r>
              <w:t>Haber con 27609</w:t>
            </w:r>
          </w:p>
        </w:tc>
        <w:tc>
          <w:tcPr>
            <w:tcW w:w="1972" w:type="dxa"/>
            <w:shd w:val="clear" w:color="auto" w:fill="auto"/>
          </w:tcPr>
          <w:p w14:paraId="65B4F452" w14:textId="52BC4081" w:rsidR="00B82510" w:rsidRDefault="005A7B53" w:rsidP="005C0B8B">
            <w:pPr>
              <w:autoSpaceDE w:val="0"/>
              <w:autoSpaceDN w:val="0"/>
              <w:adjustRightInd w:val="0"/>
              <w:jc w:val="both"/>
            </w:pPr>
            <w:r>
              <w:t>{{</w:t>
            </w:r>
            <w:r w:rsidRPr="005A7B53">
              <w:t>Haber_de_Alta</w:t>
            </w:r>
            <w:r>
              <w:t>}}</w:t>
            </w:r>
          </w:p>
        </w:tc>
      </w:tr>
      <w:tr w:rsidR="00B82510" w14:paraId="2AD97FAA" w14:textId="77777777" w:rsidTr="001979E4">
        <w:trPr>
          <w:trHeight w:val="244"/>
        </w:trPr>
        <w:tc>
          <w:tcPr>
            <w:tcW w:w="1971" w:type="dxa"/>
            <w:shd w:val="clear" w:color="auto" w:fill="auto"/>
          </w:tcPr>
          <w:p w14:paraId="2FC9C4FA" w14:textId="77777777" w:rsidR="00B82510" w:rsidRDefault="00B82510" w:rsidP="005C0B8B">
            <w:pPr>
              <w:autoSpaceDE w:val="0"/>
              <w:autoSpaceDN w:val="0"/>
              <w:adjustRightInd w:val="0"/>
              <w:jc w:val="both"/>
            </w:pPr>
            <w:r>
              <w:t>Dif</w:t>
            </w:r>
          </w:p>
        </w:tc>
        <w:tc>
          <w:tcPr>
            <w:tcW w:w="1972" w:type="dxa"/>
            <w:shd w:val="clear" w:color="auto" w:fill="auto"/>
          </w:tcPr>
          <w:p w14:paraId="6A9680D6" w14:textId="0F2EFA96" w:rsidR="00B82510" w:rsidRDefault="005A7B53" w:rsidP="005C0B8B">
            <w:pPr>
              <w:autoSpaceDE w:val="0"/>
              <w:autoSpaceDN w:val="0"/>
              <w:adjustRightInd w:val="0"/>
              <w:jc w:val="both"/>
            </w:pPr>
            <w:r>
              <w:t>{{</w:t>
            </w:r>
            <w:r w:rsidRPr="005A7B53">
              <w:t>Diferencias</w:t>
            </w:r>
            <w:r>
              <w:t>}}</w:t>
            </w:r>
          </w:p>
        </w:tc>
      </w:tr>
      <w:tr w:rsidR="00B82510" w14:paraId="242BB3EE" w14:textId="77777777" w:rsidTr="001979E4">
        <w:trPr>
          <w:trHeight w:val="255"/>
        </w:trPr>
        <w:tc>
          <w:tcPr>
            <w:tcW w:w="1971" w:type="dxa"/>
            <w:shd w:val="clear" w:color="auto" w:fill="auto"/>
          </w:tcPr>
          <w:p w14:paraId="75036223" w14:textId="77777777" w:rsidR="00B82510" w:rsidRDefault="00B82510" w:rsidP="005C0B8B">
            <w:pPr>
              <w:autoSpaceDE w:val="0"/>
              <w:autoSpaceDN w:val="0"/>
              <w:adjustRightInd w:val="0"/>
              <w:jc w:val="both"/>
            </w:pPr>
            <w:r>
              <w:t>Quita</w:t>
            </w:r>
          </w:p>
        </w:tc>
        <w:tc>
          <w:tcPr>
            <w:tcW w:w="1972" w:type="dxa"/>
            <w:shd w:val="clear" w:color="auto" w:fill="auto"/>
          </w:tcPr>
          <w:p w14:paraId="1DD8E090" w14:textId="66C024FB" w:rsidR="00B82510" w:rsidRDefault="00311313" w:rsidP="005C0B8B">
            <w:pPr>
              <w:autoSpaceDE w:val="0"/>
              <w:autoSpaceDN w:val="0"/>
              <w:adjustRightInd w:val="0"/>
              <w:jc w:val="both"/>
            </w:pPr>
            <w:r>
              <w:t>{{</w:t>
            </w:r>
            <w:r w:rsidRPr="00311313">
              <w:t>Porcentaje</w:t>
            </w:r>
            <w:r>
              <w:t>}}</w:t>
            </w:r>
            <w:r w:rsidR="00B82510">
              <w:t>%</w:t>
            </w:r>
          </w:p>
        </w:tc>
      </w:tr>
    </w:tbl>
    <w:p w14:paraId="50219111" w14:textId="77777777" w:rsidR="009A6E2F" w:rsidRDefault="009A6E2F" w:rsidP="005C0B8B">
      <w:pPr>
        <w:autoSpaceDE w:val="0"/>
        <w:autoSpaceDN w:val="0"/>
        <w:adjustRightInd w:val="0"/>
        <w:jc w:val="both"/>
      </w:pPr>
    </w:p>
    <w:p w14:paraId="63D315CE" w14:textId="62F90A1E" w:rsidR="00A62268" w:rsidRDefault="00A62268" w:rsidP="005C0B8B">
      <w:pPr>
        <w:autoSpaceDE w:val="0"/>
        <w:autoSpaceDN w:val="0"/>
        <w:adjustRightInd w:val="0"/>
        <w:jc w:val="both"/>
      </w:pPr>
      <w:r w:rsidRPr="004C6865">
        <w:t>Comparacion_1</w:t>
      </w:r>
    </w:p>
    <w:p w14:paraId="5A7D4F69" w14:textId="0A9A7DA7" w:rsidR="009A6E2F" w:rsidRDefault="009A6E2F" w:rsidP="005C0B8B">
      <w:pPr>
        <w:autoSpaceDE w:val="0"/>
        <w:autoSpaceDN w:val="0"/>
        <w:adjustRightInd w:val="0"/>
        <w:jc w:val="both"/>
      </w:pPr>
      <w:r>
        <w:t xml:space="preserve">{% if IPC_Liquidacion_Si and </w:t>
      </w:r>
      <w:r w:rsidRPr="008E4D93">
        <w:t>Segunda_Liquidacion_Si</w:t>
      </w:r>
      <w:r>
        <w:t xml:space="preserve"> %}</w:t>
      </w:r>
    </w:p>
    <w:p w14:paraId="0CC9634F" w14:textId="643671D1" w:rsidR="009A6E2F" w:rsidRPr="00E46030" w:rsidRDefault="009A6E2F" w:rsidP="005C0B8B">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r w:rsidR="004F71E9" w:rsidRPr="004F71E9">
        <w:t>Movilidad_Segunda_Liquidacion_IPC</w:t>
      </w:r>
      <w:r>
        <w:t xml:space="preserve"> }}</w:t>
      </w:r>
    </w:p>
    <w:p w14:paraId="24F37BA2" w14:textId="0CF73EBB" w:rsidR="009A6E2F" w:rsidRPr="00E46030" w:rsidRDefault="009A6E2F" w:rsidP="005C0B8B">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0061715B" w:rsidRPr="0061715B">
        <w:t xml:space="preserve"> Capital_Segunda_Liquidacion_IPC</w:t>
      </w:r>
      <w:r>
        <w:t xml:space="preserve">}} </w:t>
      </w:r>
      <w:r w:rsidRPr="00A206D0">
        <w:t>concepto de Intereses a $</w:t>
      </w:r>
      <w:r>
        <w:t xml:space="preserve"> {{</w:t>
      </w:r>
      <w:r w:rsidR="00491C23" w:rsidRPr="00491C23">
        <w:t xml:space="preserve"> Intereses_Segunda_Liquidacion_IPC</w:t>
      </w:r>
      <w:r w:rsidR="00491C23">
        <w:t xml:space="preserve"> </w:t>
      </w:r>
      <w:r>
        <w:t>}} totalizando una deuda dotal de ${{</w:t>
      </w:r>
      <w:r w:rsidR="00491C23" w:rsidRPr="00491C23">
        <w:t xml:space="preserve"> Total_Segunda_Liquidacion_IPC</w:t>
      </w:r>
      <w:r w:rsidR="00491C23">
        <w:t xml:space="preserve"> </w:t>
      </w:r>
      <w:r>
        <w:t>}}.</w:t>
      </w:r>
      <w:r w:rsidRPr="00A206D0">
        <w:t xml:space="preserve"> </w:t>
      </w:r>
    </w:p>
    <w:p w14:paraId="2BDAB697" w14:textId="77777777" w:rsidR="009A6E2F" w:rsidRDefault="009A6E2F" w:rsidP="005C0B8B">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shd w:val="clear" w:color="auto" w:fill="auto"/>
          </w:tcPr>
          <w:p w14:paraId="009B964D" w14:textId="77777777" w:rsidR="009A6E2F" w:rsidRDefault="009A6E2F" w:rsidP="005C0B8B">
            <w:pPr>
              <w:autoSpaceDE w:val="0"/>
              <w:autoSpaceDN w:val="0"/>
              <w:adjustRightInd w:val="0"/>
              <w:jc w:val="both"/>
            </w:pPr>
            <w:r>
              <w:lastRenderedPageBreak/>
              <w:t>Haber con IPC</w:t>
            </w:r>
          </w:p>
        </w:tc>
        <w:tc>
          <w:tcPr>
            <w:tcW w:w="1972" w:type="dxa"/>
            <w:shd w:val="clear" w:color="auto" w:fill="auto"/>
          </w:tcPr>
          <w:p w14:paraId="6BE1BA79" w14:textId="5C61B2C9" w:rsidR="009A6E2F" w:rsidRDefault="009A6E2F" w:rsidP="005C0B8B">
            <w:pPr>
              <w:autoSpaceDE w:val="0"/>
              <w:autoSpaceDN w:val="0"/>
              <w:adjustRightInd w:val="0"/>
              <w:jc w:val="both"/>
            </w:pPr>
            <w:r>
              <w:t>{{</w:t>
            </w:r>
            <w:r w:rsidR="0061715B" w:rsidRPr="0061715B">
              <w:t>Haber_de_Alta_Segunda_Liquidacion_IPC</w:t>
            </w:r>
            <w:r>
              <w:t>}}</w:t>
            </w:r>
          </w:p>
        </w:tc>
      </w:tr>
      <w:tr w:rsidR="009A6E2F" w14:paraId="6460C9D7" w14:textId="77777777" w:rsidTr="008E37CE">
        <w:trPr>
          <w:trHeight w:val="255"/>
        </w:trPr>
        <w:tc>
          <w:tcPr>
            <w:tcW w:w="1971" w:type="dxa"/>
            <w:shd w:val="clear" w:color="auto" w:fill="auto"/>
          </w:tcPr>
          <w:p w14:paraId="31AE4C34" w14:textId="77777777" w:rsidR="009A6E2F" w:rsidRDefault="009A6E2F" w:rsidP="005C0B8B">
            <w:pPr>
              <w:autoSpaceDE w:val="0"/>
              <w:autoSpaceDN w:val="0"/>
              <w:adjustRightInd w:val="0"/>
              <w:jc w:val="both"/>
            </w:pPr>
            <w:r>
              <w:t>Haber con 27609</w:t>
            </w:r>
          </w:p>
        </w:tc>
        <w:tc>
          <w:tcPr>
            <w:tcW w:w="1972" w:type="dxa"/>
            <w:shd w:val="clear" w:color="auto" w:fill="auto"/>
          </w:tcPr>
          <w:p w14:paraId="06AE362B" w14:textId="62A64C84" w:rsidR="009A6E2F" w:rsidRDefault="009A6E2F" w:rsidP="005C0B8B">
            <w:pPr>
              <w:autoSpaceDE w:val="0"/>
              <w:autoSpaceDN w:val="0"/>
              <w:adjustRightInd w:val="0"/>
              <w:jc w:val="both"/>
            </w:pPr>
            <w:r>
              <w:t>{{</w:t>
            </w:r>
            <w:r w:rsidR="00491C23">
              <w:t xml:space="preserve"> </w:t>
            </w:r>
            <w:r w:rsidR="00491C23" w:rsidRPr="00491C23">
              <w:t>Haber_de_Alta_Segunda_Liquidacion</w:t>
            </w:r>
            <w:r w:rsidR="00491C23">
              <w:t xml:space="preserve"> </w:t>
            </w:r>
            <w:r>
              <w:t>}}</w:t>
            </w:r>
          </w:p>
        </w:tc>
      </w:tr>
      <w:tr w:rsidR="009A6E2F" w14:paraId="06EBC56B" w14:textId="77777777" w:rsidTr="008E37CE">
        <w:trPr>
          <w:trHeight w:val="244"/>
        </w:trPr>
        <w:tc>
          <w:tcPr>
            <w:tcW w:w="1971" w:type="dxa"/>
            <w:shd w:val="clear" w:color="auto" w:fill="auto"/>
          </w:tcPr>
          <w:p w14:paraId="702C1C1D" w14:textId="77777777" w:rsidR="009A6E2F" w:rsidRDefault="009A6E2F" w:rsidP="005C0B8B">
            <w:pPr>
              <w:autoSpaceDE w:val="0"/>
              <w:autoSpaceDN w:val="0"/>
              <w:adjustRightInd w:val="0"/>
              <w:jc w:val="both"/>
            </w:pPr>
            <w:r>
              <w:t>Dif</w:t>
            </w:r>
          </w:p>
        </w:tc>
        <w:tc>
          <w:tcPr>
            <w:tcW w:w="1972" w:type="dxa"/>
            <w:shd w:val="clear" w:color="auto" w:fill="auto"/>
          </w:tcPr>
          <w:p w14:paraId="673F6AA9" w14:textId="551E00E6" w:rsidR="009A6E2F" w:rsidRDefault="009A6E2F" w:rsidP="005C0B8B">
            <w:pPr>
              <w:autoSpaceDE w:val="0"/>
              <w:autoSpaceDN w:val="0"/>
              <w:adjustRightInd w:val="0"/>
              <w:jc w:val="both"/>
            </w:pPr>
            <w:r>
              <w:t>{{</w:t>
            </w:r>
            <w:r w:rsidR="007544B2">
              <w:t xml:space="preserve"> </w:t>
            </w:r>
            <w:r w:rsidR="007544B2" w:rsidRPr="007544B2">
              <w:t>Diferencias_2</w:t>
            </w:r>
            <w:r>
              <w:t>}}</w:t>
            </w:r>
          </w:p>
        </w:tc>
      </w:tr>
      <w:tr w:rsidR="009A6E2F" w14:paraId="285F43CB" w14:textId="77777777" w:rsidTr="008E37CE">
        <w:trPr>
          <w:trHeight w:val="255"/>
        </w:trPr>
        <w:tc>
          <w:tcPr>
            <w:tcW w:w="1971" w:type="dxa"/>
            <w:shd w:val="clear" w:color="auto" w:fill="auto"/>
          </w:tcPr>
          <w:p w14:paraId="1E013C31" w14:textId="77777777" w:rsidR="009A6E2F" w:rsidRDefault="009A6E2F" w:rsidP="005C0B8B">
            <w:pPr>
              <w:autoSpaceDE w:val="0"/>
              <w:autoSpaceDN w:val="0"/>
              <w:adjustRightInd w:val="0"/>
              <w:jc w:val="both"/>
            </w:pPr>
            <w:r>
              <w:t>Quita</w:t>
            </w:r>
          </w:p>
        </w:tc>
        <w:tc>
          <w:tcPr>
            <w:tcW w:w="1972" w:type="dxa"/>
            <w:shd w:val="clear" w:color="auto" w:fill="auto"/>
          </w:tcPr>
          <w:p w14:paraId="306EDE9F" w14:textId="0D0BF0BC" w:rsidR="009A6E2F" w:rsidRDefault="009A6E2F" w:rsidP="005C0B8B">
            <w:pPr>
              <w:autoSpaceDE w:val="0"/>
              <w:autoSpaceDN w:val="0"/>
              <w:adjustRightInd w:val="0"/>
              <w:jc w:val="both"/>
            </w:pPr>
            <w:r>
              <w:t>{{</w:t>
            </w:r>
            <w:r w:rsidR="007544B2">
              <w:t xml:space="preserve"> </w:t>
            </w:r>
            <w:r w:rsidR="007544B2" w:rsidRPr="007544B2">
              <w:t>Porcentaje_2</w:t>
            </w:r>
            <w:r>
              <w:t>}}%</w:t>
            </w:r>
          </w:p>
        </w:tc>
      </w:tr>
    </w:tbl>
    <w:p w14:paraId="61406EC3" w14:textId="77777777" w:rsidR="00B82510" w:rsidRPr="00A206D0" w:rsidRDefault="00B82510" w:rsidP="005C0B8B">
      <w:pPr>
        <w:autoSpaceDE w:val="0"/>
        <w:autoSpaceDN w:val="0"/>
        <w:adjustRightInd w:val="0"/>
        <w:jc w:val="both"/>
      </w:pPr>
    </w:p>
    <w:p w14:paraId="52A47E87" w14:textId="6B766CB3" w:rsidR="00EF567B" w:rsidRDefault="00EF567B" w:rsidP="005C0B8B">
      <w:pPr>
        <w:autoSpaceDE w:val="0"/>
        <w:autoSpaceDN w:val="0"/>
        <w:adjustRightInd w:val="0"/>
        <w:jc w:val="both"/>
        <w:rPr>
          <w:color w:val="000000"/>
        </w:rPr>
      </w:pPr>
      <w:r w:rsidRPr="004C6865">
        <w:rPr>
          <w:color w:val="000000"/>
        </w:rPr>
        <w:t>Comparacion_2</w:t>
      </w:r>
    </w:p>
    <w:p w14:paraId="598CB85C" w14:textId="1E3E2F2C" w:rsidR="007544B2" w:rsidRPr="008A737C" w:rsidRDefault="007544B2" w:rsidP="005C0B8B">
      <w:pPr>
        <w:autoSpaceDE w:val="0"/>
        <w:autoSpaceDN w:val="0"/>
        <w:adjustRightInd w:val="0"/>
        <w:jc w:val="both"/>
        <w:rPr>
          <w:bCs/>
          <w:color w:val="000000"/>
          <w:u w:val="single"/>
        </w:rPr>
      </w:pPr>
      <w:r>
        <w:rPr>
          <w:color w:val="000000"/>
        </w:rPr>
        <w:t>{% endif %}</w:t>
      </w:r>
      <w:r w:rsidR="008A737C">
        <w:rPr>
          <w:color w:val="000000"/>
        </w:rPr>
        <w:t xml:space="preserve"> </w:t>
      </w:r>
      <w:r w:rsidR="008A737C" w:rsidRPr="006F31BF">
        <w:rPr>
          <w:bCs/>
          <w:color w:val="000000"/>
          <w:u w:val="single"/>
        </w:rPr>
        <w:t xml:space="preserve">{% if IPC_Liquidacion_Si and not Segunda_Liquidacion_Si %} </w:t>
      </w:r>
    </w:p>
    <w:p w14:paraId="6EF68C7D" w14:textId="77777777" w:rsidR="007616F8" w:rsidRDefault="00B82510" w:rsidP="005C0B8B">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w:t>
      </w:r>
      <w:r w:rsidR="00311313" w:rsidRPr="00311313">
        <w:rPr>
          <w:color w:val="000000"/>
        </w:rPr>
        <w:t>Porcentaje</w:t>
      </w:r>
      <w:r w:rsidR="00311313">
        <w:rPr>
          <w:color w:val="000000"/>
        </w:rP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 endif %}</w:t>
      </w:r>
      <w:r w:rsidR="007616F8" w:rsidRPr="006F31BF">
        <w:rPr>
          <w:bCs/>
          <w:color w:val="000000"/>
          <w:u w:val="single"/>
        </w:rPr>
        <w:t xml:space="preserve">{% if IPC_Liquidacion_Si and Segunda_Liquidacion_Si %} </w:t>
      </w:r>
    </w:p>
    <w:p w14:paraId="7FE61364" w14:textId="6232A30C" w:rsidR="00B82510" w:rsidRPr="0016010A" w:rsidRDefault="007616F8" w:rsidP="005C0B8B">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endif %}</w:t>
      </w:r>
      <w:r>
        <w:rPr>
          <w:color w:val="000000"/>
        </w:rPr>
        <w:t xml:space="preserve"> {% endif %}</w:t>
      </w:r>
      <w:r w:rsidR="00163618">
        <w:rPr>
          <w:color w:val="000000"/>
        </w:rPr>
        <w:t xml:space="preserve">{% if </w:t>
      </w:r>
      <w:r w:rsidR="00163618">
        <w:t xml:space="preserve">ley_27609_Si </w:t>
      </w:r>
      <w:r w:rsidR="00163618">
        <w:rPr>
          <w:color w:val="000000"/>
        </w:rPr>
        <w:t>%}</w:t>
      </w:r>
    </w:p>
    <w:p w14:paraId="3882DA64" w14:textId="77777777" w:rsidR="00B82510" w:rsidRDefault="00B82510" w:rsidP="005C0B8B">
      <w:pPr>
        <w:autoSpaceDE w:val="0"/>
        <w:autoSpaceDN w:val="0"/>
        <w:adjustRightInd w:val="0"/>
        <w:ind w:left="1146"/>
        <w:jc w:val="both"/>
        <w:rPr>
          <w:b/>
          <w:bCs/>
        </w:rPr>
      </w:pPr>
    </w:p>
    <w:p w14:paraId="0F00F9EF" w14:textId="77777777" w:rsidR="00B82510" w:rsidRDefault="00B82510" w:rsidP="005C0B8B">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38103DE" w14:textId="77777777" w:rsidR="00B82510" w:rsidRPr="00345944" w:rsidRDefault="00B82510" w:rsidP="005C0B8B">
      <w:pPr>
        <w:autoSpaceDE w:val="0"/>
        <w:autoSpaceDN w:val="0"/>
        <w:adjustRightInd w:val="0"/>
        <w:ind w:left="1146"/>
        <w:jc w:val="both"/>
        <w:rPr>
          <w:b/>
          <w:bCs/>
        </w:rPr>
      </w:pPr>
    </w:p>
    <w:p w14:paraId="434723EC" w14:textId="77777777" w:rsidR="001D02DD" w:rsidRPr="00BC1468" w:rsidRDefault="001D02DD" w:rsidP="0035293C">
      <w:pPr>
        <w:autoSpaceDE w:val="0"/>
        <w:autoSpaceDN w:val="0"/>
        <w:adjustRightInd w:val="0"/>
        <w:spacing w:line="276" w:lineRule="auto"/>
        <w:ind w:firstLine="851"/>
        <w:jc w:val="both"/>
        <w:rPr>
          <w:rFonts w:eastAsia="Calibri"/>
          <w:lang w:val="es-AR"/>
        </w:rPr>
      </w:pPr>
      <w:r w:rsidRPr="00BC1468">
        <w:rPr>
          <w:rFonts w:eastAsia="Calibri"/>
          <w:lang w:val="es-AR"/>
        </w:rPr>
        <w:t>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Por sobre todo, vulnera el derecho a la vida y a una vejez digna.</w:t>
      </w:r>
    </w:p>
    <w:p w14:paraId="1B39ECB4" w14:textId="77777777" w:rsidR="001D02DD" w:rsidRPr="00BC1468" w:rsidRDefault="001D02DD" w:rsidP="0035293C">
      <w:pPr>
        <w:autoSpaceDE w:val="0"/>
        <w:autoSpaceDN w:val="0"/>
        <w:adjustRightInd w:val="0"/>
        <w:spacing w:line="276" w:lineRule="auto"/>
        <w:ind w:firstLine="851"/>
        <w:jc w:val="both"/>
        <w:rPr>
          <w:rFonts w:eastAsia="Calibri"/>
          <w:lang w:val="es-AR"/>
        </w:rPr>
      </w:pPr>
      <w:r w:rsidRPr="00BC1468">
        <w:rPr>
          <w:rFonts w:eastAsia="Calibri"/>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183A724F" w14:textId="77777777" w:rsidR="001D02DD" w:rsidRPr="00BC1468" w:rsidRDefault="001D02DD" w:rsidP="0035293C">
      <w:pPr>
        <w:autoSpaceDE w:val="0"/>
        <w:autoSpaceDN w:val="0"/>
        <w:adjustRightInd w:val="0"/>
        <w:spacing w:line="276" w:lineRule="auto"/>
        <w:ind w:firstLine="851"/>
        <w:jc w:val="both"/>
        <w:rPr>
          <w:rFonts w:eastAsia="Calibri"/>
          <w:lang w:val="es-AR"/>
        </w:rPr>
      </w:pPr>
      <w:r w:rsidRPr="00BC1468">
        <w:rPr>
          <w:rFonts w:eastAsia="Calibri"/>
          <w:lang w:val="es-AR"/>
        </w:rPr>
        <w:t>Los fallos “Márquez” y “Cendán”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3FAA3055" w14:textId="69DC8BCA" w:rsidR="00B82510" w:rsidRPr="00BC1468" w:rsidRDefault="001D02DD" w:rsidP="005C0B8B">
      <w:pPr>
        <w:spacing w:after="200"/>
        <w:ind w:firstLine="426"/>
        <w:contextualSpacing/>
        <w:jc w:val="both"/>
        <w:rPr>
          <w:rFonts w:eastAsia="Calibri"/>
          <w:lang w:eastAsia="es-MX"/>
        </w:rPr>
      </w:pPr>
      <w:r w:rsidRPr="00BC1468">
        <w:rPr>
          <w:noProof/>
        </w:rPr>
        <w:lastRenderedPageBreak/>
        <w:drawing>
          <wp:anchor distT="0" distB="0" distL="114300" distR="114300" simplePos="0" relativeHeight="251657728" behindDoc="1" locked="0" layoutInCell="1" allowOverlap="1" wp14:anchorId="36E42EEE" wp14:editId="17F8C116">
            <wp:simplePos x="0" y="0"/>
            <wp:positionH relativeFrom="column">
              <wp:posOffset>250190</wp:posOffset>
            </wp:positionH>
            <wp:positionV relativeFrom="paragraph">
              <wp:posOffset>193675</wp:posOffset>
            </wp:positionV>
            <wp:extent cx="5146040" cy="2366010"/>
            <wp:effectExtent l="0" t="0" r="0" b="0"/>
            <wp:wrapTight wrapText="bothSides">
              <wp:wrapPolygon edited="0">
                <wp:start x="0" y="0"/>
                <wp:lineTo x="0" y="21391"/>
                <wp:lineTo x="21509" y="21391"/>
                <wp:lineTo x="21509" y="0"/>
                <wp:lineTo x="0" y="0"/>
              </wp:wrapPolygon>
            </wp:wrapTight>
            <wp:docPr id="239996007" name="Imagen 5"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6040" cy="2366010"/>
                    </a:xfrm>
                    <a:prstGeom prst="rect">
                      <a:avLst/>
                    </a:prstGeom>
                    <a:noFill/>
                  </pic:spPr>
                </pic:pic>
              </a:graphicData>
            </a:graphic>
            <wp14:sizeRelH relativeFrom="page">
              <wp14:pctWidth>0</wp14:pctWidth>
            </wp14:sizeRelH>
            <wp14:sizeRelV relativeFrom="page">
              <wp14:pctHeight>0</wp14:pctHeight>
            </wp14:sizeRelV>
          </wp:anchor>
        </w:drawing>
      </w:r>
    </w:p>
    <w:p w14:paraId="0FA051C9" w14:textId="77777777" w:rsidR="001D02DD" w:rsidRPr="00BC1468" w:rsidRDefault="001D02DD" w:rsidP="0035293C">
      <w:pPr>
        <w:pStyle w:val="NormalWeb"/>
        <w:spacing w:line="276" w:lineRule="auto"/>
        <w:ind w:firstLine="709"/>
        <w:jc w:val="both"/>
      </w:pPr>
      <w:r w:rsidRPr="00BC1468">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146E4604" w14:textId="1E57788C" w:rsidR="001D02DD" w:rsidRPr="00BC1468" w:rsidRDefault="001D02DD" w:rsidP="0035293C">
      <w:pPr>
        <w:pStyle w:val="NormalWeb"/>
        <w:spacing w:line="276" w:lineRule="auto"/>
        <w:ind w:firstLine="709"/>
        <w:jc w:val="both"/>
      </w:pPr>
      <w:r w:rsidRPr="00BC1468">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6580D18E" w14:textId="77777777" w:rsidR="001D02DD" w:rsidRPr="00BC1468" w:rsidRDefault="001D02DD" w:rsidP="0035293C">
      <w:pPr>
        <w:pStyle w:val="NormalWeb"/>
        <w:spacing w:line="276" w:lineRule="auto"/>
        <w:ind w:firstLine="709"/>
        <w:jc w:val="both"/>
      </w:pPr>
      <w:r w:rsidRPr="00BC1468">
        <w:t>Como lo ha sostenido la Corte Suprema de Justicia de la Nación:</w:t>
      </w:r>
      <w:r w:rsidRPr="00BC1468">
        <w:br/>
      </w:r>
      <w:r w:rsidRPr="00BC1468">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BC1468">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42714" w14:textId="77777777" w:rsidR="001D02DD" w:rsidRPr="00BC1468" w:rsidRDefault="001D02DD" w:rsidP="0035293C">
      <w:pPr>
        <w:pStyle w:val="NormalWeb"/>
        <w:spacing w:line="276" w:lineRule="auto"/>
        <w:ind w:firstLine="709"/>
        <w:jc w:val="both"/>
      </w:pPr>
      <w:r w:rsidRPr="00BC1468">
        <w:lastRenderedPageBreak/>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01EB6F7D" w14:textId="77777777" w:rsidR="001D02DD" w:rsidRPr="00BC1468" w:rsidRDefault="001D02DD" w:rsidP="0035293C">
      <w:pPr>
        <w:pStyle w:val="NormalWeb"/>
        <w:spacing w:line="276" w:lineRule="auto"/>
        <w:ind w:firstLine="709"/>
        <w:jc w:val="both"/>
      </w:pPr>
      <w:r w:rsidRPr="00BC1468">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4020BE71" w14:textId="1CB85506" w:rsidR="001D02DD" w:rsidRPr="00BC1468" w:rsidRDefault="001D02DD" w:rsidP="0035293C">
      <w:pPr>
        <w:pStyle w:val="NormalWeb"/>
        <w:spacing w:line="276" w:lineRule="auto"/>
        <w:ind w:firstLine="709"/>
        <w:jc w:val="both"/>
      </w:pPr>
      <w:r w:rsidRPr="00BC1468">
        <w:t>Como sostuvo la Corte Suprema de Justicia de la Nación en Fallos 301:317:</w:t>
      </w:r>
      <w:r w:rsidRPr="00BC1468">
        <w:rPr>
          <w:rStyle w:val="nfasis"/>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BC1468">
        <w:t xml:space="preserve"> (el subrayado me pertenece).</w:t>
      </w:r>
    </w:p>
    <w:p w14:paraId="4336B917" w14:textId="77777777" w:rsidR="001D02DD" w:rsidRPr="00BC1468" w:rsidRDefault="001D02DD" w:rsidP="0035293C">
      <w:pPr>
        <w:pStyle w:val="NormalWeb"/>
        <w:spacing w:line="276" w:lineRule="auto"/>
        <w:ind w:firstLine="709"/>
        <w:jc w:val="both"/>
      </w:pPr>
      <w:r w:rsidRPr="00BC1468">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25676F24" w14:textId="77777777" w:rsidR="001D02DD" w:rsidRPr="00BC1468" w:rsidRDefault="001D02DD" w:rsidP="0035293C">
      <w:pPr>
        <w:pStyle w:val="NormalWeb"/>
        <w:spacing w:line="276" w:lineRule="auto"/>
        <w:ind w:firstLine="709"/>
        <w:jc w:val="both"/>
      </w:pPr>
      <w:r w:rsidRPr="00BC1468">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5454DC88" w14:textId="7864C834" w:rsidR="00B82510" w:rsidRPr="00BC1468" w:rsidRDefault="00B82510" w:rsidP="0035293C">
      <w:pPr>
        <w:spacing w:line="276" w:lineRule="auto"/>
        <w:ind w:firstLine="1560"/>
        <w:jc w:val="both"/>
        <w:rPr>
          <w:rFonts w:eastAsia="Calibri"/>
        </w:rPr>
      </w:pPr>
      <w:r w:rsidRPr="00BC1468">
        <w:rPr>
          <w:lang w:eastAsia="es-MX"/>
        </w:rPr>
        <w:lastRenderedPageBreak/>
        <w:t>Los  bonos otorgados a las jubilaciones mínimas</w:t>
      </w:r>
      <w:r w:rsidR="001D02DD" w:rsidRPr="00BC1468">
        <w:rPr>
          <w:lang w:eastAsia="es-MX"/>
        </w:rPr>
        <w:t xml:space="preserve"> en vigencia de la ley 27.609, </w:t>
      </w:r>
      <w:r w:rsidRPr="00BC1468">
        <w:rPr>
          <w:lang w:eastAsia="es-MX"/>
        </w:rPr>
        <w:t xml:space="preserve">  parecería colocar a los jubilados en una situación similar a lo que sucedió en el período 2002 a 2006 que obligó a que la CSJN dictara el fallo  Badaro (</w:t>
      </w:r>
      <w:hyperlink r:id="rId9">
        <w:r w:rsidRPr="00BC1468">
          <w:rPr>
            <w:color w:val="0563C1"/>
            <w:lang w:eastAsia="es-MX"/>
          </w:rPr>
          <w:t>330:4866</w:t>
        </w:r>
      </w:hyperlink>
      <w:r w:rsidRPr="00BC1468">
        <w:rPr>
          <w:lang w:eastAsia="es-MX"/>
        </w:rPr>
        <w:t xml:space="preserve">) y eligiera un índice salarial </w:t>
      </w:r>
      <w:r w:rsidR="001D02DD" w:rsidRPr="00BC1468">
        <w:rPr>
          <w:lang w:eastAsia="es-MX"/>
        </w:rPr>
        <w:t xml:space="preserve">para </w:t>
      </w:r>
      <w:r w:rsidRPr="00BC1468">
        <w:rPr>
          <w:lang w:eastAsia="es-MX"/>
        </w:rPr>
        <w:t>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BC1468">
        <w:rPr>
          <w:rFonts w:eastAsia="Calibri"/>
        </w:rPr>
        <w:t>, por lo que los índices salariales, salvo el UMA, no refleja una variación real de los salarios y están muy alejados de la inflación</w:t>
      </w:r>
      <w:r w:rsidR="001D02DD" w:rsidRPr="00BC1468">
        <w:rPr>
          <w:rFonts w:eastAsia="Calibri"/>
        </w:rPr>
        <w:t xml:space="preserve"> en mayores periodos inflacionarios.</w:t>
      </w:r>
    </w:p>
    <w:p w14:paraId="569D1F01" w14:textId="27AD4090" w:rsidR="00B82510" w:rsidRPr="00BC1468" w:rsidRDefault="00B82510" w:rsidP="0035293C">
      <w:pPr>
        <w:spacing w:line="276" w:lineRule="auto"/>
        <w:ind w:firstLine="1560"/>
        <w:jc w:val="both"/>
        <w:rPr>
          <w:lang w:eastAsia="es-MX"/>
        </w:rPr>
      </w:pPr>
    </w:p>
    <w:p w14:paraId="64BB3BC8" w14:textId="422BBA42" w:rsidR="00B82510" w:rsidRPr="00BC1468" w:rsidRDefault="00B82510" w:rsidP="0035293C">
      <w:pPr>
        <w:spacing w:line="276" w:lineRule="auto"/>
        <w:ind w:firstLine="1560"/>
        <w:jc w:val="both"/>
        <w:rPr>
          <w:bCs/>
          <w:lang w:eastAsia="es-MX"/>
        </w:rPr>
      </w:pPr>
      <w:r w:rsidRPr="00BC1468">
        <w:rPr>
          <w:rFonts w:eastAsia="Calibri"/>
        </w:rPr>
        <w:t xml:space="preserve">Solicito analice el pedido de inconstitucionalidad teniendo en cuenta el desarrollo que hace la CSJN sobre el  </w:t>
      </w:r>
      <w:hyperlink r:id="rId10" w:history="1">
        <w:r w:rsidRPr="00BC1468">
          <w:rPr>
            <w:rFonts w:eastAsia="Calibri"/>
            <w:color w:val="0563C1"/>
          </w:rPr>
          <w:t>principio de progresividad</w:t>
        </w:r>
      </w:hyperlink>
      <w:r w:rsidRPr="00BC1468">
        <w:rPr>
          <w:rFonts w:eastAsia="Calibri"/>
        </w:rPr>
        <w:t xml:space="preserve"> en materia previsional  y e</w:t>
      </w:r>
      <w:r w:rsidRPr="00BC1468">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BC1468">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BC1468">
        <w:rPr>
          <w:rFonts w:eastAsia="Calibri"/>
        </w:rPr>
        <w:t xml:space="preserve"> (</w:t>
      </w:r>
      <w:hyperlink r:id="rId11" w:history="1">
        <w:r w:rsidRPr="00BC1468">
          <w:rPr>
            <w:rFonts w:eastAsia="Calibri"/>
            <w:color w:val="0563C1"/>
          </w:rPr>
          <w:t>Fallos: 307: 2376</w:t>
        </w:r>
      </w:hyperlink>
      <w:r w:rsidRPr="00BC1468">
        <w:rPr>
          <w:rFonts w:eastAsia="Calibri"/>
        </w:rPr>
        <w:t>),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w:t>
      </w:r>
      <w:r w:rsidR="001D02DD" w:rsidRPr="00BC1468">
        <w:rPr>
          <w:rFonts w:eastAsia="Calibri"/>
        </w:rPr>
        <w:t xml:space="preserve"> </w:t>
      </w:r>
      <w:r w:rsidRPr="00BC1468">
        <w:rPr>
          <w:rFonts w:eastAsia="Calibri"/>
        </w:rPr>
        <w:t>en</w:t>
      </w:r>
      <w:r w:rsidR="001D02DD" w:rsidRPr="00BC1468">
        <w:rPr>
          <w:rFonts w:eastAsia="Calibri"/>
        </w:rPr>
        <w:t xml:space="preserve"> </w:t>
      </w:r>
      <w:r w:rsidRPr="00BC1468">
        <w:rPr>
          <w:rFonts w:eastAsia="Calibri"/>
        </w:rPr>
        <w:t xml:space="preserve">los </w:t>
      </w:r>
      <w:r w:rsidRPr="00BC1468">
        <w:rPr>
          <w:rFonts w:eastAsia="Calibri"/>
          <w:lang w:eastAsia="es-AR"/>
        </w:rPr>
        <w:t>Fallos</w:t>
      </w:r>
      <w:r w:rsidR="001D02DD" w:rsidRPr="00BC1468">
        <w:rPr>
          <w:rFonts w:eastAsia="Calibri"/>
          <w:lang w:eastAsia="es-AR"/>
        </w:rPr>
        <w:t xml:space="preserve"> </w:t>
      </w:r>
      <w:hyperlink r:id="rId12" w:history="1">
        <w:r w:rsidRPr="00BC1468">
          <w:rPr>
            <w:rFonts w:eastAsia="Calibri"/>
            <w:color w:val="0563C1"/>
            <w:lang w:eastAsia="es-AR"/>
          </w:rPr>
          <w:t>“Itzcovich”(</w:t>
        </w:r>
      </w:hyperlink>
      <w:r w:rsidRPr="00BC1468">
        <w:rPr>
          <w:rFonts w:eastAsia="Calibri"/>
          <w:lang w:eastAsia="es-AR"/>
        </w:rPr>
        <w:t>328:566),</w:t>
      </w:r>
      <w:hyperlink r:id="rId13" w:history="1">
        <w:r w:rsidRPr="00BC1468">
          <w:rPr>
            <w:rFonts w:eastAsia="Calibri"/>
            <w:color w:val="0563C1"/>
            <w:lang w:eastAsia="es-AR"/>
          </w:rPr>
          <w:t>“Sánchez”</w:t>
        </w:r>
      </w:hyperlink>
      <w:r w:rsidRPr="00BC1468">
        <w:rPr>
          <w:rFonts w:eastAsia="Calibri"/>
          <w:lang w:eastAsia="es-AR"/>
        </w:rPr>
        <w:t>(328:1602),</w:t>
      </w:r>
      <w:hyperlink r:id="rId14" w:history="1">
        <w:r w:rsidRPr="00BC1468">
          <w:rPr>
            <w:rFonts w:eastAsia="Calibri"/>
            <w:color w:val="0563C1"/>
            <w:lang w:eastAsia="es-AR"/>
          </w:rPr>
          <w:t>“Badaro”(</w:t>
        </w:r>
      </w:hyperlink>
      <w:r w:rsidRPr="00BC1468">
        <w:rPr>
          <w:rFonts w:eastAsia="Calibri"/>
          <w:lang w:eastAsia="es-AR"/>
        </w:rPr>
        <w:t>330:4866),</w:t>
      </w:r>
      <w:bookmarkStart w:id="2" w:name="_Hlk157989214"/>
      <w:r w:rsidRPr="00BC1468">
        <w:rPr>
          <w:rFonts w:ascii="Calibri" w:eastAsia="Calibri" w:hAnsi="Calibri"/>
          <w:sz w:val="22"/>
          <w:szCs w:val="22"/>
          <w:lang w:eastAsia="en-US"/>
        </w:rPr>
        <w:fldChar w:fldCharType="begin"/>
      </w:r>
      <w:r w:rsidRPr="00BC1468">
        <w:rPr>
          <w:rFonts w:ascii="Calibri" w:eastAsia="Calibri" w:hAnsi="Calibri"/>
        </w:rPr>
        <w:instrText>HYPERLINK "https://sjconsulta.csjn.gov.ar/sjconsulta/documentos/verDocumentoByIdLinksJSP.html?idDocumento=7496611"</w:instrText>
      </w:r>
      <w:r w:rsidRPr="00BC1468">
        <w:rPr>
          <w:rFonts w:ascii="Calibri" w:eastAsia="Calibri" w:hAnsi="Calibri"/>
          <w:sz w:val="22"/>
          <w:szCs w:val="22"/>
          <w:lang w:eastAsia="en-US"/>
        </w:rPr>
      </w:r>
      <w:r w:rsidRPr="00BC1468">
        <w:rPr>
          <w:rFonts w:ascii="Calibri" w:eastAsia="Calibri" w:hAnsi="Calibri"/>
          <w:sz w:val="22"/>
          <w:szCs w:val="22"/>
          <w:lang w:eastAsia="en-US"/>
        </w:rPr>
        <w:fldChar w:fldCharType="separate"/>
      </w:r>
      <w:r w:rsidRPr="00BC1468">
        <w:rPr>
          <w:rFonts w:eastAsia="Calibri"/>
          <w:color w:val="0563C1"/>
          <w:lang w:eastAsia="es-AR"/>
        </w:rPr>
        <w:t>“Blanco”(</w:t>
      </w:r>
      <w:r w:rsidRPr="00BC1468">
        <w:rPr>
          <w:rFonts w:eastAsia="Calibri"/>
          <w:color w:val="0563C1"/>
          <w:lang w:eastAsia="es-AR"/>
        </w:rPr>
        <w:fldChar w:fldCharType="end"/>
      </w:r>
      <w:r w:rsidRPr="00BC1468">
        <w:rPr>
          <w:rFonts w:eastAsia="Calibri"/>
          <w:lang w:eastAsia="es-AR"/>
        </w:rPr>
        <w:t>341:1924)</w:t>
      </w:r>
      <w:bookmarkEnd w:id="2"/>
      <w:r w:rsidRPr="00BC1468">
        <w:rPr>
          <w:rFonts w:ascii="Calibri" w:eastAsia="Calibri" w:hAnsi="Calibri"/>
          <w:sz w:val="22"/>
          <w:szCs w:val="22"/>
          <w:lang w:eastAsia="en-US"/>
        </w:rPr>
        <w:fldChar w:fldCharType="begin"/>
      </w:r>
      <w:r w:rsidRPr="00BC1468">
        <w:rPr>
          <w:rFonts w:ascii="Calibri" w:eastAsia="Calibri" w:hAnsi="Calibri"/>
        </w:rPr>
        <w:instrText>HYPERLINK "https://sjconsulta.csjn.gov.ar/sjconsulta/documentos/verDocumentoByIdLinksJSP.html?idDocumento=7678911"</w:instrText>
      </w:r>
      <w:r w:rsidRPr="00BC1468">
        <w:rPr>
          <w:rFonts w:ascii="Calibri" w:eastAsia="Calibri" w:hAnsi="Calibri"/>
          <w:sz w:val="22"/>
          <w:szCs w:val="22"/>
          <w:lang w:eastAsia="en-US"/>
        </w:rPr>
      </w:r>
      <w:r w:rsidRPr="00BC1468">
        <w:rPr>
          <w:rFonts w:ascii="Calibri" w:eastAsia="Calibri" w:hAnsi="Calibri"/>
          <w:sz w:val="22"/>
          <w:szCs w:val="22"/>
          <w:lang w:eastAsia="en-US"/>
        </w:rPr>
        <w:fldChar w:fldCharType="separate"/>
      </w:r>
      <w:r w:rsidRPr="00BC1468">
        <w:rPr>
          <w:rFonts w:eastAsia="Calibri"/>
          <w:color w:val="0563C1"/>
          <w:lang w:eastAsia="es-AR"/>
        </w:rPr>
        <w:t>“Giménez”(</w:t>
      </w:r>
      <w:r w:rsidRPr="00BC1468">
        <w:rPr>
          <w:rFonts w:eastAsia="Calibri"/>
          <w:color w:val="0563C1"/>
          <w:lang w:eastAsia="es-AR"/>
        </w:rPr>
        <w:fldChar w:fldCharType="end"/>
      </w:r>
      <w:r w:rsidRPr="00BC1468">
        <w:rPr>
          <w:rFonts w:eastAsia="Calibri"/>
          <w:lang w:eastAsia="es-AR"/>
        </w:rPr>
        <w:t>344:1788), “</w:t>
      </w:r>
      <w:hyperlink r:id="rId15" w:history="1">
        <w:r w:rsidRPr="00BC1468">
          <w:rPr>
            <w:rFonts w:eastAsia="Calibri"/>
            <w:color w:val="0563C1"/>
            <w:lang w:eastAsia="es-AR"/>
          </w:rPr>
          <w:t>Garay Corina</w:t>
        </w:r>
      </w:hyperlink>
      <w:r w:rsidRPr="00BC1468">
        <w:rPr>
          <w:rFonts w:eastAsia="Calibri"/>
          <w:lang w:eastAsia="es-AR"/>
        </w:rPr>
        <w:t>” (344:3567) entre otros.</w:t>
      </w:r>
    </w:p>
    <w:p w14:paraId="5A89444A" w14:textId="479FB7BA" w:rsidR="00227D23" w:rsidRPr="00BC1468" w:rsidRDefault="00B82510" w:rsidP="0035293C">
      <w:pPr>
        <w:spacing w:line="276" w:lineRule="auto"/>
        <w:ind w:firstLine="1560"/>
        <w:jc w:val="both"/>
        <w:rPr>
          <w:rFonts w:eastAsia="Calibri"/>
          <w:color w:val="000000"/>
          <w:lang w:val="es-MX" w:eastAsia="es-AR"/>
        </w:rPr>
      </w:pPr>
      <w:r w:rsidRPr="00BC1468">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w:t>
      </w:r>
      <w:r w:rsidRPr="00BC1468">
        <w:rPr>
          <w:rFonts w:eastAsia="Calibri"/>
          <w:color w:val="000000"/>
          <w:lang w:val="es-MX" w:eastAsia="es-AR"/>
        </w:rPr>
        <w:lastRenderedPageBreak/>
        <w:t xml:space="preserve">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6" w:history="1">
        <w:r w:rsidRPr="00BC1468">
          <w:rPr>
            <w:rFonts w:eastAsia="Calibri"/>
            <w:color w:val="0563C1"/>
            <w:lang w:val="es-MX" w:eastAsia="es-AR"/>
          </w:rPr>
          <w:t>(Fallos 331:250</w:t>
        </w:r>
      </w:hyperlink>
      <w:r w:rsidRPr="00BC1468">
        <w:rPr>
          <w:rFonts w:eastAsia="Calibri"/>
          <w:color w:val="000000"/>
          <w:lang w:val="es-MX" w:eastAsia="es-AR"/>
        </w:rPr>
        <w:t xml:space="preserve">). </w:t>
      </w:r>
    </w:p>
    <w:p w14:paraId="05E861BC" w14:textId="77777777" w:rsidR="00227D23" w:rsidRPr="00BC1468" w:rsidRDefault="00227D23" w:rsidP="0035293C">
      <w:pPr>
        <w:spacing w:line="276" w:lineRule="auto"/>
        <w:ind w:firstLine="1560"/>
        <w:jc w:val="both"/>
        <w:rPr>
          <w:rFonts w:eastAsia="Calibri"/>
          <w:lang w:val="es-AR"/>
        </w:rPr>
      </w:pPr>
      <w:r w:rsidRPr="00BC1468">
        <w:rPr>
          <w:rFonts w:eastAsia="Calibri"/>
          <w:lang w:val="es-AR"/>
        </w:rPr>
        <w:t>Cada reforma previsional en nuestro país se ha desarrollado en un marco de sucesivas emergencias casi inacabables, lo que lleva a cuestionarnos, como bien señala Cassagne,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3EFA14D5" w14:textId="351BA397" w:rsidR="00227D23" w:rsidRPr="00BC1468" w:rsidRDefault="00227D23" w:rsidP="0035293C">
      <w:pPr>
        <w:spacing w:line="276" w:lineRule="auto"/>
        <w:ind w:firstLine="1560"/>
        <w:jc w:val="both"/>
        <w:rPr>
          <w:rFonts w:eastAsia="Calibri"/>
          <w:lang w:val="es-AR"/>
        </w:rPr>
      </w:pPr>
      <w:r w:rsidRPr="00BC1468">
        <w:rPr>
          <w:rFonts w:eastAsia="Calibri"/>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BC1468">
        <w:rPr>
          <w:rFonts w:eastAsia="Calibri"/>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1AFDF750" w14:textId="77777777" w:rsidR="00227D23" w:rsidRPr="00BC1468" w:rsidRDefault="00227D23" w:rsidP="0035293C">
      <w:pPr>
        <w:spacing w:line="276" w:lineRule="auto"/>
        <w:ind w:firstLine="1560"/>
        <w:jc w:val="both"/>
        <w:rPr>
          <w:rFonts w:eastAsia="Calibri"/>
          <w:lang w:val="es-AR"/>
        </w:rPr>
      </w:pPr>
      <w:r w:rsidRPr="00BC1468">
        <w:rPr>
          <w:rFonts w:eastAsia="Calibri"/>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BC1468">
        <w:rPr>
          <w:rFonts w:eastAsia="Calibri"/>
          <w:b/>
          <w:bCs/>
          <w:lang w:val="es-AR"/>
        </w:rPr>
        <w:t>progresividad y no regresividad</w:t>
      </w:r>
      <w:r w:rsidRPr="00BC1468">
        <w:rPr>
          <w:rFonts w:eastAsia="Calibri"/>
          <w:lang w:val="es-AR"/>
        </w:rPr>
        <w:t>, que exigen un escrutinio agravado de la razonabilidad de las normas adoptadas tanto por el legislador como por el Poder Ejecutivo Nacional en contextos de emergencia.</w:t>
      </w:r>
    </w:p>
    <w:p w14:paraId="1C0579ED" w14:textId="77777777" w:rsidR="00227D23" w:rsidRPr="00BC1468" w:rsidRDefault="00227D23" w:rsidP="0035293C">
      <w:pPr>
        <w:spacing w:line="276" w:lineRule="auto"/>
        <w:ind w:firstLine="1560"/>
        <w:jc w:val="both"/>
        <w:rPr>
          <w:rFonts w:eastAsia="Calibri"/>
          <w:lang w:val="es-AR"/>
        </w:rPr>
      </w:pPr>
      <w:r w:rsidRPr="00BC1468">
        <w:rPr>
          <w:rFonts w:eastAsia="Calibri"/>
          <w:lang w:val="es-AR"/>
        </w:rPr>
        <w:t xml:space="preserve">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w:t>
      </w:r>
      <w:r w:rsidRPr="00BC1468">
        <w:rPr>
          <w:rFonts w:eastAsia="Calibri"/>
          <w:lang w:val="es-AR"/>
        </w:rPr>
        <w:lastRenderedPageBreak/>
        <w:t>tampoco lo admite el estado de goce y ejercicio de un derecho por grupos desfavorecidos.</w:t>
      </w:r>
    </w:p>
    <w:p w14:paraId="192345FA" w14:textId="732DBFF4" w:rsidR="00227D23" w:rsidRPr="00BC1468" w:rsidRDefault="00227D23" w:rsidP="0035293C">
      <w:pPr>
        <w:spacing w:line="276" w:lineRule="auto"/>
        <w:ind w:firstLine="1560"/>
        <w:jc w:val="both"/>
        <w:rPr>
          <w:rFonts w:eastAsia="Calibri"/>
          <w:lang w:val="es-AR"/>
        </w:rPr>
      </w:pPr>
      <w:r w:rsidRPr="00BC1468">
        <w:rPr>
          <w:rFonts w:eastAsia="Calibri"/>
          <w:lang w:val="es-AR"/>
        </w:rPr>
        <w:t xml:space="preserve">La Corte Suprema de Justicia de la Nación, al referirse a la emergencia y los grupos vulnerables, sostuvo: </w:t>
      </w:r>
      <w:r w:rsidRPr="00BC1468">
        <w:rPr>
          <w:rFonts w:eastAsia="Calibri"/>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BC1468">
        <w:rPr>
          <w:rFonts w:eastAsia="Calibri"/>
          <w:lang w:val="es-AR"/>
        </w:rPr>
        <w:t xml:space="preserve"> (Fallos 341:1924).</w:t>
      </w:r>
    </w:p>
    <w:p w14:paraId="7940493B" w14:textId="77777777" w:rsidR="00227D23" w:rsidRPr="00BC1468" w:rsidRDefault="00227D23" w:rsidP="0035293C">
      <w:pPr>
        <w:spacing w:line="276" w:lineRule="auto"/>
        <w:ind w:firstLine="1560"/>
        <w:jc w:val="both"/>
        <w:rPr>
          <w:rFonts w:eastAsia="Calibri"/>
          <w:lang w:val="es-AR"/>
        </w:rPr>
      </w:pPr>
      <w:r w:rsidRPr="00BC1468">
        <w:rPr>
          <w:rFonts w:eastAsia="Calibri"/>
          <w:lang w:val="es-AR"/>
        </w:rPr>
        <w:t>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sustitutividad establecidos por este Tribunal en precedentes como Fallos 279:389, 280:424, 292:447, 293:235, 300:84, 571, 305:866, 328:1602.</w:t>
      </w:r>
    </w:p>
    <w:p w14:paraId="0F1AC2D0" w14:textId="00ACD4AD" w:rsidR="007A7319" w:rsidRPr="003E7DAF" w:rsidRDefault="00227D23" w:rsidP="0035293C">
      <w:pPr>
        <w:spacing w:line="276" w:lineRule="auto"/>
        <w:ind w:firstLine="1560"/>
        <w:jc w:val="both"/>
        <w:rPr>
          <w:rFonts w:eastAsia="Calibri"/>
          <w:color w:val="000000"/>
          <w:lang w:eastAsia="es-AR"/>
        </w:rPr>
      </w:pPr>
      <w:r w:rsidRPr="00BC1468">
        <w:rPr>
          <w:rFonts w:eastAsia="Calibri"/>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3E7DAF" w:rsidRPr="00BC1468">
        <w:rPr>
          <w:rFonts w:eastAsia="Calibri"/>
          <w:lang w:val="es-AR"/>
        </w:rPr>
        <w:t>.</w:t>
      </w:r>
      <w:r w:rsidRPr="00BC1468">
        <w:rPr>
          <w:rFonts w:eastAsia="Calibri"/>
          <w:lang w:val="es-AR"/>
        </w:rPr>
        <w:t xml:space="preserve"> </w:t>
      </w:r>
      <w:r w:rsidR="007A7319" w:rsidRPr="003E7DAF">
        <w:rPr>
          <w:rFonts w:eastAsia="Calibri"/>
          <w:color w:val="000000"/>
          <w:lang w:eastAsia="es-AR"/>
        </w:rPr>
        <w:t>{% endif %} {% if ley_27426_Si %}</w:t>
      </w:r>
    </w:p>
    <w:p w14:paraId="7BAB0375" w14:textId="77777777" w:rsidR="00227D23" w:rsidRPr="00227D23" w:rsidRDefault="00227D23" w:rsidP="003E7DAF">
      <w:pPr>
        <w:ind w:firstLine="1560"/>
        <w:jc w:val="right"/>
        <w:rPr>
          <w:rFonts w:eastAsia="Calibri"/>
          <w:lang w:val="es-AR"/>
        </w:rPr>
      </w:pPr>
    </w:p>
    <w:p w14:paraId="640170C9" w14:textId="50B23C69" w:rsidR="00227D23" w:rsidRDefault="00227D23" w:rsidP="005C0B8B">
      <w:pPr>
        <w:pStyle w:val="NormalWeb"/>
        <w:numPr>
          <w:ilvl w:val="0"/>
          <w:numId w:val="16"/>
        </w:numPr>
      </w:pPr>
      <w:r>
        <w:rPr>
          <w:rStyle w:val="Textoennegrita"/>
        </w:rPr>
        <w:t>INCONSTITUCIONALIDAD DE LA LEY 27.426</w:t>
      </w:r>
    </w:p>
    <w:p w14:paraId="2650B8D2" w14:textId="77777777" w:rsidR="00227D23" w:rsidRDefault="00227D23" w:rsidP="005C0B8B">
      <w:pPr>
        <w:pStyle w:val="NormalWeb"/>
        <w:ind w:firstLine="567"/>
        <w:jc w:val="both"/>
      </w:pPr>
      <w:r>
        <w:t>Esta parte solicita se declare la inconstitucionalidad del artículo 2 de la Ley 27.426, que dispone: “la primera actualización en base a la nueva movilidad dispuesta se haría efectiva a partir del 1° de marzo de 2018”.</w:t>
      </w:r>
    </w:p>
    <w:p w14:paraId="01CF160D" w14:textId="77777777" w:rsidR="00227D23" w:rsidRDefault="00227D23" w:rsidP="005C0B8B">
      <w:pPr>
        <w:pStyle w:val="NormalWeb"/>
        <w:ind w:firstLine="567"/>
        <w:jc w:val="both"/>
      </w:pPr>
      <w:r>
        <w:t>La constitucionalidad de una norma que fija nuevas pautas de movilidad encuentra un límite temporal que no puede ser infringido sin lesionar los derechos constitucionales de los beneficiarios. La norma en cuestión pretende tener vigencia retroactiva, alterando situaciones jurídicas consolidadas bajo la normativa anterior, lo cual afecta derechos constitucionales y torna inconstitucional el artículo 2 de la Ley 27.426.</w:t>
      </w:r>
    </w:p>
    <w:p w14:paraId="008DA853" w14:textId="77777777" w:rsidR="00227D23" w:rsidRDefault="00227D23" w:rsidP="005C0B8B">
      <w:pPr>
        <w:pStyle w:val="NormalWeb"/>
        <w:ind w:firstLine="567"/>
        <w:jc w:val="both"/>
      </w:pPr>
      <w:r>
        <w:lastRenderedPageBreak/>
        <w:t>El cambio en la fórmula para calcular la movilidad de las prestaciones es una facultad del Congreso. Sin embargo, al establecer que la primera actualización se realizará en marzo de 2018, afecta la movilidad ya devengada bajo la normativa anterior, intentando aplicarse retroactivamente.</w:t>
      </w:r>
    </w:p>
    <w:p w14:paraId="557F2316" w14:textId="77777777" w:rsidR="00227D23" w:rsidRDefault="00227D23" w:rsidP="005C0B8B">
      <w:pPr>
        <w:pStyle w:val="NormalWeb"/>
        <w:ind w:firstLine="567"/>
        <w:jc w:val="both"/>
      </w:pPr>
      <w:r>
        <w:t>El artículo 7 del Código Civil y Comercial de la Nación establece que las leyes no tienen efecto retroactivo, salvo disposición expresa, y que dicha retroactividad no puede afectar derechos protegidos por garantías constitucionales. Esto implica que la ley nueva solo puede aplicarse a las instancias aún no cumplidas de una relación o situación jurídica, mientras que las ya finalizadas deben regirse por la norma anterior.</w:t>
      </w:r>
    </w:p>
    <w:p w14:paraId="0971F6E7" w14:textId="77777777" w:rsidR="00227D23" w:rsidRDefault="00227D23" w:rsidP="005C0B8B">
      <w:pPr>
        <w:pStyle w:val="NormalWeb"/>
        <w:ind w:firstLine="567"/>
        <w:jc w:val="both"/>
      </w:pPr>
      <w:r>
        <w:t>La norma cuya inconstitucionalidad se solicita, al derogar la fórmula de movilidad establecida en la Ley 26.417, dejó sin efecto el ajuste previsto por esta última y ordenó aplicar un nuevo cálculo de movilidad con carácter retroactivo, alterando los efectos jurídicos ya consolidados bajo el régimen anterior.</w:t>
      </w:r>
    </w:p>
    <w:p w14:paraId="7419C293" w14:textId="77777777" w:rsidR="00227D23" w:rsidRDefault="00227D23" w:rsidP="005C0B8B">
      <w:pPr>
        <w:pStyle w:val="NormalWeb"/>
        <w:ind w:firstLine="567"/>
        <w:jc w:val="both"/>
      </w:pPr>
      <w:r>
        <w:t>En el caso de haberes percibidos bajo el régimen derogado, mi mandante tenía un derecho adquirido a que el reajuste se realizara conforme a la Ley 26.417. La nueva fórmula vulnera el derecho de propiedad al generar un porcentaje de actualización inferior y excluir del cálculo un trimestre ya devengado.</w:t>
      </w:r>
    </w:p>
    <w:p w14:paraId="1B4A6642" w14:textId="77777777" w:rsidR="00227D23" w:rsidRDefault="00227D23" w:rsidP="005C0B8B">
      <w:pPr>
        <w:pStyle w:val="NormalWeb"/>
        <w:ind w:firstLine="567"/>
        <w:jc w:val="both"/>
      </w:pPr>
      <w:r>
        <w:t>Según la Resolución E 2/2018 de la Secretaría de Seguridad Social, la movilidad de marzo de 2018 fue del 5,71% bajo la Ley 27.426, mientras que conforme a la Ley 26.417, el aumento habría sido del 14,06%. Además, la Ley 27.426 retrotrae el período de referencia para marzo de 2018 al tercer trimestre de 2017, excluyendo cinco meses y 29 días que debieron computarse bajo la normativa anterior.</w:t>
      </w:r>
    </w:p>
    <w:p w14:paraId="1041B856" w14:textId="60C47816" w:rsidR="00227D23" w:rsidRDefault="00227D23" w:rsidP="005C0B8B">
      <w:pPr>
        <w:pStyle w:val="NormalWeb"/>
        <w:ind w:firstLine="567"/>
        <w:jc w:val="both"/>
      </w:pPr>
      <w:r>
        <w:t xml:space="preserve">El Decreto 1058/2018 dispuso un “subsidio extraordinario” por única vez, limitado a beneficiarios con haberes inferiores a $10.000. Sin embargo, este subsidio no compensa el perjuicio ocasionado, ya que no es universal ni se aplica de manera permanente. </w:t>
      </w:r>
    </w:p>
    <w:p w14:paraId="11301336" w14:textId="33C79FFF" w:rsidR="00F7290A" w:rsidRPr="00227D23" w:rsidRDefault="00227D23" w:rsidP="005C0B8B">
      <w:pPr>
        <w:pStyle w:val="NormalWeb"/>
        <w:ind w:firstLine="567"/>
        <w:jc w:val="both"/>
      </w:pPr>
      <w:r>
        <w:t>Aunque la merma en el haber correspondiente a marzo de 2018 no se considere confiscatoria en ese momento, la falta de aplicación de la fórmula ya devengada afecta derechos alimentarios protegidos constitucionalmente y genera, a largo plazo, un efecto acumulativo que agrava la pérdida del poder adquisitivo</w:t>
      </w:r>
      <w:r w:rsidR="00F7290A" w:rsidRPr="00247710">
        <w:rPr>
          <w:bCs/>
        </w:rPr>
        <w:t>.</w:t>
      </w:r>
      <w:r w:rsidR="00F7290A">
        <w:rPr>
          <w:bCs/>
        </w:rPr>
        <w:t xml:space="preserve"> {% endif %} {% if </w:t>
      </w:r>
      <w:r w:rsidR="00F7290A" w:rsidRPr="00C9730D">
        <w:rPr>
          <w:bCs/>
        </w:rPr>
        <w:t>ley_27541_Si</w:t>
      </w:r>
      <w:r w:rsidR="00F7290A">
        <w:rPr>
          <w:bCs/>
        </w:rPr>
        <w:t xml:space="preserve"> %}</w:t>
      </w:r>
    </w:p>
    <w:p w14:paraId="7C5DBB02" w14:textId="77777777" w:rsidR="00F7290A" w:rsidRDefault="00F7290A" w:rsidP="005C0B8B">
      <w:pPr>
        <w:autoSpaceDE w:val="0"/>
        <w:autoSpaceDN w:val="0"/>
        <w:adjustRightInd w:val="0"/>
        <w:ind w:firstLine="708"/>
        <w:jc w:val="both"/>
        <w:rPr>
          <w:bCs/>
        </w:rPr>
      </w:pPr>
    </w:p>
    <w:p w14:paraId="32DC2500" w14:textId="77777777" w:rsidR="00F7290A" w:rsidRDefault="00F7290A" w:rsidP="005C0B8B">
      <w:pPr>
        <w:numPr>
          <w:ilvl w:val="0"/>
          <w:numId w:val="16"/>
        </w:numPr>
        <w:autoSpaceDE w:val="0"/>
        <w:autoSpaceDN w:val="0"/>
        <w:adjustRightInd w:val="0"/>
        <w:ind w:left="1146"/>
        <w:jc w:val="both"/>
        <w:rPr>
          <w:b/>
          <w:bCs/>
        </w:rPr>
      </w:pPr>
      <w:r>
        <w:rPr>
          <w:b/>
          <w:bCs/>
        </w:rPr>
        <w:t>INCOSTITUCIONALIDAD DE LA LEY 27.541</w:t>
      </w:r>
    </w:p>
    <w:p w14:paraId="428452C8" w14:textId="77777777" w:rsidR="00F7290A" w:rsidRPr="0076667E" w:rsidRDefault="00F7290A" w:rsidP="005C0B8B">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e, del art 55 y 56, como así también de los </w:t>
      </w:r>
      <w:r w:rsidRPr="0076667E">
        <w:rPr>
          <w:bCs/>
        </w:rPr>
        <w:lastRenderedPageBreak/>
        <w:t xml:space="preserve">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69689E11" w14:textId="77777777" w:rsidR="00F7290A" w:rsidRPr="0076667E" w:rsidRDefault="00F7290A" w:rsidP="005C0B8B">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D84E317"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1E08DF4C" w14:textId="77777777" w:rsidR="00F7290A" w:rsidRPr="0076667E" w:rsidRDefault="00F7290A" w:rsidP="005C0B8B">
      <w:pPr>
        <w:autoSpaceDE w:val="0"/>
        <w:autoSpaceDN w:val="0"/>
        <w:adjustRightInd w:val="0"/>
        <w:ind w:firstLine="708"/>
        <w:jc w:val="both"/>
        <w:rPr>
          <w:bCs/>
        </w:rPr>
      </w:pPr>
      <w:r w:rsidRPr="0076667E">
        <w:rPr>
          <w:bCs/>
        </w:rPr>
        <w:t xml:space="preserve">el principio de progresividad  </w:t>
      </w:r>
    </w:p>
    <w:p w14:paraId="556B167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debió haberse delegado la facultad de fijar una garantía </w:t>
      </w:r>
    </w:p>
    <w:p w14:paraId="084A95E0" w14:textId="77777777" w:rsidR="00F7290A" w:rsidRPr="0076667E" w:rsidRDefault="00F7290A" w:rsidP="005C0B8B">
      <w:pPr>
        <w:autoSpaceDE w:val="0"/>
        <w:autoSpaceDN w:val="0"/>
        <w:adjustRightInd w:val="0"/>
        <w:ind w:firstLine="708"/>
        <w:jc w:val="both"/>
        <w:rPr>
          <w:bCs/>
        </w:rPr>
      </w:pPr>
      <w:r w:rsidRPr="0076667E">
        <w:rPr>
          <w:bCs/>
        </w:rPr>
        <w:t xml:space="preserve">constitucional como es la movilidad jubilatoria. </w:t>
      </w:r>
    </w:p>
    <w:p w14:paraId="30646B66"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respeta las bases de la delegación del art 2 inc e. </w:t>
      </w:r>
    </w:p>
    <w:p w14:paraId="1778E44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13DB12F3"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672B7D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0A046CFC"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66D5AEE6" w14:textId="77777777" w:rsidR="00F7290A" w:rsidRPr="00B8106E" w:rsidRDefault="00F7290A" w:rsidP="005C0B8B">
      <w:pPr>
        <w:numPr>
          <w:ilvl w:val="0"/>
          <w:numId w:val="19"/>
        </w:numPr>
        <w:autoSpaceDE w:val="0"/>
        <w:autoSpaceDN w:val="0"/>
        <w:adjustRightInd w:val="0"/>
        <w:jc w:val="both"/>
        <w:rPr>
          <w:bCs/>
        </w:rPr>
      </w:pPr>
      <w:r w:rsidRPr="00B8106E">
        <w:rPr>
          <w:bCs/>
        </w:rPr>
        <w:t xml:space="preserve">Se suspendió la movilidad solo al régimen común que es el que menos percibe. </w:t>
      </w:r>
    </w:p>
    <w:p w14:paraId="2EA3A5F7" w14:textId="1F77A6F5" w:rsidR="00F7290A" w:rsidRPr="00B8106E" w:rsidRDefault="00F7290A" w:rsidP="005C0B8B">
      <w:pPr>
        <w:numPr>
          <w:ilvl w:val="0"/>
          <w:numId w:val="19"/>
        </w:numPr>
        <w:autoSpaceDE w:val="0"/>
        <w:autoSpaceDN w:val="0"/>
        <w:adjustRightInd w:val="0"/>
        <w:jc w:val="both"/>
        <w:rPr>
          <w:bCs/>
        </w:rPr>
      </w:pPr>
      <w:r w:rsidRPr="00B8106E">
        <w:rPr>
          <w:bCs/>
        </w:rPr>
        <w:t>No cumple con la integralidad del haber y la jubilación no guarda su finalidad que es mantener el valor adquisitivo en el tiempo. P</w:t>
      </w:r>
      <w:r w:rsidR="00227D23" w:rsidRPr="00B8106E">
        <w:rPr>
          <w:bCs/>
        </w:rPr>
        <w:t>é</w:t>
      </w:r>
      <w:r w:rsidRPr="00B8106E">
        <w:rPr>
          <w:bCs/>
        </w:rPr>
        <w:t>rdida en 2020:</w:t>
      </w:r>
    </w:p>
    <w:p w14:paraId="39535591" w14:textId="77777777" w:rsidR="00227D23" w:rsidRPr="0076667E" w:rsidRDefault="00227D23" w:rsidP="005C0B8B">
      <w:pPr>
        <w:autoSpaceDE w:val="0"/>
        <w:autoSpaceDN w:val="0"/>
        <w:adjustRightInd w:val="0"/>
        <w:ind w:left="1416"/>
        <w:jc w:val="both"/>
        <w:rPr>
          <w:bCs/>
        </w:rPr>
      </w:pPr>
    </w:p>
    <w:p w14:paraId="5722CA99" w14:textId="77777777" w:rsidR="00F7290A" w:rsidRDefault="00F7290A" w:rsidP="005C0B8B">
      <w:pPr>
        <w:autoSpaceDE w:val="0"/>
        <w:autoSpaceDN w:val="0"/>
        <w:adjustRightInd w:val="0"/>
        <w:ind w:left="720"/>
        <w:jc w:val="both"/>
      </w:pPr>
      <w:r w:rsidRPr="0076667E">
        <w:rPr>
          <w:bCs/>
          <w:noProof/>
        </w:rPr>
        <w:drawing>
          <wp:inline distT="0" distB="0" distL="0" distR="0" wp14:anchorId="64368A98" wp14:editId="1B6FD857">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Pr>
          <w:bCs/>
        </w:rPr>
        <w:t xml:space="preserve">{% endif %} </w:t>
      </w:r>
      <w:r>
        <w:t>{% if ley_27609_Si or ley_27541_Si or ley_27426_Si %}</w:t>
      </w:r>
    </w:p>
    <w:p w14:paraId="6CC32F90" w14:textId="77777777" w:rsidR="00F7290A" w:rsidRPr="00DA146B" w:rsidRDefault="00F7290A" w:rsidP="005C0B8B">
      <w:pPr>
        <w:autoSpaceDE w:val="0"/>
        <w:autoSpaceDN w:val="0"/>
        <w:adjustRightInd w:val="0"/>
        <w:ind w:firstLine="708"/>
        <w:jc w:val="both"/>
        <w:rPr>
          <w:bCs/>
        </w:rPr>
      </w:pPr>
    </w:p>
    <w:p w14:paraId="17049B4E" w14:textId="77777777" w:rsidR="00F7290A" w:rsidRDefault="00F7290A" w:rsidP="005C0B8B">
      <w:pPr>
        <w:autoSpaceDE w:val="0"/>
        <w:autoSpaceDN w:val="0"/>
        <w:adjustRightInd w:val="0"/>
        <w:ind w:left="1146"/>
        <w:jc w:val="both"/>
        <w:rPr>
          <w:b/>
          <w:bCs/>
        </w:rPr>
      </w:pPr>
    </w:p>
    <w:p w14:paraId="589362EC" w14:textId="793356CD" w:rsidR="00E90E3C" w:rsidRPr="00E90E3C" w:rsidRDefault="00E90E3C" w:rsidP="005C0B8B">
      <w:pPr>
        <w:pStyle w:val="Prrafodelista"/>
        <w:numPr>
          <w:ilvl w:val="0"/>
          <w:numId w:val="16"/>
        </w:numPr>
        <w:jc w:val="both"/>
        <w:rPr>
          <w:b/>
          <w:bCs/>
          <w:lang w:val="es-AR"/>
        </w:rPr>
      </w:pPr>
      <w:r w:rsidRPr="00E90E3C">
        <w:rPr>
          <w:lang w:val="es-AR"/>
        </w:rPr>
        <w:t xml:space="preserve"> </w:t>
      </w:r>
      <w:r w:rsidRPr="00E90E3C">
        <w:rPr>
          <w:b/>
          <w:bCs/>
          <w:lang w:val="es-AR"/>
        </w:rPr>
        <w:t>OPORTUNIDAD PROCESAL</w:t>
      </w:r>
    </w:p>
    <w:p w14:paraId="2946CBCE" w14:textId="77777777" w:rsidR="00E90E3C" w:rsidRPr="00B8106E" w:rsidRDefault="00E90E3C" w:rsidP="005C0B8B">
      <w:pPr>
        <w:ind w:firstLine="1560"/>
        <w:jc w:val="both"/>
        <w:rPr>
          <w:lang w:val="es-AR"/>
        </w:rPr>
      </w:pPr>
      <w:r w:rsidRPr="00B8106E">
        <w:rPr>
          <w:lang w:val="es-AR"/>
        </w:rPr>
        <w:lastRenderedPageBreak/>
        <w:t>Si bien esta liquidación se presenta con posterioridad al dictado de la sentencia, la suspensión de la fórmula de movilidad, así como la implementación de la nueva fórmula, inciden directamente en el haber jubilatorio de mi mandante.</w:t>
      </w:r>
    </w:p>
    <w:p w14:paraId="1C057009" w14:textId="77777777" w:rsidR="00E90E3C" w:rsidRPr="00B8106E" w:rsidRDefault="00E90E3C" w:rsidP="005C0B8B">
      <w:pPr>
        <w:ind w:firstLine="1560"/>
        <w:jc w:val="both"/>
        <w:rPr>
          <w:lang w:val="es-AR"/>
        </w:rPr>
      </w:pPr>
      <w:r w:rsidRPr="00B8106E">
        <w:rPr>
          <w:lang w:val="es-AR"/>
        </w:rPr>
        <w:t>Esta parte plantea la inconstitucionalidad de las leyes que afectaron la movilidad jubilatoria, ya que “ANSES” ha vulnerado la seguridad jurídica de mi mandante. Con cada cambio de gobierno o vicisitud económica, se modifica la ley, siempre en detrimento del haber y afectando garantías constitucionales como la integralidad de este, la división de poderes y la delegación de facultades, entre otras normas consagradas en nuestra Constitución Nacional.</w:t>
      </w:r>
    </w:p>
    <w:p w14:paraId="17A7C6B7" w14:textId="77777777" w:rsidR="00E90E3C" w:rsidRPr="00B8106E" w:rsidRDefault="00E90E3C" w:rsidP="005C0B8B">
      <w:pPr>
        <w:ind w:firstLine="1560"/>
        <w:jc w:val="both"/>
        <w:rPr>
          <w:lang w:val="es-AR"/>
        </w:rPr>
      </w:pPr>
      <w:r w:rsidRPr="00B8106E">
        <w:rPr>
          <w:lang w:val="es-AR"/>
        </w:rPr>
        <w:t>Los planteos fueron realizados con posterioridad al dictado de la sentencia porque las modificaciones en las pautas de movilidad, que afectan el haber de mi mandante, también ocurrieron con posterioridad a la resolución judicial. En esta primera oportunidad procesal, se solicita la inconstitucionalidad de las normas cuestionadas, garantizando el debido proceso y el derecho de defensa de la parte contraria, al correrse traslado del planteo de inconstitucionalidad. Este cuestionamiento se refiere a una norma que suspendió la ley de movilidad en detrimento de un grupo vulnerable, en un contexto de pandemia, cuando el Estado debería haber reforzado su protección. Además, dichas normas presentan un carácter netamente regresivo, como lo demuestra la pérdida sufrida en 2020.</w:t>
      </w:r>
    </w:p>
    <w:p w14:paraId="1A7F0BDC" w14:textId="77777777" w:rsidR="00E90E3C" w:rsidRPr="00B8106E" w:rsidRDefault="00E90E3C" w:rsidP="005C0B8B">
      <w:pPr>
        <w:ind w:firstLine="1560"/>
        <w:jc w:val="both"/>
        <w:rPr>
          <w:lang w:val="es-AR"/>
        </w:rPr>
      </w:pPr>
      <w:r w:rsidRPr="00B8106E">
        <w:rPr>
          <w:lang w:val="es-AR"/>
        </w:rPr>
        <w:t>No se busca repotenciar un haber, sino defender la garantía constitucional de movilidad jubilatoria.</w:t>
      </w:r>
    </w:p>
    <w:p w14:paraId="16F6C54D" w14:textId="77777777" w:rsidR="00E90E3C" w:rsidRPr="00B8106E" w:rsidRDefault="00E90E3C" w:rsidP="005C0B8B">
      <w:pPr>
        <w:ind w:firstLine="1560"/>
        <w:jc w:val="both"/>
        <w:rPr>
          <w:lang w:val="es-AR"/>
        </w:rPr>
      </w:pPr>
      <w:r w:rsidRPr="00B8106E">
        <w:rPr>
          <w:lang w:val="es-AR"/>
        </w:rPr>
        <w:t>Cabe destacar que la Corte Suprema de Justicia de la Nación (CSJN) ha reconocido la facultad de los jueces y tribunales inferiores para ejercer un control de constitucionalidad y convencionalidad de oficio (Fallos 335:2333).</w:t>
      </w:r>
    </w:p>
    <w:p w14:paraId="13FBCE4D" w14:textId="77777777" w:rsidR="00E90E3C" w:rsidRPr="00B8106E" w:rsidRDefault="00E90E3C" w:rsidP="005C0B8B">
      <w:pPr>
        <w:ind w:firstLine="1560"/>
        <w:jc w:val="both"/>
        <w:rPr>
          <w:lang w:val="es-AR"/>
        </w:rPr>
      </w:pPr>
      <w:r w:rsidRPr="00B8106E">
        <w:rPr>
          <w:lang w:val="es-AR"/>
        </w:rPr>
        <w:t>En relación con la movilidad, las sucesivas reformas legislativas entre 2018 y 2024 han afectado el derecho constitucional a un haber integral. Al alterarse la movilidad jubilatoria, esta deja de cumplir su finalidad esencial: mantener el valor del haber en el tiempo. Además, en esta materia, no pueden existir períodos superpuestos ni tiempos muertos. Si no se recompone el haber una vez cesada la emergencia, las consecuencias de esta permanecerán indefinidamente.</w:t>
      </w:r>
    </w:p>
    <w:p w14:paraId="3E2623B5" w14:textId="77777777" w:rsidR="00E90E3C" w:rsidRPr="00B8106E" w:rsidRDefault="00E90E3C" w:rsidP="005C0B8B">
      <w:pPr>
        <w:ind w:firstLine="1560"/>
        <w:jc w:val="both"/>
        <w:rPr>
          <w:lang w:val="es-AR"/>
        </w:rPr>
      </w:pPr>
      <w:r w:rsidRPr="00B8106E">
        <w:rPr>
          <w:lang w:val="es-AR"/>
        </w:rPr>
        <w:t>Por lo tanto, los jueces pueden resolver, en la etapa de ejecución y a pedido de parte o de oficio, si las normas cuestionadas afectan el haber, ya que contrarían los artículos 14 bis, 16, 17, 18, 28, 31, 33 y 75 incisos 22 y 23 de la Constitución Nacional.</w:t>
      </w:r>
    </w:p>
    <w:p w14:paraId="5834B862" w14:textId="6A019F99" w:rsidR="00E90E3C" w:rsidRPr="00B8106E" w:rsidRDefault="00E90E3C" w:rsidP="005C0B8B">
      <w:pPr>
        <w:ind w:firstLine="1560"/>
        <w:jc w:val="both"/>
        <w:rPr>
          <w:lang w:val="es-AR"/>
        </w:rPr>
      </w:pPr>
      <w:r w:rsidRPr="00B8106E">
        <w:rPr>
          <w:lang w:val="es-AR"/>
        </w:rPr>
        <w:t xml:space="preserve">En los autos </w:t>
      </w:r>
      <w:r w:rsidRPr="00B8106E">
        <w:rPr>
          <w:i/>
          <w:iCs/>
          <w:lang w:val="es-AR"/>
        </w:rPr>
        <w:t>“Abraham”</w:t>
      </w:r>
      <w:r w:rsidRPr="00B8106E">
        <w:rPr>
          <w:lang w:val="es-AR"/>
        </w:rPr>
        <w:t xml:space="preserve">, el juez, al resolver en la etapa de liquidación, consideró ineludible analizar la inconstitucionalidad de las leyes 27.426, 27.541 y 27.609, debido a su incidencia en la movilidad aplicable al haber reclamado. Este análisis se fundamentó en la doctrina de la CSJN que exige atender las circunstancias sobrevinientes, según precedentes como Fallos: 308:1489, 311:787, 312:555, 315:123 y 325:28, entre otros. Resoluciones como estas no implican un exceso de jurisdicción, sino que valoran las pretensiones </w:t>
      </w:r>
      <w:r w:rsidRPr="00B8106E">
        <w:rPr>
          <w:lang w:val="es-AR"/>
        </w:rPr>
        <w:lastRenderedPageBreak/>
        <w:t>según el derecho vigente al momento de sentenciar, promoviendo celeridad y economía procesal.</w:t>
      </w:r>
    </w:p>
    <w:p w14:paraId="79927B70" w14:textId="77777777" w:rsidR="00E90E3C" w:rsidRPr="00B8106E" w:rsidRDefault="00E90E3C" w:rsidP="005C0B8B">
      <w:pPr>
        <w:ind w:firstLine="1560"/>
        <w:jc w:val="both"/>
        <w:rPr>
          <w:lang w:val="es-AR"/>
        </w:rPr>
      </w:pPr>
      <w:r w:rsidRPr="00B8106E">
        <w:rPr>
          <w:lang w:val="es-AR"/>
        </w:rPr>
        <w:t xml:space="preserve">En el caso </w:t>
      </w:r>
      <w:r w:rsidRPr="00B8106E">
        <w:rPr>
          <w:i/>
          <w:iCs/>
          <w:lang w:val="es-AR"/>
        </w:rPr>
        <w:t>“Gamarra”</w:t>
      </w:r>
      <w:r w:rsidRPr="00B8106E">
        <w:rPr>
          <w:lang w:val="es-AR"/>
        </w:rPr>
        <w:t>, la Cámara Federal de Salta aclaró que una sentencia pasada en autoridad de cosa juzgada no impide resolver nuevas cuestiones entre las mismas partes. En la etapa de ejecución, los jueces pueden determinar la cuantía del haber y la razonabilidad de las normas aplicadas.</w:t>
      </w:r>
    </w:p>
    <w:p w14:paraId="039670DA" w14:textId="77777777" w:rsidR="00E90E3C" w:rsidRPr="00B8106E" w:rsidRDefault="00E90E3C" w:rsidP="005C0B8B">
      <w:pPr>
        <w:ind w:firstLine="1560"/>
        <w:jc w:val="both"/>
        <w:rPr>
          <w:lang w:val="es-AR"/>
        </w:rPr>
      </w:pPr>
      <w:r w:rsidRPr="00B8106E">
        <w:rPr>
          <w:lang w:val="es-AR"/>
        </w:rPr>
        <w:t xml:space="preserve">Del mismo modo, en </w:t>
      </w:r>
      <w:r w:rsidRPr="00B8106E">
        <w:rPr>
          <w:i/>
          <w:iCs/>
          <w:lang w:val="es-AR"/>
        </w:rPr>
        <w:t>“Flores Humberto c/ANSES y otro s/ Reajustes Varios”</w:t>
      </w:r>
      <w:r w:rsidRPr="00B8106E">
        <w:rPr>
          <w:lang w:val="es-AR"/>
        </w:rPr>
        <w:t xml:space="preserve"> (Expte. 15100027/2011), la Sala I rechazó los agravios sobre la improcedencia de resolver en la etapa de ejecución, argumentando que sería un exceso ritual rechazar la pretensión y obligar al actor a iniciar un nuevo juicio para obtener el mismo resultado. La Sala consideró que esto desvirtuaría el sentido de las formas procesales, especialmente dada la edad avanzada de la parte actora.</w:t>
      </w:r>
    </w:p>
    <w:p w14:paraId="3D7403BB" w14:textId="77777777" w:rsidR="00E90E3C" w:rsidRPr="00B8106E" w:rsidRDefault="00E90E3C" w:rsidP="005C0B8B">
      <w:pPr>
        <w:ind w:firstLine="1560"/>
        <w:jc w:val="both"/>
        <w:rPr>
          <w:lang w:val="es-AR"/>
        </w:rPr>
      </w:pPr>
      <w:r w:rsidRPr="00B8106E">
        <w:rPr>
          <w:lang w:val="es-AR"/>
        </w:rPr>
        <w:t xml:space="preserve">En el precedente </w:t>
      </w:r>
      <w:r w:rsidRPr="00B8106E">
        <w:rPr>
          <w:i/>
          <w:iCs/>
          <w:lang w:val="es-AR"/>
        </w:rPr>
        <w:t>“Cingolani, Francisco Florencio c/ANSES s/Ejecución Previsional”</w:t>
      </w:r>
      <w:r w:rsidRPr="00B8106E">
        <w:rPr>
          <w:lang w:val="es-AR"/>
        </w:rPr>
        <w:t xml:space="preserve"> (10/4/12), la CSJN revocó una resolución judicial que limitaba el derecho del afiliado a la recomposición de sus haberes, considerando que la limitación temporal vulneraba la cosa juzgada. La Corte sostuvo que obligar al jubilado a iniciar un nuevo juicio sería un dispendio jurisdiccional.</w:t>
      </w:r>
    </w:p>
    <w:p w14:paraId="26C0010A" w14:textId="77777777" w:rsidR="00E90E3C" w:rsidRPr="00B8106E" w:rsidRDefault="00E90E3C" w:rsidP="005C0B8B">
      <w:pPr>
        <w:ind w:firstLine="1560"/>
        <w:jc w:val="both"/>
        <w:rPr>
          <w:lang w:val="es-AR"/>
        </w:rPr>
      </w:pPr>
      <w:r w:rsidRPr="00B8106E">
        <w:rPr>
          <w:lang w:val="es-AR"/>
        </w:rPr>
        <w:t xml:space="preserve">Finalmente, en </w:t>
      </w:r>
      <w:r w:rsidRPr="00B8106E">
        <w:rPr>
          <w:i/>
          <w:iCs/>
          <w:lang w:val="es-AR"/>
        </w:rPr>
        <w:t>“Campos Toranzos, Marcos Aurelio c/ANSES s/Reajustes Varios”</w:t>
      </w:r>
      <w:r w:rsidRPr="00B8106E">
        <w:rPr>
          <w:lang w:val="es-AR"/>
        </w:rPr>
        <w:t xml:space="preserve"> (Expte. 15100257/2012), la Sala II confirmó que los jueces pueden determinar los criterios de movilidad en la etapa de ejecución, incluso si estos no fueron contemplados en la sentencia definitiva. Este fallo destacó la naturaleza alimentaria de la prestación, la edad avanzada del actor y la necesidad de economía procesal.</w:t>
      </w:r>
    </w:p>
    <w:p w14:paraId="16779008" w14:textId="7A708F16" w:rsidR="00B82510" w:rsidRPr="00E90E3C" w:rsidRDefault="00E90E3C" w:rsidP="005C0B8B">
      <w:pPr>
        <w:ind w:firstLine="1560"/>
        <w:jc w:val="both"/>
        <w:rPr>
          <w:b/>
          <w:bCs/>
          <w:lang w:val="es-AR"/>
        </w:rPr>
      </w:pPr>
      <w:r w:rsidRPr="00B8106E">
        <w:rPr>
          <w:lang w:val="es-AR"/>
        </w:rPr>
        <w:t>Por todo lo expuesto, solicito a V.S. que tenga en cuenta estos planteos en la etapa de ejecución para garantizar la protección efectiva de los derechos constitucionales de mi mandante y evitar un nuevo dispendio jurisdiccional</w:t>
      </w:r>
      <w:r w:rsidRPr="00B8106E">
        <w:rPr>
          <w:b/>
          <w:bCs/>
          <w:lang w:val="es-AR"/>
        </w:rPr>
        <w:t>.</w:t>
      </w:r>
      <w:r w:rsidR="00F7290A" w:rsidRPr="00B8106E">
        <w:rPr>
          <w:bCs/>
        </w:rPr>
        <w:t>{%</w:t>
      </w:r>
      <w:r w:rsidR="00F7290A" w:rsidRPr="000E0CD9">
        <w:rPr>
          <w:bCs/>
        </w:rPr>
        <w:t xml:space="preserve"> endif %}</w:t>
      </w:r>
      <w:r w:rsidR="007C0858">
        <w:rPr>
          <w:bCs/>
        </w:rPr>
        <w:t xml:space="preserve"> </w:t>
      </w:r>
      <w:r w:rsidR="007C0858">
        <w:t xml:space="preserve">{% if </w:t>
      </w:r>
      <w:r w:rsidR="007C0858" w:rsidRPr="00B60232">
        <w:t>Honorarios_No</w:t>
      </w:r>
      <w:r w:rsidR="007C0858">
        <w:t xml:space="preserve"> %}</w:t>
      </w:r>
    </w:p>
    <w:p w14:paraId="6F6141B4" w14:textId="77777777" w:rsidR="00672366" w:rsidRDefault="00672366" w:rsidP="005C0B8B">
      <w:pPr>
        <w:autoSpaceDE w:val="0"/>
        <w:autoSpaceDN w:val="0"/>
        <w:adjustRightInd w:val="0"/>
        <w:ind w:firstLine="1134"/>
        <w:jc w:val="both"/>
        <w:rPr>
          <w:b/>
          <w:color w:val="000000"/>
        </w:rPr>
      </w:pPr>
    </w:p>
    <w:bookmarkEnd w:id="1"/>
    <w:p w14:paraId="0957BB96" w14:textId="150A6682" w:rsidR="000D076D" w:rsidRPr="00000F33" w:rsidRDefault="00EE0398" w:rsidP="005C0B8B">
      <w:pPr>
        <w:pStyle w:val="Prrafodelista"/>
        <w:numPr>
          <w:ilvl w:val="0"/>
          <w:numId w:val="16"/>
        </w:numPr>
        <w:autoSpaceDE w:val="0"/>
        <w:autoSpaceDN w:val="0"/>
        <w:adjustRightInd w:val="0"/>
        <w:jc w:val="both"/>
        <w:rPr>
          <w:b/>
          <w:bCs/>
        </w:rPr>
      </w:pPr>
      <w:r>
        <w:rPr>
          <w:b/>
          <w:bCs/>
        </w:rPr>
        <w:t>SOLICITO ORDENE EXPRESAMENTE EL REAJUSTE DEL HABER</w:t>
      </w:r>
    </w:p>
    <w:p w14:paraId="05C41C13" w14:textId="085487B9" w:rsidR="000D076D" w:rsidRDefault="00E90E3C" w:rsidP="005C0B8B">
      <w:pPr>
        <w:autoSpaceDE w:val="0"/>
        <w:autoSpaceDN w:val="0"/>
        <w:adjustRightInd w:val="0"/>
        <w:ind w:firstLine="1134"/>
        <w:jc w:val="both"/>
        <w:rPr>
          <w:bCs/>
        </w:rPr>
      </w:pPr>
      <w:r w:rsidRPr="00E90E3C">
        <w:t xml:space="preserve">Solicito que, una vez aprobada la liquidación, se intime al organismo previsional a reajustar el haber de mi mandante, consignando de manera clara el haber aprobado. Asimismo, solicito que dicha intimación se haga bajo apercibimiento de imponer </w:t>
      </w:r>
      <w:r>
        <w:t>sanciones conminatorias</w:t>
      </w:r>
      <w:r w:rsidRPr="00E90E3C">
        <w:t xml:space="preserve"> en la efectivización de la medida ordenada. También requiero que se identifique al funcionario responsable de cumplir con la manda judicial, quien deberá informar sobre su cumplimiento</w:t>
      </w:r>
      <w:r w:rsidR="000D076D">
        <w:t>.</w:t>
      </w:r>
      <w:r w:rsidR="007C0858">
        <w:t xml:space="preserve"> </w:t>
      </w:r>
      <w:r w:rsidR="007C0858" w:rsidRPr="000E0CD9">
        <w:rPr>
          <w:bCs/>
        </w:rPr>
        <w:t>{% endif %}</w:t>
      </w:r>
      <w:r w:rsidR="00730049">
        <w:rPr>
          <w:bCs/>
        </w:rPr>
        <w:t xml:space="preserve"> {% if </w:t>
      </w:r>
      <w:r w:rsidR="00645309" w:rsidRPr="00645309">
        <w:rPr>
          <w:bCs/>
        </w:rPr>
        <w:t>Tope_Si</w:t>
      </w:r>
      <w:r w:rsidR="00645309">
        <w:rPr>
          <w:bCs/>
        </w:rPr>
        <w:t xml:space="preserve"> </w:t>
      </w:r>
      <w:r w:rsidR="009A6B53">
        <w:rPr>
          <w:bCs/>
        </w:rPr>
        <w:t>%}</w:t>
      </w:r>
    </w:p>
    <w:p w14:paraId="3A33AFAE" w14:textId="77777777" w:rsidR="000B6176" w:rsidRDefault="000B6176" w:rsidP="005C0B8B">
      <w:pPr>
        <w:autoSpaceDE w:val="0"/>
        <w:autoSpaceDN w:val="0"/>
        <w:adjustRightInd w:val="0"/>
        <w:ind w:firstLine="1134"/>
        <w:jc w:val="both"/>
      </w:pPr>
    </w:p>
    <w:p w14:paraId="08B5712F" w14:textId="77777777" w:rsidR="000B6176" w:rsidRDefault="000B6176" w:rsidP="005C0B8B">
      <w:pPr>
        <w:autoSpaceDE w:val="0"/>
        <w:autoSpaceDN w:val="0"/>
        <w:adjustRightInd w:val="0"/>
        <w:ind w:firstLine="1134"/>
        <w:jc w:val="both"/>
      </w:pPr>
    </w:p>
    <w:p w14:paraId="783B2F47" w14:textId="77777777" w:rsidR="000B6176" w:rsidRDefault="000B6176" w:rsidP="005C0B8B">
      <w:pPr>
        <w:autoSpaceDE w:val="0"/>
        <w:autoSpaceDN w:val="0"/>
        <w:adjustRightInd w:val="0"/>
        <w:ind w:firstLine="1134"/>
        <w:jc w:val="both"/>
      </w:pPr>
    </w:p>
    <w:p w14:paraId="6D9729EC" w14:textId="3778C030" w:rsidR="002462E3" w:rsidRDefault="002462E3" w:rsidP="005C0B8B">
      <w:pPr>
        <w:pStyle w:val="Prrafodelista"/>
        <w:numPr>
          <w:ilvl w:val="0"/>
          <w:numId w:val="16"/>
        </w:numPr>
        <w:autoSpaceDE w:val="0"/>
        <w:autoSpaceDN w:val="0"/>
        <w:adjustRightInd w:val="0"/>
        <w:jc w:val="both"/>
        <w:rPr>
          <w:b/>
          <w:bCs/>
        </w:rPr>
      </w:pPr>
      <w:r w:rsidRPr="002462E3">
        <w:rPr>
          <w:b/>
          <w:bCs/>
        </w:rPr>
        <w:t>TOPE DE HABER MAXIMO</w:t>
      </w:r>
    </w:p>
    <w:p w14:paraId="5F599241" w14:textId="77777777" w:rsidR="000B6176" w:rsidRDefault="000B6176" w:rsidP="000B6176">
      <w:pPr>
        <w:jc w:val="both"/>
        <w:rPr>
          <w:bCs/>
        </w:rPr>
      </w:pPr>
    </w:p>
    <w:p w14:paraId="6F093AD3" w14:textId="004E8539" w:rsidR="000B6176" w:rsidRPr="00643FB0" w:rsidRDefault="000B6176" w:rsidP="000B6176">
      <w:pPr>
        <w:jc w:val="both"/>
      </w:pPr>
      <w:r w:rsidRPr="00643FB0">
        <w:t xml:space="preserve">Al liquidar el haber de mi mandante y aplicar la movilidad conforme Caliva </w:t>
      </w:r>
      <w:r w:rsidRPr="00BB0BC4">
        <w:t>Márquez</w:t>
      </w:r>
      <w:r w:rsidRPr="00643FB0">
        <w:t xml:space="preserve">, se observa que el haber QUE ANTES NO SE ENCONTRABA SUJETO A TOPE DEL HABER MAXIMO, </w:t>
      </w:r>
      <w:r>
        <w:t>ahora</w:t>
      </w:r>
      <w:r w:rsidRPr="00643FB0">
        <w:t xml:space="preserve"> si se encuentra alcanzado.</w:t>
      </w:r>
    </w:p>
    <w:p w14:paraId="5022B593" w14:textId="7437B9AA" w:rsidR="000B6176" w:rsidRPr="00643FB0" w:rsidRDefault="000B6176" w:rsidP="000B6176">
      <w:pPr>
        <w:jc w:val="both"/>
      </w:pPr>
      <w:r w:rsidRPr="00643FB0">
        <w:lastRenderedPageBreak/>
        <w:t>Note VS El tope del art 9 inc. 3 de la ley 24463 es a</w:t>
      </w:r>
      <w:r>
        <w:t>l {{</w:t>
      </w:r>
      <w:r w:rsidRPr="00334E53">
        <w:t xml:space="preserve"> Fecha_de_cierre_de_intereses</w:t>
      </w:r>
      <w:r>
        <w:t xml:space="preserve">}} </w:t>
      </w:r>
      <w:r w:rsidRPr="00643FB0">
        <w:t xml:space="preserve"> </w:t>
      </w:r>
      <w:r w:rsidR="003C0EE6">
        <w:rPr>
          <w:b/>
        </w:rPr>
        <w:t>{{</w:t>
      </w:r>
      <w:r w:rsidR="003C0EE6" w:rsidRPr="003C0EE6">
        <w:rPr>
          <w:b/>
        </w:rPr>
        <w:t>tope_anses</w:t>
      </w:r>
      <w:r w:rsidR="003C0EE6">
        <w:rPr>
          <w:b/>
        </w:rPr>
        <w:t>}}</w:t>
      </w:r>
    </w:p>
    <w:p w14:paraId="5E9CAB3B" w14:textId="298B4DE3" w:rsidR="000B6176" w:rsidRDefault="000B6176" w:rsidP="000B6176">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t>l</w:t>
      </w:r>
      <w:r w:rsidRPr="00643FB0">
        <w:t xml:space="preserve"> </w:t>
      </w:r>
      <w:r>
        <w:t>{{</w:t>
      </w:r>
      <w:r w:rsidRPr="00334E53">
        <w:t xml:space="preserve"> Fecha_de_cierre_de_intereses</w:t>
      </w:r>
      <w:r>
        <w:t xml:space="preserve">}} </w:t>
      </w:r>
      <w:r w:rsidRPr="00643FB0">
        <w:t xml:space="preserve"> del 82% de la remuneración máxima</w:t>
      </w:r>
      <w:r>
        <w:t xml:space="preserve"> es decir</w:t>
      </w:r>
      <w:r w:rsidR="00496531">
        <w:rPr>
          <w:b/>
        </w:rPr>
        <w:t xml:space="preserve"> {{</w:t>
      </w:r>
      <w:r w:rsidR="00496531" w:rsidRPr="00496531">
        <w:rPr>
          <w:b/>
        </w:rPr>
        <w:t>tope_ocheintados_rem_max</w:t>
      </w:r>
      <w:r w:rsidR="00496531">
        <w:rPr>
          <w:b/>
        </w:rPr>
        <w:t>}}</w:t>
      </w:r>
      <w:r>
        <w:t xml:space="preserve"> un </w:t>
      </w:r>
      <w:r w:rsidR="00496531">
        <w:t>{{</w:t>
      </w:r>
      <w:r w:rsidR="00496531" w:rsidRPr="00496531">
        <w:t>dif_ocheintados_rem_max_anses</w:t>
      </w:r>
      <w:r w:rsidR="00496531">
        <w:t xml:space="preserve">}} </w:t>
      </w:r>
      <w:r w:rsidRPr="00643FB0">
        <w:rPr>
          <w:b/>
        </w:rPr>
        <w:t>más sin movilizar el tope.</w:t>
      </w:r>
    </w:p>
    <w:p w14:paraId="3B61E6AD" w14:textId="77777777" w:rsidR="000B6176" w:rsidRDefault="000B6176" w:rsidP="000B6176">
      <w:pPr>
        <w:jc w:val="both"/>
        <w:rPr>
          <w:b/>
        </w:rPr>
      </w:pPr>
    </w:p>
    <w:p w14:paraId="35DB586F" w14:textId="51F5BF8C" w:rsidR="000B6176" w:rsidRDefault="000B6176" w:rsidP="000B6176">
      <w:pPr>
        <w:jc w:val="both"/>
        <w:rPr>
          <w:b/>
        </w:rPr>
      </w:pPr>
      <w:commentRangeStart w:id="3"/>
      <w:r w:rsidRPr="0039784E">
        <w:rPr>
          <w:noProof/>
        </w:rPr>
        <w:drawing>
          <wp:inline distT="0" distB="0" distL="0" distR="0" wp14:anchorId="534A1DC2" wp14:editId="0B5221F6">
            <wp:extent cx="3710940" cy="3179171"/>
            <wp:effectExtent l="0" t="0" r="3810" b="2540"/>
            <wp:docPr id="507230546" name="Imagen 2"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Gráfico de barrasDescripción generada automáticamente con confianza m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15195" cy="3182816"/>
                    </a:xfrm>
                    <a:prstGeom prst="rect">
                      <a:avLst/>
                    </a:prstGeom>
                    <a:noFill/>
                    <a:ln>
                      <a:noFill/>
                    </a:ln>
                  </pic:spPr>
                </pic:pic>
              </a:graphicData>
            </a:graphic>
          </wp:inline>
        </w:drawing>
      </w:r>
      <w:commentRangeEnd w:id="3"/>
      <w:r w:rsidR="000D77D8">
        <w:rPr>
          <w:rStyle w:val="Refdecomentario"/>
        </w:rPr>
        <w:commentReference w:id="3"/>
      </w:r>
    </w:p>
    <w:p w14:paraId="2AFB3A29" w14:textId="77777777" w:rsidR="000B6176" w:rsidRDefault="000B6176" w:rsidP="000B6176">
      <w:pPr>
        <w:jc w:val="both"/>
        <w:rPr>
          <w:b/>
        </w:rPr>
      </w:pPr>
    </w:p>
    <w:p w14:paraId="02F30C18" w14:textId="7942803B" w:rsidR="000B6176" w:rsidRPr="00A34D7D" w:rsidRDefault="000B6176" w:rsidP="000B6176">
      <w:pPr>
        <w:jc w:val="both"/>
        <w:rPr>
          <w:b/>
          <w:u w:val="single"/>
        </w:rPr>
      </w:pPr>
      <w:r w:rsidRPr="00A34D7D">
        <w:rPr>
          <w:b/>
          <w:u w:val="single"/>
        </w:rPr>
        <w:t xml:space="preserve">La quita en el haber de mi mandante es </w:t>
      </w:r>
      <w:r w:rsidR="000F4EE5">
        <w:rPr>
          <w:b/>
          <w:u w:val="single"/>
        </w:rPr>
        <w:t>{{</w:t>
      </w:r>
      <w:r w:rsidR="000F4EE5" w:rsidRPr="000F4EE5">
        <w:rPr>
          <w:b/>
          <w:u w:val="single"/>
        </w:rPr>
        <w:t>dif_haber_reclamado_anses</w:t>
      </w:r>
      <w:r w:rsidR="00D506C9">
        <w:rPr>
          <w:b/>
          <w:u w:val="single"/>
        </w:rPr>
        <w:t xml:space="preserve">}} </w:t>
      </w:r>
      <w:r w:rsidRPr="00A34D7D">
        <w:rPr>
          <w:b/>
          <w:u w:val="single"/>
        </w:rPr>
        <w:t xml:space="preserve">conforme el tope de Anses, es decir un </w:t>
      </w:r>
      <w:r w:rsidR="00D506C9">
        <w:rPr>
          <w:b/>
          <w:u w:val="single"/>
        </w:rPr>
        <w:t>{{</w:t>
      </w:r>
      <w:r w:rsidR="00D506C9" w:rsidRPr="00D506C9">
        <w:rPr>
          <w:b/>
          <w:u w:val="single"/>
        </w:rPr>
        <w:t>porc_haber_reclamado_anses</w:t>
      </w:r>
      <w:r w:rsidR="00D506C9">
        <w:rPr>
          <w:b/>
          <w:u w:val="single"/>
        </w:rPr>
        <w:t>}}</w:t>
      </w:r>
      <w:r w:rsidRPr="00A34D7D">
        <w:rPr>
          <w:b/>
          <w:u w:val="single"/>
        </w:rPr>
        <w:t>.</w:t>
      </w:r>
    </w:p>
    <w:p w14:paraId="412395FD" w14:textId="77777777" w:rsidR="000B6176" w:rsidRDefault="000B6176" w:rsidP="000B6176">
      <w:pPr>
        <w:jc w:val="both"/>
      </w:pPr>
    </w:p>
    <w:p w14:paraId="0D3DD745" w14:textId="7238144E" w:rsidR="000B6176" w:rsidRDefault="00DF511E" w:rsidP="000B6176">
      <w:pPr>
        <w:jc w:val="both"/>
      </w:pPr>
      <w:commentRangeStart w:id="4"/>
      <w:r w:rsidRPr="00DF511E">
        <w:rPr>
          <w:noProof/>
        </w:rPr>
        <w:lastRenderedPageBreak/>
        <w:drawing>
          <wp:inline distT="0" distB="0" distL="0" distR="0" wp14:anchorId="6C6FDF08" wp14:editId="478174C3">
            <wp:extent cx="4949825" cy="3395980"/>
            <wp:effectExtent l="0" t="0" r="3175" b="0"/>
            <wp:docPr id="1735021421"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021421" name="Imagen 1" descr="Interfaz de usuario gráfica, Tabla&#10;&#10;El contenido generado por IA puede ser incorrecto."/>
                    <pic:cNvPicPr/>
                  </pic:nvPicPr>
                  <pic:blipFill>
                    <a:blip r:embed="rId23"/>
                    <a:stretch>
                      <a:fillRect/>
                    </a:stretch>
                  </pic:blipFill>
                  <pic:spPr>
                    <a:xfrm>
                      <a:off x="0" y="0"/>
                      <a:ext cx="4949825" cy="3395980"/>
                    </a:xfrm>
                    <a:prstGeom prst="rect">
                      <a:avLst/>
                    </a:prstGeom>
                  </pic:spPr>
                </pic:pic>
              </a:graphicData>
            </a:graphic>
          </wp:inline>
        </w:drawing>
      </w:r>
      <w:commentRangeEnd w:id="4"/>
      <w:r w:rsidR="00086D0A">
        <w:rPr>
          <w:rStyle w:val="Refdecomentario"/>
        </w:rPr>
        <w:commentReference w:id="4"/>
      </w:r>
    </w:p>
    <w:p w14:paraId="187819B5" w14:textId="77777777" w:rsidR="000B6176" w:rsidRPr="00643FB0" w:rsidRDefault="000B6176" w:rsidP="000B6176">
      <w:pPr>
        <w:jc w:val="both"/>
      </w:pPr>
    </w:p>
    <w:p w14:paraId="527EEB9A" w14:textId="77777777" w:rsidR="000B6176" w:rsidRPr="00643FB0" w:rsidRDefault="000B6176" w:rsidP="000B6176">
      <w:pPr>
        <w:jc w:val="both"/>
      </w:pPr>
      <w:r>
        <w:t>S</w:t>
      </w:r>
      <w:r w:rsidRPr="00643FB0">
        <w:t>i a los $3.100, que eran a 01/2002, lo actualizamos con las mismas pautas de “Badaro” y aumentos generales de ANSES el tope hoy sería notablemente superior</w:t>
      </w:r>
      <w:r>
        <w:t xml:space="preserve"> $ 2.776.554,87.</w:t>
      </w:r>
    </w:p>
    <w:p w14:paraId="6A214B49" w14:textId="77777777" w:rsidR="000B6176" w:rsidRPr="00643FB0" w:rsidRDefault="000B6176" w:rsidP="000B6176">
      <w:pPr>
        <w:jc w:val="both"/>
      </w:pPr>
      <w:r w:rsidRPr="00643FB0">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60857F78" w14:textId="59F5AB09" w:rsidR="000B6176" w:rsidRPr="000B6176" w:rsidRDefault="000B6176" w:rsidP="000B6176">
      <w:pPr>
        <w:jc w:val="both"/>
      </w:pPr>
      <w:r w:rsidRPr="00643FB0">
        <w:t>Esta limitación a la percepción del haber resulta lesiva al Art. 17 de la CN</w:t>
      </w:r>
      <w:r>
        <w:t xml:space="preserve"> y así se resolvió en “</w:t>
      </w:r>
      <w:r w:rsidRPr="00643FB0">
        <w:t>LEONARDUZZI, ROBERTO ATILIO c/ ANSES s/REAJUSTES POR MOVILIDAD” Expte. N° FSA 8762/2022</w:t>
      </w:r>
      <w:r>
        <w:t xml:space="preserve"> e </w:t>
      </w:r>
      <w:r w:rsidRPr="00BB0BC4">
        <w:t>“INCHAURRONDO, JOSE LUIS c/ ANSES s/ REAJUSTES VARIOS” Expte. Nº FSA 379/2020</w:t>
      </w:r>
      <w:r>
        <w:t>, a cuyo fundamentos me remito.</w:t>
      </w:r>
    </w:p>
    <w:p w14:paraId="7C780A6A" w14:textId="77777777" w:rsidR="000B6176" w:rsidRPr="00055921" w:rsidRDefault="000B6176" w:rsidP="000B6176">
      <w:pPr>
        <w:autoSpaceDE w:val="0"/>
        <w:autoSpaceDN w:val="0"/>
        <w:adjustRightInd w:val="0"/>
        <w:spacing w:line="276" w:lineRule="auto"/>
        <w:ind w:left="1134"/>
        <w:jc w:val="both"/>
      </w:pPr>
      <w:r w:rsidRPr="00055921">
        <w:t>{% endif %}</w:t>
      </w:r>
    </w:p>
    <w:p w14:paraId="7A676124" w14:textId="3553DECD" w:rsidR="00512472" w:rsidRDefault="00512472" w:rsidP="005C0B8B">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5C0B8B">
      <w:pPr>
        <w:autoSpaceDE w:val="0"/>
        <w:autoSpaceDN w:val="0"/>
        <w:adjustRightInd w:val="0"/>
        <w:ind w:firstLine="1134"/>
        <w:jc w:val="both"/>
      </w:pPr>
      <w:r w:rsidRPr="005C0B8B">
        <w:t xml:space="preserve">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w:t>
      </w:r>
      <w:r w:rsidRPr="005C0B8B">
        <w:lastRenderedPageBreak/>
        <w:t>respectivos de los abogados y procuradores de las partes y de los auxiliares de justicia.</w:t>
      </w:r>
    </w:p>
    <w:p w14:paraId="431FB8CE" w14:textId="0014ED0D" w:rsidR="006D5D26" w:rsidRDefault="00512472" w:rsidP="000C5D55">
      <w:pPr>
        <w:autoSpaceDE w:val="0"/>
        <w:autoSpaceDN w:val="0"/>
        <w:adjustRightInd w:val="0"/>
        <w:jc w:val="both"/>
      </w:pPr>
      <w:r>
        <w:t>Solicito</w:t>
      </w:r>
      <w:r w:rsidR="005C0B8B">
        <w:t xml:space="preserve"> tome </w:t>
      </w:r>
      <w:r>
        <w:t>como base regulatoria la suma de {{</w:t>
      </w:r>
      <w:r w:rsidRPr="00E9369F">
        <w:t>total_liquidacion_en_UMA</w:t>
      </w:r>
      <w:r>
        <w:t>}}</w:t>
      </w:r>
      <w:r w:rsidR="001E4C47">
        <w:t xml:space="preserve"> UMA</w:t>
      </w:r>
      <w:r>
        <w:t>, teniendo en cuenta que el valor del UMA a la fecha de cierre de la liquidación, {{</w:t>
      </w:r>
      <w:r w:rsidRPr="0098315B">
        <w:t>Valor_UMA</w:t>
      </w:r>
      <w:r>
        <w:t>}} y el monto reclamado {{</w:t>
      </w:r>
      <w:r w:rsidRPr="00EF4C5E">
        <w:t>total_liquidacion</w:t>
      </w:r>
      <w:r>
        <w:t>}},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w:t>
      </w:r>
      <w:r w:rsidR="0040617E" w:rsidRPr="0040617E">
        <w:t xml:space="preserve"> </w:t>
      </w:r>
      <w:r w:rsidR="00624ABB" w:rsidRPr="004D0A71">
        <w:t>{% for item in liquidaciones %}</w:t>
      </w:r>
    </w:p>
    <w:p w14:paraId="470384BC" w14:textId="77777777" w:rsidR="004A32F8" w:rsidRDefault="004A32F8" w:rsidP="000C5D55">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97640F" w14:paraId="44CB0EB2" w14:textId="77777777" w:rsidTr="0097640F">
        <w:trPr>
          <w:trHeight w:val="507"/>
        </w:trPr>
        <w:tc>
          <w:tcPr>
            <w:tcW w:w="3256" w:type="dxa"/>
          </w:tcPr>
          <w:p w14:paraId="001389EA" w14:textId="241435E4" w:rsidR="0097640F" w:rsidRDefault="0097640F" w:rsidP="0097640F">
            <w:pPr>
              <w:autoSpaceDE w:val="0"/>
              <w:autoSpaceDN w:val="0"/>
              <w:adjustRightInd w:val="0"/>
              <w:jc w:val="both"/>
            </w:pPr>
            <w:r>
              <w:t xml:space="preserve">Monto de </w:t>
            </w:r>
            <w:r w:rsidR="00A670F5">
              <w:t xml:space="preserve">{{item. </w:t>
            </w:r>
            <w:r w:rsidR="00A670F5" w:rsidRPr="00A670F5">
              <w:t>numero_liquidacion</w:t>
            </w:r>
            <w:r w:rsidR="00A670F5">
              <w:t xml:space="preserve">}} </w:t>
            </w:r>
            <w:r>
              <w:t xml:space="preserve">Liquidacion: </w:t>
            </w:r>
            <w:r w:rsidRPr="004D0A71">
              <w:t>{{ item.monto }}</w:t>
            </w:r>
          </w:p>
        </w:tc>
        <w:tc>
          <w:tcPr>
            <w:tcW w:w="3402" w:type="dxa"/>
          </w:tcPr>
          <w:p w14:paraId="089E87C4" w14:textId="0A3D13A1" w:rsidR="0097640F" w:rsidRDefault="0097640F" w:rsidP="0097640F">
            <w:pPr>
              <w:autoSpaceDE w:val="0"/>
              <w:autoSpaceDN w:val="0"/>
              <w:adjustRightInd w:val="0"/>
              <w:jc w:val="both"/>
            </w:pPr>
            <w:r>
              <w:t xml:space="preserve">Monto en UMA: </w:t>
            </w:r>
            <w:r w:rsidRPr="004D0A71">
              <w:t>{{</w:t>
            </w:r>
            <w:r>
              <w:t xml:space="preserve"> </w:t>
            </w:r>
            <w:r w:rsidRPr="004D0A71">
              <w:t>item.monto_en_uma</w:t>
            </w:r>
            <w:r>
              <w:t xml:space="preserve"> </w:t>
            </w:r>
            <w:r w:rsidRPr="004D0A71">
              <w:t>}}</w:t>
            </w:r>
          </w:p>
        </w:tc>
      </w:tr>
    </w:tbl>
    <w:p w14:paraId="46E7A5EF" w14:textId="1CB6F3F8" w:rsidR="0049655B" w:rsidRDefault="00BD5843" w:rsidP="000C5D55">
      <w:pPr>
        <w:autoSpaceDE w:val="0"/>
        <w:autoSpaceDN w:val="0"/>
        <w:adjustRightInd w:val="0"/>
        <w:jc w:val="both"/>
      </w:pPr>
      <w:r>
        <w:t>{% endfor %}</w:t>
      </w:r>
    </w:p>
    <w:p w14:paraId="1D3E177D" w14:textId="77777777" w:rsidR="005C0B8B" w:rsidRPr="00B8106E" w:rsidRDefault="005C0B8B" w:rsidP="005C0B8B">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5C0B8B">
      <w:pPr>
        <w:pStyle w:val="NormalWeb"/>
        <w:ind w:firstLine="1134"/>
        <w:jc w:val="both"/>
        <w:rPr>
          <w:b/>
          <w:bCs/>
        </w:rPr>
      </w:pPr>
      <w:r w:rsidRPr="00B8106E">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5C0B8B">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5C0B8B">
      <w:pPr>
        <w:autoSpaceDE w:val="0"/>
        <w:autoSpaceDN w:val="0"/>
        <w:adjustRightInd w:val="0"/>
        <w:ind w:firstLine="1134"/>
        <w:jc w:val="both"/>
      </w:pPr>
    </w:p>
    <w:p w14:paraId="0718C932" w14:textId="77777777" w:rsidR="00512472" w:rsidRDefault="00512472" w:rsidP="005C0B8B">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5C0B8B">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5C0B8B">
      <w:pPr>
        <w:autoSpaceDE w:val="0"/>
        <w:autoSpaceDN w:val="0"/>
        <w:adjustRightInd w:val="0"/>
        <w:ind w:firstLine="1134"/>
        <w:jc w:val="both"/>
      </w:pPr>
    </w:p>
    <w:p w14:paraId="5A057E46" w14:textId="77777777" w:rsidR="00512472" w:rsidRDefault="00512472" w:rsidP="005C0B8B">
      <w:pPr>
        <w:autoSpaceDE w:val="0"/>
        <w:autoSpaceDN w:val="0"/>
        <w:adjustRightInd w:val="0"/>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5C0B8B">
      <w:pPr>
        <w:autoSpaceDE w:val="0"/>
        <w:autoSpaceDN w:val="0"/>
        <w:adjustRightInd w:val="0"/>
        <w:ind w:firstLine="1134"/>
        <w:jc w:val="both"/>
      </w:pPr>
    </w:p>
    <w:p w14:paraId="63BE559C" w14:textId="18DEBF18" w:rsidR="008A6153" w:rsidRPr="003E441D" w:rsidRDefault="00512472" w:rsidP="005C0B8B">
      <w:pPr>
        <w:autoSpaceDE w:val="0"/>
        <w:autoSpaceDN w:val="0"/>
        <w:adjustRightInd w:val="0"/>
        <w:ind w:firstLine="993"/>
        <w:jc w:val="both"/>
        <w:rPr>
          <w:bCs/>
        </w:rPr>
      </w:pPr>
      <w:r>
        <w:lastRenderedPageBreak/>
        <w:t>Datos de la caja de abogados:Av. Sarmiento N º 302/308 de la ciudad de Salta,  domicilio electrónico como persona jurídica registrado bajo el CUIT 30518723487.</w:t>
      </w:r>
      <w:r w:rsidR="008A6153">
        <w:t xml:space="preserve"> </w:t>
      </w:r>
      <w:r w:rsidR="00D21258">
        <w:t xml:space="preserve">{% if </w:t>
      </w:r>
      <w:r w:rsidR="00D21258" w:rsidRPr="00B05497">
        <w:t>Sancionatorios_Si</w:t>
      </w:r>
      <w:r w:rsidR="00D21258">
        <w:t xml:space="preserve"> %}</w:t>
      </w:r>
    </w:p>
    <w:p w14:paraId="279B1432" w14:textId="17E722C8" w:rsidR="00512472" w:rsidRDefault="00512472" w:rsidP="005C0B8B">
      <w:pPr>
        <w:autoSpaceDE w:val="0"/>
        <w:autoSpaceDN w:val="0"/>
        <w:adjustRightInd w:val="0"/>
        <w:ind w:firstLine="1134"/>
        <w:jc w:val="both"/>
      </w:pPr>
    </w:p>
    <w:p w14:paraId="2FDD6719" w14:textId="77777777" w:rsidR="00EE0398" w:rsidRPr="00000F33" w:rsidRDefault="00EE0398" w:rsidP="005C0B8B">
      <w:pPr>
        <w:autoSpaceDE w:val="0"/>
        <w:autoSpaceDN w:val="0"/>
        <w:adjustRightInd w:val="0"/>
        <w:ind w:firstLine="1134"/>
        <w:jc w:val="both"/>
      </w:pPr>
    </w:p>
    <w:p w14:paraId="6B4902E4" w14:textId="168766EB" w:rsidR="00E90E3C" w:rsidRPr="00FB281D" w:rsidRDefault="00E90E3C" w:rsidP="00FB281D">
      <w:pPr>
        <w:pStyle w:val="Prrafodelista"/>
        <w:numPr>
          <w:ilvl w:val="0"/>
          <w:numId w:val="16"/>
        </w:numPr>
        <w:autoSpaceDE w:val="0"/>
        <w:autoSpaceDN w:val="0"/>
        <w:adjustRightInd w:val="0"/>
        <w:jc w:val="both"/>
        <w:rPr>
          <w:b/>
          <w:bCs/>
          <w:lang w:val="es-AR"/>
        </w:rPr>
      </w:pPr>
      <w:r w:rsidRPr="00FB281D">
        <w:rPr>
          <w:b/>
          <w:bCs/>
          <w:lang w:val="es-AR"/>
        </w:rPr>
        <w:t xml:space="preserve"> SOLICITO FIJAR INTERESES SANCIONATORIOS</w:t>
      </w:r>
    </w:p>
    <w:p w14:paraId="6B00E434" w14:textId="77777777" w:rsidR="00E90E3C" w:rsidRPr="00E90E3C" w:rsidRDefault="00E90E3C" w:rsidP="005C0B8B">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1C3F9701" w14:textId="77777777" w:rsidR="00E90E3C" w:rsidRPr="00E90E3C" w:rsidRDefault="00E90E3C" w:rsidP="005C0B8B">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4E90BB6F" w14:textId="77777777" w:rsidR="00E90E3C" w:rsidRPr="00E90E3C" w:rsidRDefault="00E90E3C" w:rsidP="005C0B8B">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21736266" w14:textId="77777777" w:rsidR="00E90E3C" w:rsidRPr="00E90E3C" w:rsidRDefault="00E90E3C" w:rsidP="005C0B8B">
      <w:pPr>
        <w:autoSpaceDE w:val="0"/>
        <w:autoSpaceDN w:val="0"/>
        <w:adjustRightInd w:val="0"/>
        <w:ind w:firstLine="1134"/>
        <w:jc w:val="both"/>
        <w:rPr>
          <w:lang w:val="es-AR"/>
        </w:rPr>
      </w:pPr>
      <w:r w:rsidRPr="00E90E3C">
        <w:rPr>
          <w:lang w:val="es-AR"/>
        </w:rPr>
        <w:t>Solicito además:</w:t>
      </w:r>
    </w:p>
    <w:p w14:paraId="6292AB0F" w14:textId="77777777" w:rsidR="00E90E3C" w:rsidRPr="00E90E3C" w:rsidRDefault="00E90E3C" w:rsidP="005C0B8B">
      <w:pPr>
        <w:numPr>
          <w:ilvl w:val="0"/>
          <w:numId w:val="42"/>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2FB94DA5"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sentencia del juez.</w:t>
      </w:r>
    </w:p>
    <w:p w14:paraId="72E47BB2"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cierre de la liquidación.</w:t>
      </w:r>
    </w:p>
    <w:p w14:paraId="426A43D1"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vencimiento de la sentencia ejecutoria.</w:t>
      </w:r>
    </w:p>
    <w:p w14:paraId="7A284D52" w14:textId="77777777" w:rsidR="00E90E3C" w:rsidRDefault="00E90E3C" w:rsidP="005C0B8B">
      <w:pPr>
        <w:numPr>
          <w:ilvl w:val="0"/>
          <w:numId w:val="42"/>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561C7AE7" w14:textId="395F56B6" w:rsidR="00E90E3C" w:rsidRPr="00E90E3C" w:rsidRDefault="00E90E3C" w:rsidP="005C0B8B">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sidR="00F300B5">
        <w:rPr>
          <w:lang w:val="es-AR"/>
        </w:rPr>
        <w:t xml:space="preserve"> </w:t>
      </w:r>
      <w:r w:rsidR="00F300B5">
        <w:t>{% endif %}</w:t>
      </w:r>
    </w:p>
    <w:p w14:paraId="2973AFF4" w14:textId="77777777" w:rsidR="00FF3021" w:rsidRPr="00B82510" w:rsidRDefault="00FF3021" w:rsidP="005C0B8B">
      <w:pPr>
        <w:autoSpaceDE w:val="0"/>
        <w:autoSpaceDN w:val="0"/>
        <w:adjustRightInd w:val="0"/>
        <w:jc w:val="both"/>
        <w:rPr>
          <w:lang w:val="es-AR"/>
        </w:rPr>
      </w:pPr>
    </w:p>
    <w:p w14:paraId="5631DB3D" w14:textId="77777777" w:rsidR="00FF3021" w:rsidRDefault="00FF3021" w:rsidP="005C0B8B">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5C0B8B">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5C0B8B">
      <w:pPr>
        <w:pStyle w:val="NormalWeb"/>
        <w:ind w:firstLine="993"/>
        <w:jc w:val="both"/>
      </w:pPr>
      <w:r w:rsidRPr="00B8106E">
        <w:t xml:space="preserve">El 22 de febrero de 2024, la CSJN señaló que los problemas relativos a créditos de naturaleza alimentaria exigen una consideración cuidadosa en favor de </w:t>
      </w:r>
      <w:r w:rsidRPr="00B8106E">
        <w:lastRenderedPageBreak/>
        <w:t>los beneficiarios, quienes gozan de protección constitucional (Fallos: 323:1122, “Bianculli”). Aunque en ese caso se trataba de una cuota alimentaria, el criterio aplica igualmente a las deudas previsionales, por su carácter alimentario.</w:t>
      </w:r>
    </w:p>
    <w:p w14:paraId="4E333A0F" w14:textId="77777777" w:rsidR="005C0B8B" w:rsidRPr="00B8106E" w:rsidRDefault="005C0B8B" w:rsidP="005C0B8B">
      <w:pPr>
        <w:pStyle w:val="NormalWeb"/>
        <w:ind w:firstLine="993"/>
        <w:jc w:val="both"/>
      </w:pPr>
      <w:r w:rsidRPr="00B8106E">
        <w:t xml:space="preserve">En </w:t>
      </w:r>
      <w:r w:rsidRPr="00B8106E">
        <w:rPr>
          <w:rStyle w:val="nfasis"/>
        </w:rPr>
        <w:t>"Recurso de Queja Nº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"Itzcovich"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5C0B8B">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5C0B8B">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4AD156F8" w14:textId="77777777" w:rsidR="005C0B8B" w:rsidRPr="00B8106E" w:rsidRDefault="005C0B8B" w:rsidP="005C0B8B">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5C0B8B">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5C0B8B">
      <w:pPr>
        <w:pStyle w:val="NormalWeb"/>
        <w:ind w:firstLine="993"/>
        <w:jc w:val="both"/>
      </w:pPr>
      <w:r w:rsidRPr="00B8106E">
        <w:t>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mandante</w:t>
      </w:r>
      <w:r w:rsidR="00AC149E" w:rsidRPr="003E0AF8">
        <w:rPr>
          <w:bCs/>
        </w:rPr>
        <w:t>{</w:t>
      </w:r>
      <w:r w:rsidR="00AC149E">
        <w:rPr>
          <w:bCs/>
        </w:rPr>
        <w:t xml:space="preserve">% </w:t>
      </w:r>
      <w:r w:rsidR="00AC149E" w:rsidRPr="003E0AF8">
        <w:rPr>
          <w:bCs/>
        </w:rPr>
        <w:t xml:space="preserve">if Daños_Si </w:t>
      </w:r>
      <w:r w:rsidR="00AC149E">
        <w:rPr>
          <w:bCs/>
        </w:rPr>
        <w:t>%</w:t>
      </w:r>
      <w:r w:rsidR="00AC149E" w:rsidRPr="003E0AF8">
        <w:rPr>
          <w:bCs/>
        </w:rPr>
        <w:t>}</w:t>
      </w:r>
    </w:p>
    <w:p w14:paraId="3E1510A6" w14:textId="77777777" w:rsidR="004D060E" w:rsidRDefault="004D060E" w:rsidP="005C0B8B">
      <w:pPr>
        <w:autoSpaceDE w:val="0"/>
        <w:autoSpaceDN w:val="0"/>
        <w:adjustRightInd w:val="0"/>
        <w:ind w:firstLine="1134"/>
        <w:jc w:val="both"/>
        <w:rPr>
          <w:b/>
        </w:rPr>
      </w:pPr>
    </w:p>
    <w:p w14:paraId="492C95CB" w14:textId="77777777" w:rsidR="00544398" w:rsidRPr="00544398" w:rsidRDefault="00544398" w:rsidP="005C0B8B">
      <w:pPr>
        <w:numPr>
          <w:ilvl w:val="0"/>
          <w:numId w:val="16"/>
        </w:numPr>
        <w:autoSpaceDE w:val="0"/>
        <w:autoSpaceDN w:val="0"/>
        <w:adjustRightInd w:val="0"/>
        <w:jc w:val="both"/>
        <w:rPr>
          <w:b/>
        </w:rPr>
      </w:pPr>
      <w:r w:rsidRPr="00544398">
        <w:rPr>
          <w:b/>
        </w:rPr>
        <w:t>SOLICITO FIJE INDEMNIZACION POR DAÑOS</w:t>
      </w:r>
    </w:p>
    <w:p w14:paraId="23925FEB" w14:textId="77777777" w:rsidR="005C0B8B" w:rsidRDefault="005C0B8B" w:rsidP="005C0B8B">
      <w:pPr>
        <w:pStyle w:val="NormalWeb"/>
        <w:ind w:firstLine="1276"/>
        <w:jc w:val="both"/>
      </w:pPr>
      <w:r>
        <w:lastRenderedPageBreak/>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4176817A" w14:textId="77777777" w:rsidR="005C0B8B" w:rsidRDefault="005C0B8B" w:rsidP="005C0B8B">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7A520D9E" w14:textId="77777777" w:rsidR="005C0B8B" w:rsidRDefault="005C0B8B" w:rsidP="005C0B8B">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"Pietranera"</w:t>
      </w:r>
      <w:r>
        <w:t>.</w:t>
      </w:r>
    </w:p>
    <w:p w14:paraId="38E1609B" w14:textId="77777777" w:rsidR="005C0B8B" w:rsidRDefault="005C0B8B" w:rsidP="005C0B8B">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48386D61" w14:textId="77FAB077" w:rsidR="008F5ED6" w:rsidRPr="005C0B8B" w:rsidRDefault="005C0B8B" w:rsidP="005C0B8B">
      <w:pPr>
        <w:pStyle w:val="NormalWeb"/>
        <w:ind w:firstLine="1276"/>
        <w:jc w:val="both"/>
      </w:pPr>
      <w:r>
        <w:t>Por todo lo expuesto, solicito que se condene a ANSES a abonar una indemnización por los daños ocasionados o, en su defecto, a actualizar y pagar la deuda de manera integral y conforme a derecho.</w:t>
      </w:r>
      <w:r w:rsidR="00544398" w:rsidRPr="00544398">
        <w:t xml:space="preserve"> </w:t>
      </w:r>
      <w:r w:rsidR="00D37A03">
        <w:t>{% endif %}</w:t>
      </w:r>
      <w:bookmarkStart w:id="5" w:name="_Hlk73292622"/>
    </w:p>
    <w:bookmarkEnd w:id="5"/>
    <w:p w14:paraId="37C90A04" w14:textId="77777777" w:rsidR="008F5ED6" w:rsidRPr="00241391" w:rsidRDefault="00E8321E" w:rsidP="005C0B8B">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5C0B8B">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5C0B8B">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6" w:name="_Hlk73119687"/>
    </w:p>
    <w:p w14:paraId="7FF35F5B" w14:textId="77777777" w:rsidR="00495014" w:rsidRDefault="00495014" w:rsidP="005C0B8B">
      <w:pPr>
        <w:autoSpaceDE w:val="0"/>
        <w:autoSpaceDN w:val="0"/>
        <w:adjustRightInd w:val="0"/>
        <w:jc w:val="both"/>
      </w:pPr>
    </w:p>
    <w:p w14:paraId="4632A1A9" w14:textId="2444D6DB" w:rsidR="008F5ED6" w:rsidRDefault="008F5ED6" w:rsidP="005C0B8B">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5C0B8B">
      <w:pPr>
        <w:autoSpaceDE w:val="0"/>
        <w:autoSpaceDN w:val="0"/>
        <w:adjustRightInd w:val="0"/>
        <w:jc w:val="both"/>
        <w:rPr>
          <w:color w:val="FF0000"/>
        </w:rPr>
      </w:pPr>
    </w:p>
    <w:p w14:paraId="3EBB82EE" w14:textId="77777777" w:rsidR="008F5ED6" w:rsidRPr="00241391" w:rsidRDefault="008F5ED6" w:rsidP="005C0B8B">
      <w:pPr>
        <w:autoSpaceDE w:val="0"/>
        <w:autoSpaceDN w:val="0"/>
        <w:adjustRightInd w:val="0"/>
        <w:ind w:firstLine="1134"/>
        <w:jc w:val="right"/>
      </w:pPr>
      <w:r w:rsidRPr="00241391">
        <w:t>Proveer en conformidad</w:t>
      </w:r>
    </w:p>
    <w:bookmarkEnd w:id="6"/>
    <w:p w14:paraId="3A9AAABF" w14:textId="77777777" w:rsidR="008F5ED6" w:rsidRDefault="008F5ED6" w:rsidP="005C0B8B">
      <w:pPr>
        <w:ind w:firstLine="2160"/>
        <w:jc w:val="center"/>
        <w:rPr>
          <w:b/>
          <w:lang w:val="es-ES_tradnl"/>
        </w:rPr>
      </w:pPr>
    </w:p>
    <w:p w14:paraId="5A952366" w14:textId="77777777" w:rsidR="008F5ED6" w:rsidRPr="00241391" w:rsidRDefault="008F5ED6" w:rsidP="005C0B8B">
      <w:pPr>
        <w:rPr>
          <w:b/>
          <w:lang w:val="es-ES_tradnl"/>
        </w:rPr>
      </w:pPr>
    </w:p>
    <w:p w14:paraId="267BDADF" w14:textId="77777777" w:rsidR="008F5ED6" w:rsidRPr="00241391" w:rsidRDefault="008F5ED6" w:rsidP="005C0B8B">
      <w:pPr>
        <w:rPr>
          <w:b/>
          <w:lang w:val="es-ES_tradnl"/>
        </w:rPr>
      </w:pPr>
    </w:p>
    <w:p w14:paraId="7888562E" w14:textId="77777777" w:rsidR="008F5ED6" w:rsidRPr="00241391" w:rsidRDefault="008F5ED6" w:rsidP="005C0B8B">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5C0B8B">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5C0B8B">
      <w:pPr>
        <w:ind w:firstLine="2160"/>
        <w:jc w:val="center"/>
      </w:pPr>
      <w:r>
        <w:rPr>
          <w:b/>
          <w:sz w:val="16"/>
          <w:szCs w:val="16"/>
          <w:lang w:val="es-ES_tradnl"/>
        </w:rPr>
        <w:t>MAT. FED T 108 F 978</w:t>
      </w:r>
    </w:p>
    <w:p w14:paraId="5D6D0531" w14:textId="77777777" w:rsidR="008F5ED6" w:rsidRPr="008F5ED6" w:rsidRDefault="008F5ED6" w:rsidP="005C0B8B">
      <w:pPr>
        <w:autoSpaceDE w:val="0"/>
        <w:autoSpaceDN w:val="0"/>
        <w:adjustRightInd w:val="0"/>
        <w:ind w:firstLine="1134"/>
        <w:jc w:val="both"/>
      </w:pPr>
    </w:p>
    <w:p w14:paraId="3A6D1393" w14:textId="77777777" w:rsidR="0080112B" w:rsidRPr="00241391" w:rsidRDefault="0080112B" w:rsidP="005C0B8B"/>
    <w:sectPr w:rsidR="0080112B" w:rsidRPr="00241391" w:rsidSect="00EF3512">
      <w:pgSz w:w="11906" w:h="16838" w:code="9"/>
      <w:pgMar w:top="2835" w:right="1276" w:bottom="1276"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Franco Galván" w:date="2025-02-10T04:12:00Z" w:initials="FG">
    <w:p w14:paraId="785B61B6" w14:textId="77777777" w:rsidR="000D77D8" w:rsidRDefault="000D77D8" w:rsidP="000D77D8">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4" w:author="Franco Galván" w:date="2025-02-10T04:15:00Z" w:initials="FG">
    <w:p w14:paraId="6AC4568E" w14:textId="77777777" w:rsidR="00086D0A" w:rsidRDefault="00086D0A" w:rsidP="00086D0A">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85B61B6" w15:done="0"/>
  <w15:commentEx w15:paraId="6AC456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3ACF5E5" w16cex:dateUtc="2025-02-10T07:12:00Z"/>
  <w16cex:commentExtensible w16cex:durableId="241CA625" w16cex:dateUtc="2025-02-10T0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85B61B6" w16cid:durableId="73ACF5E5"/>
  <w16cid:commentId w16cid:paraId="6AC4568E"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0BCB3" w14:textId="77777777" w:rsidR="00C25099" w:rsidRDefault="00C25099" w:rsidP="00544398">
      <w:r>
        <w:separator/>
      </w:r>
    </w:p>
  </w:endnote>
  <w:endnote w:type="continuationSeparator" w:id="0">
    <w:p w14:paraId="0DF21EBF" w14:textId="77777777" w:rsidR="00C25099" w:rsidRDefault="00C25099"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C6E32" w14:textId="77777777" w:rsidR="00C25099" w:rsidRDefault="00C25099" w:rsidP="00544398">
      <w:r>
        <w:separator/>
      </w:r>
    </w:p>
  </w:footnote>
  <w:footnote w:type="continuationSeparator" w:id="0">
    <w:p w14:paraId="342A97AA" w14:textId="77777777" w:rsidR="00C25099" w:rsidRDefault="00C25099"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6D29"/>
    <w:rsid w:val="000177F2"/>
    <w:rsid w:val="00024AF1"/>
    <w:rsid w:val="00030707"/>
    <w:rsid w:val="00036312"/>
    <w:rsid w:val="00046D0F"/>
    <w:rsid w:val="00047B09"/>
    <w:rsid w:val="00054937"/>
    <w:rsid w:val="00055921"/>
    <w:rsid w:val="00060E61"/>
    <w:rsid w:val="00062E38"/>
    <w:rsid w:val="00070DA5"/>
    <w:rsid w:val="000755A2"/>
    <w:rsid w:val="000763A6"/>
    <w:rsid w:val="0007753B"/>
    <w:rsid w:val="000838FF"/>
    <w:rsid w:val="0008570B"/>
    <w:rsid w:val="00085D0D"/>
    <w:rsid w:val="00086D0A"/>
    <w:rsid w:val="000879B6"/>
    <w:rsid w:val="00090184"/>
    <w:rsid w:val="00090D64"/>
    <w:rsid w:val="000A0A1B"/>
    <w:rsid w:val="000A2BAB"/>
    <w:rsid w:val="000A3F9A"/>
    <w:rsid w:val="000A6F4D"/>
    <w:rsid w:val="000B05C2"/>
    <w:rsid w:val="000B24DF"/>
    <w:rsid w:val="000B6176"/>
    <w:rsid w:val="000C0216"/>
    <w:rsid w:val="000C10B7"/>
    <w:rsid w:val="000C3B50"/>
    <w:rsid w:val="000C3EEF"/>
    <w:rsid w:val="000C5427"/>
    <w:rsid w:val="000C5D55"/>
    <w:rsid w:val="000C62AC"/>
    <w:rsid w:val="000D076D"/>
    <w:rsid w:val="000D3E80"/>
    <w:rsid w:val="000D4D00"/>
    <w:rsid w:val="000D595C"/>
    <w:rsid w:val="000D77D8"/>
    <w:rsid w:val="000D7A6C"/>
    <w:rsid w:val="000D7C9A"/>
    <w:rsid w:val="000E10F6"/>
    <w:rsid w:val="000E250F"/>
    <w:rsid w:val="000E548B"/>
    <w:rsid w:val="000E6A17"/>
    <w:rsid w:val="000F01D7"/>
    <w:rsid w:val="000F1642"/>
    <w:rsid w:val="000F16D1"/>
    <w:rsid w:val="000F1F8D"/>
    <w:rsid w:val="000F370A"/>
    <w:rsid w:val="000F4EE5"/>
    <w:rsid w:val="000F5440"/>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E4BD1"/>
    <w:rsid w:val="001E4C47"/>
    <w:rsid w:val="001F1BCD"/>
    <w:rsid w:val="00200403"/>
    <w:rsid w:val="00206EB7"/>
    <w:rsid w:val="00210555"/>
    <w:rsid w:val="00210B06"/>
    <w:rsid w:val="00211800"/>
    <w:rsid w:val="002122C1"/>
    <w:rsid w:val="0021350B"/>
    <w:rsid w:val="002169A5"/>
    <w:rsid w:val="00220B58"/>
    <w:rsid w:val="00222783"/>
    <w:rsid w:val="00222DAB"/>
    <w:rsid w:val="00226C3F"/>
    <w:rsid w:val="00227D23"/>
    <w:rsid w:val="0023032A"/>
    <w:rsid w:val="002322E8"/>
    <w:rsid w:val="00233315"/>
    <w:rsid w:val="00240A4B"/>
    <w:rsid w:val="00240E86"/>
    <w:rsid w:val="00241391"/>
    <w:rsid w:val="002422C7"/>
    <w:rsid w:val="00244634"/>
    <w:rsid w:val="002461B6"/>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54BA"/>
    <w:rsid w:val="002B5781"/>
    <w:rsid w:val="002B5D20"/>
    <w:rsid w:val="002C3164"/>
    <w:rsid w:val="002C54BD"/>
    <w:rsid w:val="002D0056"/>
    <w:rsid w:val="002D0D44"/>
    <w:rsid w:val="002D3DB2"/>
    <w:rsid w:val="002D50A8"/>
    <w:rsid w:val="002E3925"/>
    <w:rsid w:val="002E6FDD"/>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5293C"/>
    <w:rsid w:val="003609CD"/>
    <w:rsid w:val="00373E3F"/>
    <w:rsid w:val="0037579F"/>
    <w:rsid w:val="003766BB"/>
    <w:rsid w:val="0038051A"/>
    <w:rsid w:val="003833D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A7399"/>
    <w:rsid w:val="003C0EE6"/>
    <w:rsid w:val="003C7AF1"/>
    <w:rsid w:val="003D09DF"/>
    <w:rsid w:val="003D240C"/>
    <w:rsid w:val="003D291B"/>
    <w:rsid w:val="003D30AE"/>
    <w:rsid w:val="003D3DB7"/>
    <w:rsid w:val="003D4798"/>
    <w:rsid w:val="003D6635"/>
    <w:rsid w:val="003D6F07"/>
    <w:rsid w:val="003E441D"/>
    <w:rsid w:val="003E4E89"/>
    <w:rsid w:val="003E7CEE"/>
    <w:rsid w:val="003E7DAF"/>
    <w:rsid w:val="003F3F89"/>
    <w:rsid w:val="003F4A9A"/>
    <w:rsid w:val="003F4BB6"/>
    <w:rsid w:val="003F6FC2"/>
    <w:rsid w:val="004016FD"/>
    <w:rsid w:val="00402C20"/>
    <w:rsid w:val="0040567A"/>
    <w:rsid w:val="0040617E"/>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4858"/>
    <w:rsid w:val="004503C3"/>
    <w:rsid w:val="00452F07"/>
    <w:rsid w:val="0045440C"/>
    <w:rsid w:val="00455A56"/>
    <w:rsid w:val="0046169C"/>
    <w:rsid w:val="004649E1"/>
    <w:rsid w:val="00465418"/>
    <w:rsid w:val="0046559A"/>
    <w:rsid w:val="004724A4"/>
    <w:rsid w:val="004765FB"/>
    <w:rsid w:val="00476699"/>
    <w:rsid w:val="00477CCD"/>
    <w:rsid w:val="00482DBB"/>
    <w:rsid w:val="00484055"/>
    <w:rsid w:val="00487E1F"/>
    <w:rsid w:val="00490368"/>
    <w:rsid w:val="00491C23"/>
    <w:rsid w:val="00493D7E"/>
    <w:rsid w:val="00495014"/>
    <w:rsid w:val="00495C3C"/>
    <w:rsid w:val="00496531"/>
    <w:rsid w:val="0049655B"/>
    <w:rsid w:val="00496C66"/>
    <w:rsid w:val="004A1A81"/>
    <w:rsid w:val="004A1E5B"/>
    <w:rsid w:val="004A32F8"/>
    <w:rsid w:val="004A77F5"/>
    <w:rsid w:val="004B16E4"/>
    <w:rsid w:val="004B37D2"/>
    <w:rsid w:val="004B3A3B"/>
    <w:rsid w:val="004B433C"/>
    <w:rsid w:val="004B751C"/>
    <w:rsid w:val="004C3545"/>
    <w:rsid w:val="004C3C07"/>
    <w:rsid w:val="004C67D7"/>
    <w:rsid w:val="004C6AF1"/>
    <w:rsid w:val="004C7ED2"/>
    <w:rsid w:val="004D060E"/>
    <w:rsid w:val="004D0A71"/>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5F0F"/>
    <w:rsid w:val="0054288E"/>
    <w:rsid w:val="00544398"/>
    <w:rsid w:val="00546760"/>
    <w:rsid w:val="005621F0"/>
    <w:rsid w:val="00574D0E"/>
    <w:rsid w:val="0058687D"/>
    <w:rsid w:val="00586D8A"/>
    <w:rsid w:val="00591A76"/>
    <w:rsid w:val="00593286"/>
    <w:rsid w:val="00597F57"/>
    <w:rsid w:val="005A7B53"/>
    <w:rsid w:val="005B12F7"/>
    <w:rsid w:val="005B340D"/>
    <w:rsid w:val="005B4972"/>
    <w:rsid w:val="005B52C6"/>
    <w:rsid w:val="005B5B85"/>
    <w:rsid w:val="005B6843"/>
    <w:rsid w:val="005C0B8B"/>
    <w:rsid w:val="005C48BE"/>
    <w:rsid w:val="005C5C81"/>
    <w:rsid w:val="005C65E0"/>
    <w:rsid w:val="005D0514"/>
    <w:rsid w:val="005D51F9"/>
    <w:rsid w:val="005E7E90"/>
    <w:rsid w:val="005F2437"/>
    <w:rsid w:val="005F2EF9"/>
    <w:rsid w:val="005F61CE"/>
    <w:rsid w:val="00606D6D"/>
    <w:rsid w:val="00607A34"/>
    <w:rsid w:val="0061715B"/>
    <w:rsid w:val="00623F44"/>
    <w:rsid w:val="00624ABB"/>
    <w:rsid w:val="00632542"/>
    <w:rsid w:val="006407FC"/>
    <w:rsid w:val="0064173A"/>
    <w:rsid w:val="006431DC"/>
    <w:rsid w:val="00645227"/>
    <w:rsid w:val="00645309"/>
    <w:rsid w:val="00647B85"/>
    <w:rsid w:val="00647FD4"/>
    <w:rsid w:val="00650EE6"/>
    <w:rsid w:val="00651855"/>
    <w:rsid w:val="00651867"/>
    <w:rsid w:val="00655A44"/>
    <w:rsid w:val="006602DD"/>
    <w:rsid w:val="00661D1E"/>
    <w:rsid w:val="00661ED2"/>
    <w:rsid w:val="00664815"/>
    <w:rsid w:val="0067056F"/>
    <w:rsid w:val="00672366"/>
    <w:rsid w:val="00673238"/>
    <w:rsid w:val="00677014"/>
    <w:rsid w:val="006803C4"/>
    <w:rsid w:val="006804C1"/>
    <w:rsid w:val="00683762"/>
    <w:rsid w:val="006879EF"/>
    <w:rsid w:val="00692C9F"/>
    <w:rsid w:val="006B26C8"/>
    <w:rsid w:val="006B3121"/>
    <w:rsid w:val="006C092F"/>
    <w:rsid w:val="006C094A"/>
    <w:rsid w:val="006C5E8F"/>
    <w:rsid w:val="006C7538"/>
    <w:rsid w:val="006C7A0D"/>
    <w:rsid w:val="006C7D7B"/>
    <w:rsid w:val="006D05CA"/>
    <w:rsid w:val="006D5D26"/>
    <w:rsid w:val="006E01E1"/>
    <w:rsid w:val="006E2048"/>
    <w:rsid w:val="006E4D6C"/>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7539"/>
    <w:rsid w:val="007544B2"/>
    <w:rsid w:val="007616F8"/>
    <w:rsid w:val="00766103"/>
    <w:rsid w:val="00772734"/>
    <w:rsid w:val="00774809"/>
    <w:rsid w:val="00775A05"/>
    <w:rsid w:val="00782184"/>
    <w:rsid w:val="00782BC2"/>
    <w:rsid w:val="007834F8"/>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316A"/>
    <w:rsid w:val="0085488C"/>
    <w:rsid w:val="008548F6"/>
    <w:rsid w:val="00857B25"/>
    <w:rsid w:val="00870EE3"/>
    <w:rsid w:val="008736EF"/>
    <w:rsid w:val="0088143E"/>
    <w:rsid w:val="00884BB8"/>
    <w:rsid w:val="008855A3"/>
    <w:rsid w:val="00887311"/>
    <w:rsid w:val="008940B4"/>
    <w:rsid w:val="008941A3"/>
    <w:rsid w:val="00896F6D"/>
    <w:rsid w:val="008A2D98"/>
    <w:rsid w:val="008A4022"/>
    <w:rsid w:val="008A6153"/>
    <w:rsid w:val="008A737C"/>
    <w:rsid w:val="008B4C8E"/>
    <w:rsid w:val="008C07AC"/>
    <w:rsid w:val="008C6274"/>
    <w:rsid w:val="008C6310"/>
    <w:rsid w:val="008C65BE"/>
    <w:rsid w:val="008C72D1"/>
    <w:rsid w:val="008D0698"/>
    <w:rsid w:val="008D15B9"/>
    <w:rsid w:val="008D6471"/>
    <w:rsid w:val="008D6706"/>
    <w:rsid w:val="008E4D93"/>
    <w:rsid w:val="008E5688"/>
    <w:rsid w:val="008E6244"/>
    <w:rsid w:val="008E6B50"/>
    <w:rsid w:val="008F36C9"/>
    <w:rsid w:val="008F5ED6"/>
    <w:rsid w:val="008F7BB7"/>
    <w:rsid w:val="00901FED"/>
    <w:rsid w:val="00902849"/>
    <w:rsid w:val="00903B8A"/>
    <w:rsid w:val="0090413C"/>
    <w:rsid w:val="00906697"/>
    <w:rsid w:val="009127E3"/>
    <w:rsid w:val="00917FF3"/>
    <w:rsid w:val="009222A3"/>
    <w:rsid w:val="009247D7"/>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71A70"/>
    <w:rsid w:val="0097640F"/>
    <w:rsid w:val="009776A4"/>
    <w:rsid w:val="009854D4"/>
    <w:rsid w:val="00996C07"/>
    <w:rsid w:val="009A1DE1"/>
    <w:rsid w:val="009A5935"/>
    <w:rsid w:val="009A6B53"/>
    <w:rsid w:val="009A6BC0"/>
    <w:rsid w:val="009A6E2F"/>
    <w:rsid w:val="009B0949"/>
    <w:rsid w:val="009B372A"/>
    <w:rsid w:val="009C0F7B"/>
    <w:rsid w:val="009D1AB9"/>
    <w:rsid w:val="009E29F2"/>
    <w:rsid w:val="009E4679"/>
    <w:rsid w:val="009E642B"/>
    <w:rsid w:val="009E73AE"/>
    <w:rsid w:val="009F35E9"/>
    <w:rsid w:val="00A002E3"/>
    <w:rsid w:val="00A07416"/>
    <w:rsid w:val="00A12772"/>
    <w:rsid w:val="00A1676F"/>
    <w:rsid w:val="00A206D0"/>
    <w:rsid w:val="00A24F04"/>
    <w:rsid w:val="00A408D8"/>
    <w:rsid w:val="00A45AF3"/>
    <w:rsid w:val="00A55FAA"/>
    <w:rsid w:val="00A56CD8"/>
    <w:rsid w:val="00A62268"/>
    <w:rsid w:val="00A62772"/>
    <w:rsid w:val="00A641EF"/>
    <w:rsid w:val="00A64283"/>
    <w:rsid w:val="00A670F5"/>
    <w:rsid w:val="00A678C9"/>
    <w:rsid w:val="00A67C47"/>
    <w:rsid w:val="00A70BD9"/>
    <w:rsid w:val="00A761CF"/>
    <w:rsid w:val="00A84118"/>
    <w:rsid w:val="00A91F41"/>
    <w:rsid w:val="00A922D9"/>
    <w:rsid w:val="00A9604B"/>
    <w:rsid w:val="00A97ADA"/>
    <w:rsid w:val="00AA2E52"/>
    <w:rsid w:val="00AB62F5"/>
    <w:rsid w:val="00AB71A4"/>
    <w:rsid w:val="00AC149E"/>
    <w:rsid w:val="00AC1CDA"/>
    <w:rsid w:val="00AC48FA"/>
    <w:rsid w:val="00AC64DD"/>
    <w:rsid w:val="00AC6EFE"/>
    <w:rsid w:val="00AD1E49"/>
    <w:rsid w:val="00AD3D24"/>
    <w:rsid w:val="00AD6AF1"/>
    <w:rsid w:val="00AF02CA"/>
    <w:rsid w:val="00AF4BE1"/>
    <w:rsid w:val="00B01D5B"/>
    <w:rsid w:val="00B10030"/>
    <w:rsid w:val="00B10B77"/>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64E4"/>
    <w:rsid w:val="00B675C6"/>
    <w:rsid w:val="00B67FAA"/>
    <w:rsid w:val="00B7083F"/>
    <w:rsid w:val="00B73753"/>
    <w:rsid w:val="00B751F3"/>
    <w:rsid w:val="00B80DD6"/>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1468"/>
    <w:rsid w:val="00BC4000"/>
    <w:rsid w:val="00BC4FA0"/>
    <w:rsid w:val="00BC7207"/>
    <w:rsid w:val="00BD13C7"/>
    <w:rsid w:val="00BD4E1F"/>
    <w:rsid w:val="00BD5843"/>
    <w:rsid w:val="00BE074C"/>
    <w:rsid w:val="00BF4F68"/>
    <w:rsid w:val="00BF683A"/>
    <w:rsid w:val="00BF6CAD"/>
    <w:rsid w:val="00C045C5"/>
    <w:rsid w:val="00C047B6"/>
    <w:rsid w:val="00C12FB0"/>
    <w:rsid w:val="00C130C4"/>
    <w:rsid w:val="00C131D6"/>
    <w:rsid w:val="00C138B6"/>
    <w:rsid w:val="00C14A7C"/>
    <w:rsid w:val="00C23B25"/>
    <w:rsid w:val="00C25099"/>
    <w:rsid w:val="00C27ACD"/>
    <w:rsid w:val="00C27EB5"/>
    <w:rsid w:val="00C465F1"/>
    <w:rsid w:val="00C501FC"/>
    <w:rsid w:val="00C51D64"/>
    <w:rsid w:val="00C550EB"/>
    <w:rsid w:val="00C56F80"/>
    <w:rsid w:val="00C60CE3"/>
    <w:rsid w:val="00C61F24"/>
    <w:rsid w:val="00C620B4"/>
    <w:rsid w:val="00C630AF"/>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50D6"/>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06C9"/>
    <w:rsid w:val="00D51A3A"/>
    <w:rsid w:val="00D55C07"/>
    <w:rsid w:val="00D605C5"/>
    <w:rsid w:val="00D61DED"/>
    <w:rsid w:val="00D623F1"/>
    <w:rsid w:val="00D645A9"/>
    <w:rsid w:val="00D67A8F"/>
    <w:rsid w:val="00D71E18"/>
    <w:rsid w:val="00D739A7"/>
    <w:rsid w:val="00D753F7"/>
    <w:rsid w:val="00D8134F"/>
    <w:rsid w:val="00D862E6"/>
    <w:rsid w:val="00D91555"/>
    <w:rsid w:val="00DA3FC8"/>
    <w:rsid w:val="00DA7EE6"/>
    <w:rsid w:val="00DB0EB7"/>
    <w:rsid w:val="00DC316B"/>
    <w:rsid w:val="00DC3885"/>
    <w:rsid w:val="00DC4978"/>
    <w:rsid w:val="00DC4E56"/>
    <w:rsid w:val="00DC57B8"/>
    <w:rsid w:val="00DD0142"/>
    <w:rsid w:val="00DD2CB3"/>
    <w:rsid w:val="00DD4825"/>
    <w:rsid w:val="00DD4BC1"/>
    <w:rsid w:val="00DD67BD"/>
    <w:rsid w:val="00DE247A"/>
    <w:rsid w:val="00DE444A"/>
    <w:rsid w:val="00DE4A4D"/>
    <w:rsid w:val="00DF511E"/>
    <w:rsid w:val="00E0034A"/>
    <w:rsid w:val="00E00F61"/>
    <w:rsid w:val="00E105F7"/>
    <w:rsid w:val="00E22D72"/>
    <w:rsid w:val="00E318DA"/>
    <w:rsid w:val="00E3562A"/>
    <w:rsid w:val="00E3636E"/>
    <w:rsid w:val="00E42FC4"/>
    <w:rsid w:val="00E43DD7"/>
    <w:rsid w:val="00E46030"/>
    <w:rsid w:val="00E535AD"/>
    <w:rsid w:val="00E55496"/>
    <w:rsid w:val="00E569EE"/>
    <w:rsid w:val="00E655B4"/>
    <w:rsid w:val="00E65FDF"/>
    <w:rsid w:val="00E756E8"/>
    <w:rsid w:val="00E77FCF"/>
    <w:rsid w:val="00E8036D"/>
    <w:rsid w:val="00E82E26"/>
    <w:rsid w:val="00E8321E"/>
    <w:rsid w:val="00E83DBA"/>
    <w:rsid w:val="00E90E3C"/>
    <w:rsid w:val="00E930C3"/>
    <w:rsid w:val="00E97CB0"/>
    <w:rsid w:val="00EA02E8"/>
    <w:rsid w:val="00EB056C"/>
    <w:rsid w:val="00EB0E2A"/>
    <w:rsid w:val="00EB3614"/>
    <w:rsid w:val="00EB471C"/>
    <w:rsid w:val="00EC0609"/>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3496"/>
    <w:rsid w:val="00F1712F"/>
    <w:rsid w:val="00F229CE"/>
    <w:rsid w:val="00F300B5"/>
    <w:rsid w:val="00F34C48"/>
    <w:rsid w:val="00F34CD2"/>
    <w:rsid w:val="00F35E42"/>
    <w:rsid w:val="00F40BBD"/>
    <w:rsid w:val="00F41ACD"/>
    <w:rsid w:val="00F46993"/>
    <w:rsid w:val="00F61388"/>
    <w:rsid w:val="00F62AEF"/>
    <w:rsid w:val="00F7290A"/>
    <w:rsid w:val="00F729C8"/>
    <w:rsid w:val="00F7318F"/>
    <w:rsid w:val="00F76497"/>
    <w:rsid w:val="00F83DDC"/>
    <w:rsid w:val="00F85DDE"/>
    <w:rsid w:val="00F87E2D"/>
    <w:rsid w:val="00FA33A4"/>
    <w:rsid w:val="00FB016B"/>
    <w:rsid w:val="00FB202F"/>
    <w:rsid w:val="00FB281D"/>
    <w:rsid w:val="00FC11FE"/>
    <w:rsid w:val="00FC39FE"/>
    <w:rsid w:val="00FC555D"/>
    <w:rsid w:val="00FD078E"/>
    <w:rsid w:val="00FD3CE4"/>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jconsulta.csjn.gov.ar/sjconsulta/documentos/verDocumentoByIdLinksJSP.html?idDocumento=5838941"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5796151" TargetMode="External"/><Relationship Id="rId17" Type="http://schemas.openxmlformats.org/officeDocument/2006/relationships/image" Target="media/image2.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6398361&amp;cache=1628881211401" TargetMode="Externa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Sumario.html?idDocumentoSumario=24586"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7717371" TargetMode="External"/><Relationship Id="rId23" Type="http://schemas.openxmlformats.org/officeDocument/2006/relationships/image" Target="media/image4.png"/><Relationship Id="rId10" Type="http://schemas.openxmlformats.org/officeDocument/2006/relationships/hyperlink" Target="https://sj.csjn.gov.ar/homeSJ/notas/nota/22/documento" TargetMode="External"/><Relationship Id="rId19"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359051" TargetMode="External"/><Relationship Id="rId14" Type="http://schemas.openxmlformats.org/officeDocument/2006/relationships/hyperlink" Target="https://sjconsulta.csjn.gov.ar/sjconsulta/documentos/verDocumentoByIdLinksJSP.html?idDocumento=6359051" TargetMode="External"/><Relationship Id="rId22"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7534</Words>
  <Characters>41442</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48879</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4</cp:revision>
  <cp:lastPrinted>2023-01-02T11:50:00Z</cp:lastPrinted>
  <dcterms:created xsi:type="dcterms:W3CDTF">2025-06-06T18:41:00Z</dcterms:created>
  <dcterms:modified xsi:type="dcterms:W3CDTF">2025-06-06T18:42:00Z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