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013DD3">
        <w:t xml:space="preserve"> </w:t>
      </w:r>
      <w:r w:rsidR="00F80F75">
        <w:t>{% if ley_27609_Si or ley_27541_Si or ley_27426_Si %}</w:t>
      </w:r>
    </w:p>
    <w:p w14:paraId="0E767F22" w14:textId="510F4E8C" w:rsidR="00074B2A" w:rsidRDefault="00F80F75" w:rsidP="00F80F75">
      <w:pPr>
        <w:numPr>
          <w:ilvl w:val="0"/>
          <w:numId w:val="18"/>
        </w:numPr>
        <w:autoSpaceDE w:val="0"/>
        <w:autoSpaceDN w:val="0"/>
        <w:adjustRightInd w:val="0"/>
        <w:spacing w:line="276" w:lineRule="auto"/>
        <w:jc w:val="both"/>
      </w:pPr>
      <w:r>
        <w:t>Dejo planteada la inconstitucionalidad de la {% if ley_27609_Si %} ley 27.609 {% endif %}{% if ley_27541_Si %}, ley 27.541 {% endif %}{% if ley_27426_Si %}, ley 27.426 {% endif %}.{% endif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if </w:t>
      </w:r>
      <w:r w:rsidRPr="000F370A">
        <w:t>Edad_Avanzada_Si</w:t>
      </w:r>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Solicito prioridad de pago debido a la edad avanzada de mi mandante. {% endif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w:t>
      </w:r>
      <w:r w:rsidR="003F7058" w:rsidRPr="003F7058">
        <w:t xml:space="preserve"> fecha_aprobacion_planilla</w:t>
      </w:r>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w:t>
      </w:r>
      <w:r w:rsidR="002C1433" w:rsidRPr="002C1433">
        <w:rPr>
          <w:b/>
          <w:bCs/>
        </w:rPr>
        <w:t xml:space="preserve"> </w:t>
      </w:r>
      <w:r w:rsidR="002C1433" w:rsidRPr="002C1433">
        <w:t>Fecha_Inicial_de_Pago</w:t>
      </w:r>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r w:rsidR="00E845FC" w:rsidRPr="00E845FC">
        <w:t>Fecha_de_cierre_de_liquidación</w:t>
      </w:r>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Sentencia de 1 ra instancia de fecha: {{</w:t>
      </w:r>
      <w:r w:rsidRPr="004A1A81">
        <w:t>Fecha_Sentencia_Primera</w:t>
      </w:r>
      <w:r>
        <w:t>}}</w:t>
      </w:r>
    </w:p>
    <w:p w14:paraId="4CF397E8" w14:textId="77777777" w:rsidR="00306EA0" w:rsidRDefault="00306EA0" w:rsidP="00306EA0">
      <w:pPr>
        <w:autoSpaceDE w:val="0"/>
        <w:autoSpaceDN w:val="0"/>
        <w:adjustRightInd w:val="0"/>
        <w:spacing w:line="276" w:lineRule="auto"/>
        <w:ind w:left="1134"/>
        <w:jc w:val="both"/>
      </w:pPr>
      <w:r>
        <w:t xml:space="preserve">{% if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7CDC92DB" w14:textId="77777777" w:rsidR="003F7058" w:rsidRDefault="003F7058" w:rsidP="003F7058">
      <w:pPr>
        <w:autoSpaceDE w:val="0"/>
        <w:autoSpaceDN w:val="0"/>
        <w:adjustRightInd w:val="0"/>
        <w:spacing w:line="276" w:lineRule="auto"/>
        <w:ind w:left="1134"/>
        <w:jc w:val="both"/>
      </w:pPr>
      <w:r>
        <w:t>Aprobación de liquidación al {{</w:t>
      </w:r>
      <w:r w:rsidRPr="003F7058">
        <w:t xml:space="preserve"> fecha_aprobacion_planilla</w:t>
      </w:r>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6296AA24" w14:textId="77777777" w:rsidR="00306EA0" w:rsidRPr="008E4D93" w:rsidRDefault="00306EA0" w:rsidP="00306EA0">
      <w:pPr>
        <w:autoSpaceDE w:val="0"/>
        <w:autoSpaceDN w:val="0"/>
        <w:adjustRightInd w:val="0"/>
        <w:spacing w:line="276" w:lineRule="auto"/>
        <w:jc w:val="both"/>
      </w:pPr>
      <w:r w:rsidRPr="008E4D93">
        <w:rPr>
          <w:b/>
          <w:bCs/>
        </w:rPr>
        <w:t>Opción 1 {% endif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{{total_liquidacion}}</w:t>
      </w:r>
    </w:p>
    <w:p w14:paraId="37DF4318" w14:textId="77777777" w:rsidR="00306EA0" w:rsidRDefault="00306EA0" w:rsidP="00306EA0">
      <w:pPr>
        <w:autoSpaceDE w:val="0"/>
        <w:autoSpaceDN w:val="0"/>
        <w:adjustRightInd w:val="0"/>
        <w:spacing w:line="276" w:lineRule="auto"/>
        <w:jc w:val="both"/>
      </w:pPr>
      <w:r>
        <w:t xml:space="preserve">{% if </w:t>
      </w:r>
      <w:r w:rsidRPr="008E4D93">
        <w:t>Segunda_Liquidacion_Si</w:t>
      </w:r>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7AE03A35" w14:textId="77777777" w:rsidR="00306EA0" w:rsidRDefault="00306EA0" w:rsidP="00306EA0">
      <w:pPr>
        <w:autoSpaceDE w:val="0"/>
        <w:autoSpaceDN w:val="0"/>
        <w:adjustRightInd w:val="0"/>
        <w:spacing w:line="276" w:lineRule="auto"/>
        <w:jc w:val="both"/>
      </w:pPr>
      <w:r>
        <w:t>{% endif %}</w:t>
      </w:r>
    </w:p>
    <w:p w14:paraId="0725EA5C"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r w:rsidRPr="00F34C48">
              <w:t>Haber_de_Alta_Primera_Liquidacion_IPC</w:t>
            </w:r>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r w:rsidRPr="005A7B53">
              <w:t>Haber_de_Alta</w:t>
            </w:r>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r>
              <w:t>Dif</w:t>
            </w:r>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r>
              <w:t>}}%</w:t>
            </w:r>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r w:rsidRPr="0061715B">
              <w:t>Haber_de_Alta_Segunda_Liquidacion_IPC</w:t>
            </w:r>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r>
              <w:t xml:space="preserve">{{ </w:t>
            </w:r>
            <w:r w:rsidRPr="00491C23">
              <w:t>Haber_de_Alta_Segunda_Liquidacion</w:t>
            </w:r>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r>
              <w:t>Dif</w:t>
            </w:r>
          </w:p>
        </w:tc>
        <w:tc>
          <w:tcPr>
            <w:tcW w:w="1972" w:type="dxa"/>
            <w:shd w:val="clear" w:color="auto" w:fill="auto"/>
          </w:tcPr>
          <w:p w14:paraId="7BED1291" w14:textId="77777777" w:rsidR="00306EA0" w:rsidRDefault="00306EA0" w:rsidP="00926F58">
            <w:pPr>
              <w:autoSpaceDE w:val="0"/>
              <w:autoSpaceDN w:val="0"/>
              <w:adjustRightInd w:val="0"/>
              <w:jc w:val="both"/>
            </w:pPr>
            <w:r>
              <w:t xml:space="preserve">{{ </w:t>
            </w:r>
            <w:r w:rsidRPr="007544B2">
              <w:t>Diferencias_2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r>
              <w:t xml:space="preserve">{{ </w:t>
            </w:r>
            <w:r w:rsidRPr="007544B2">
              <w:t>Porcentaje_2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r w:rsidR="00F23CB2">
        <w:rPr>
          <w:color w:val="000000"/>
        </w:rPr>
        <w:t xml:space="preserve"> {% </w:t>
      </w:r>
      <w:r w:rsidR="00EE54F9">
        <w:rPr>
          <w:color w:val="000000"/>
        </w:rPr>
        <w:t xml:space="preserve">if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“Cendan”</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haberes  , refuerza la insuficiencia de la formula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r>
        <w:rPr>
          <w:rFonts w:eastAsia="Calibri"/>
          <w:lang w:eastAsia="es-MX"/>
        </w:rPr>
        <w:t xml:space="preserve">Los </w:t>
      </w:r>
      <w:r w:rsidRPr="00345944">
        <w:rPr>
          <w:rFonts w:eastAsia="Calibri"/>
          <w:lang w:eastAsia="es-MX"/>
        </w:rPr>
        <w:t xml:space="preserve">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r w:rsidRPr="00345944">
        <w:rPr>
          <w:rFonts w:eastAsia="Calibri"/>
          <w:lang w:eastAsia="es-MX"/>
        </w:rPr>
        <w:t>pasado ,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y mas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Dependerá el índice que se elija para comparar los aumentos que dio la Anses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r w:rsidR="00F23CB2">
        <w:rPr>
          <w:rFonts w:eastAsia="Calibri"/>
          <w:color w:val="000000"/>
          <w:lang w:eastAsia="es-AR"/>
        </w:rPr>
        <w:t xml:space="preserve"> {% endif %}</w:t>
      </w:r>
      <w:r w:rsidR="00247710">
        <w:rPr>
          <w:rFonts w:eastAsia="Calibri"/>
          <w:color w:val="000000"/>
          <w:lang w:eastAsia="es-AR"/>
        </w:rPr>
        <w:t xml:space="preserve"> {% if </w:t>
      </w:r>
      <w:r w:rsidR="004A7A00" w:rsidRPr="004A7A00">
        <w:rPr>
          <w:rFonts w:eastAsia="Calibri"/>
          <w:color w:val="000000"/>
          <w:lang w:eastAsia="es-AR"/>
        </w:rPr>
        <w:t>ley_27426_Si</w:t>
      </w:r>
      <w:r w:rsidR="00247710">
        <w:rPr>
          <w:rFonts w:eastAsia="Calibri"/>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w:t>
      </w:r>
      <w:r w:rsidR="0076667E">
        <w:rPr>
          <w:bCs/>
        </w:rPr>
        <w:t xml:space="preserve"> {% if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inc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endif %}</w:t>
      </w:r>
      <w:r w:rsidR="000E0CD9">
        <w:rPr>
          <w:bCs/>
        </w:rPr>
        <w:t xml:space="preserve"> </w:t>
      </w:r>
      <w:r w:rsidR="000E0CD9">
        <w:t>{% if ley_27609_Si or ley_27541_Si or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endif %}</w:t>
      </w:r>
      <w:r w:rsidR="00F700D6">
        <w:rPr>
          <w:bCs/>
        </w:rPr>
        <w:t xml:space="preserve"> </w:t>
      </w:r>
      <w:r w:rsidR="00F700D6">
        <w:t xml:space="preserve">{% if </w:t>
      </w:r>
      <w:r w:rsidR="00F700D6" w:rsidRPr="00B60232">
        <w:t>Honorarios_No</w:t>
      </w:r>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w:t>
      </w:r>
      <w:r w:rsidR="00F700D6">
        <w:t xml:space="preserve"> {% endif %}</w:t>
      </w:r>
      <w:r w:rsidR="005E397D">
        <w:rPr>
          <w:bCs/>
        </w:rPr>
        <w:t xml:space="preserve">{% if </w:t>
      </w:r>
      <w:r w:rsidR="00B66E1C" w:rsidRPr="00B66E1C">
        <w:rPr>
          <w:bCs/>
        </w:rPr>
        <w:t>Tope_Si</w:t>
      </w:r>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0313C725" w14:textId="77777777" w:rsidR="00CB0C86" w:rsidRPr="00643FB0" w:rsidRDefault="00CB0C86" w:rsidP="00CB0C86">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28CB96A8" w14:textId="77777777" w:rsidR="00CB0C86" w:rsidRPr="00643FB0" w:rsidRDefault="00CB0C86" w:rsidP="00CB0C86">
      <w:pPr>
        <w:jc w:val="both"/>
      </w:pPr>
      <w:r w:rsidRPr="00643FB0">
        <w:t>Note VS El tope del art 9 inc. 3 de la ley 24463 es a</w:t>
      </w:r>
      <w:r>
        <w:t>l {{</w:t>
      </w:r>
      <w:r w:rsidRPr="00334E53">
        <w:t xml:space="preserve"> Fecha_de_cierre_de_intereses</w:t>
      </w:r>
      <w:r>
        <w:t xml:space="preserve">}} </w:t>
      </w:r>
      <w:r w:rsidRPr="00643FB0">
        <w:t xml:space="preserve"> </w:t>
      </w:r>
      <w:r>
        <w:rPr>
          <w:b/>
        </w:rPr>
        <w:t>$ (Monto del tope Anses a la Fecha de cierre de intereses)</w:t>
      </w:r>
    </w:p>
    <w:p w14:paraId="255F7810" w14:textId="77777777" w:rsidR="00CB0C86" w:rsidRDefault="00CB0C86" w:rsidP="00CB0C8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r>
        <w:t>{{</w:t>
      </w:r>
      <w:r w:rsidRPr="00334E53">
        <w:t xml:space="preserve"> Fecha_de_cierre_de_intereses</w:t>
      </w:r>
      <w:r>
        <w:t xml:space="preserve">}} </w:t>
      </w:r>
      <w:r w:rsidRPr="00643FB0">
        <w:t xml:space="preserve"> del 82% de la remuneración máxima</w:t>
      </w:r>
      <w:r>
        <w:t xml:space="preserve"> es decir $ </w:t>
      </w:r>
      <w:r>
        <w:rPr>
          <w:b/>
        </w:rPr>
        <w:t>(Monto del tope 82% de la rem max a la Fecha de cierre de intereses)</w:t>
      </w:r>
      <w:r>
        <w:t xml:space="preserve">  un (Porcentaje de diferencia con haber máximo de la 82% de la rem max) % </w:t>
      </w:r>
      <w:r w:rsidRPr="00643FB0">
        <w:rPr>
          <w:b/>
        </w:rPr>
        <w:t>más sin movilizar el tope.</w:t>
      </w:r>
    </w:p>
    <w:p w14:paraId="5A8DBDCD" w14:textId="77777777" w:rsidR="00CB0C86" w:rsidRDefault="00CB0C86" w:rsidP="00CB0C86">
      <w:pPr>
        <w:jc w:val="both"/>
        <w:rPr>
          <w:b/>
        </w:rPr>
      </w:pPr>
    </w:p>
    <w:p w14:paraId="0AB73FF6" w14:textId="3695EF71" w:rsidR="00CB0C86" w:rsidRDefault="00CB0C86" w:rsidP="00CB0C86">
      <w:pPr>
        <w:jc w:val="both"/>
        <w:rPr>
          <w:b/>
        </w:rPr>
      </w:pPr>
      <w:r w:rsidRPr="0039784E">
        <w:rPr>
          <w:noProof/>
        </w:rPr>
        <w:drawing>
          <wp:inline distT="0" distB="0" distL="0" distR="0" wp14:anchorId="33E50DF6" wp14:editId="35AFDBF4">
            <wp:extent cx="4945380" cy="4236720"/>
            <wp:effectExtent l="0" t="0" r="7620" b="0"/>
            <wp:docPr id="1999124868"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4236720"/>
                    </a:xfrm>
                    <a:prstGeom prst="rect">
                      <a:avLst/>
                    </a:prstGeom>
                    <a:noFill/>
                    <a:ln>
                      <a:noFill/>
                    </a:ln>
                  </pic:spPr>
                </pic:pic>
              </a:graphicData>
            </a:graphic>
          </wp:inline>
        </w:drawing>
      </w:r>
    </w:p>
    <w:p w14:paraId="331D75B8" w14:textId="77777777" w:rsidR="00CB0C86" w:rsidRDefault="00CB0C86" w:rsidP="00CB0C86">
      <w:pPr>
        <w:jc w:val="both"/>
        <w:rPr>
          <w:b/>
        </w:rPr>
      </w:pPr>
    </w:p>
    <w:p w14:paraId="0C39D3E9" w14:textId="77777777" w:rsidR="00CB0C86" w:rsidRDefault="00CB0C86" w:rsidP="00CB0C86">
      <w:pPr>
        <w:jc w:val="both"/>
        <w:rPr>
          <w:b/>
        </w:rPr>
      </w:pPr>
    </w:p>
    <w:p w14:paraId="218350BD" w14:textId="77777777" w:rsidR="00CB0C86" w:rsidRDefault="00CB0C86" w:rsidP="00CB0C86">
      <w:pPr>
        <w:jc w:val="both"/>
        <w:rPr>
          <w:b/>
        </w:rPr>
      </w:pPr>
    </w:p>
    <w:p w14:paraId="45BD13E3" w14:textId="77777777" w:rsidR="00CB0C86" w:rsidRDefault="00CB0C86" w:rsidP="00CB0C86">
      <w:pPr>
        <w:jc w:val="both"/>
        <w:rPr>
          <w:b/>
        </w:rPr>
      </w:pPr>
    </w:p>
    <w:p w14:paraId="01B0D245" w14:textId="77777777" w:rsidR="00CB0C86" w:rsidRDefault="00CB0C86" w:rsidP="00CB0C86">
      <w:pPr>
        <w:jc w:val="both"/>
        <w:rPr>
          <w:b/>
        </w:rPr>
      </w:pPr>
    </w:p>
    <w:p w14:paraId="777F5CA2" w14:textId="77777777" w:rsidR="00CB0C86" w:rsidRDefault="00CB0C86" w:rsidP="00CB0C86">
      <w:pPr>
        <w:jc w:val="both"/>
        <w:rPr>
          <w:b/>
        </w:rPr>
      </w:pPr>
    </w:p>
    <w:p w14:paraId="6C119C33" w14:textId="77777777" w:rsidR="00CB0C86" w:rsidRDefault="00CB0C86" w:rsidP="00CB0C86">
      <w:pPr>
        <w:jc w:val="both"/>
        <w:rPr>
          <w:b/>
        </w:rPr>
      </w:pPr>
    </w:p>
    <w:p w14:paraId="7AA25047" w14:textId="77777777" w:rsidR="00CB0C86" w:rsidRDefault="00CB0C86" w:rsidP="00CB0C86">
      <w:pPr>
        <w:jc w:val="both"/>
        <w:rPr>
          <w:b/>
        </w:rPr>
      </w:pPr>
    </w:p>
    <w:p w14:paraId="3FEEA875" w14:textId="77777777" w:rsidR="00CB0C86" w:rsidRDefault="00CB0C86" w:rsidP="00CB0C86">
      <w:pPr>
        <w:jc w:val="both"/>
        <w:rPr>
          <w:b/>
        </w:rPr>
      </w:pPr>
    </w:p>
    <w:p w14:paraId="41C1634D" w14:textId="77777777" w:rsidR="00CB0C86" w:rsidRDefault="00CB0C86" w:rsidP="00CB0C86">
      <w:pPr>
        <w:jc w:val="both"/>
        <w:rPr>
          <w:b/>
        </w:rPr>
      </w:pPr>
    </w:p>
    <w:p w14:paraId="330B4FCC" w14:textId="77777777" w:rsidR="00CB0C86" w:rsidRDefault="00CB0C86" w:rsidP="00CB0C86">
      <w:pPr>
        <w:jc w:val="both"/>
        <w:rPr>
          <w:b/>
        </w:rPr>
      </w:pPr>
    </w:p>
    <w:p w14:paraId="5401223F" w14:textId="77777777" w:rsidR="00CB0C86" w:rsidRDefault="00CB0C86" w:rsidP="00CB0C86">
      <w:pPr>
        <w:jc w:val="both"/>
        <w:rPr>
          <w:b/>
        </w:rPr>
      </w:pPr>
    </w:p>
    <w:p w14:paraId="4A8B9C42" w14:textId="77777777" w:rsidR="00CB0C86" w:rsidRDefault="00CB0C86" w:rsidP="00CB0C86">
      <w:pPr>
        <w:jc w:val="both"/>
        <w:rPr>
          <w:b/>
        </w:rPr>
      </w:pPr>
    </w:p>
    <w:p w14:paraId="68F673DB" w14:textId="77777777" w:rsidR="00CB0C86" w:rsidRDefault="00CB0C86" w:rsidP="00CB0C86">
      <w:pPr>
        <w:jc w:val="both"/>
        <w:rPr>
          <w:b/>
        </w:rPr>
      </w:pPr>
    </w:p>
    <w:p w14:paraId="51C77744" w14:textId="77777777" w:rsidR="00CB0C86" w:rsidRPr="00A34D7D" w:rsidRDefault="00CB0C86" w:rsidP="00CB0C86">
      <w:pPr>
        <w:jc w:val="both"/>
        <w:rPr>
          <w:b/>
          <w:u w:val="single"/>
        </w:rPr>
      </w:pPr>
      <w:r w:rsidRPr="00A34D7D">
        <w:rPr>
          <w:b/>
          <w:u w:val="single"/>
        </w:rPr>
        <w:t xml:space="preserve">La quita en el haber de mi mandante es $ </w:t>
      </w:r>
      <w:r>
        <w:rPr>
          <w:b/>
          <w:u w:val="single"/>
        </w:rPr>
        <w:t xml:space="preserve">(Diferencia en $ del haber reclamado con respecto el tope Anses) </w:t>
      </w:r>
      <w:r w:rsidRPr="00A34D7D">
        <w:rPr>
          <w:b/>
          <w:u w:val="single"/>
        </w:rPr>
        <w:t xml:space="preserve">conforme el tope de Anses, es decir un </w:t>
      </w:r>
      <w:r>
        <w:rPr>
          <w:b/>
          <w:u w:val="single"/>
        </w:rPr>
        <w:t xml:space="preserve">(Diferencia en % del haber reclamado con respecto el tope Anses) </w:t>
      </w:r>
      <w:r w:rsidRPr="00A34D7D">
        <w:rPr>
          <w:b/>
          <w:u w:val="single"/>
        </w:rPr>
        <w:t>%.</w:t>
      </w:r>
    </w:p>
    <w:p w14:paraId="6C375C51" w14:textId="77777777" w:rsidR="00CB0C86" w:rsidRDefault="00CB0C86" w:rsidP="00CB0C86">
      <w:pPr>
        <w:jc w:val="both"/>
      </w:pPr>
    </w:p>
    <w:p w14:paraId="22DD8FDB" w14:textId="14946F08" w:rsidR="00CB0C86" w:rsidRDefault="00CB0C86" w:rsidP="00CB0C86">
      <w:pPr>
        <w:jc w:val="both"/>
      </w:pPr>
      <w:r w:rsidRPr="0039784E">
        <w:rPr>
          <w:noProof/>
        </w:rPr>
        <w:drawing>
          <wp:inline distT="0" distB="0" distL="0" distR="0" wp14:anchorId="7555712D" wp14:editId="52AEBCF9">
            <wp:extent cx="4892040" cy="4907280"/>
            <wp:effectExtent l="0" t="0" r="3810" b="7620"/>
            <wp:docPr id="1227842270"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2040" cy="4907280"/>
                    </a:xfrm>
                    <a:prstGeom prst="rect">
                      <a:avLst/>
                    </a:prstGeom>
                    <a:noFill/>
                    <a:ln>
                      <a:noFill/>
                    </a:ln>
                  </pic:spPr>
                </pic:pic>
              </a:graphicData>
            </a:graphic>
          </wp:inline>
        </w:drawing>
      </w:r>
    </w:p>
    <w:p w14:paraId="28E484EC" w14:textId="77777777" w:rsidR="00CB0C86" w:rsidRPr="00643FB0" w:rsidRDefault="00CB0C86" w:rsidP="00CB0C86">
      <w:pPr>
        <w:jc w:val="both"/>
      </w:pPr>
    </w:p>
    <w:p w14:paraId="61CC2CB2" w14:textId="77777777" w:rsidR="00CB0C86" w:rsidRPr="00643FB0" w:rsidRDefault="00CB0C86" w:rsidP="00CB0C86">
      <w:pPr>
        <w:jc w:val="both"/>
      </w:pPr>
      <w:r>
        <w:t>S</w:t>
      </w:r>
      <w:r w:rsidRPr="00643FB0">
        <w:t>i a los $3.100, que eran a 01/2002, lo actualizamos con las mismas pautas de “Badaro” y aumentos generales de ANSES el tope hoy sería notablemente superior</w:t>
      </w:r>
      <w:r>
        <w:t xml:space="preserve"> $ 2.776.554,87.</w:t>
      </w:r>
    </w:p>
    <w:p w14:paraId="70DB9622" w14:textId="77777777" w:rsidR="00CB0C86" w:rsidRPr="00643FB0" w:rsidRDefault="00CB0C86" w:rsidP="00CB0C86">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31B7EA7" w14:textId="77777777" w:rsidR="00CB0C86" w:rsidRDefault="00CB0C86" w:rsidP="00CB0C86">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40D6A083" w14:textId="77777777" w:rsidR="00CB0C86" w:rsidRDefault="00CB0C86" w:rsidP="00CB0C86"/>
    <w:p w14:paraId="04D8A540" w14:textId="77777777" w:rsidR="00CB0C86" w:rsidRDefault="00CB0C86" w:rsidP="00CB0C86">
      <w:pPr>
        <w:pStyle w:val="Prrafodelista"/>
        <w:autoSpaceDE w:val="0"/>
        <w:autoSpaceDN w:val="0"/>
        <w:adjustRightInd w:val="0"/>
        <w:spacing w:line="276" w:lineRule="auto"/>
        <w:ind w:left="1134"/>
        <w:jc w:val="both"/>
        <w:rPr>
          <w:b/>
          <w:bCs/>
        </w:rPr>
      </w:pPr>
    </w:p>
    <w:p w14:paraId="06482BB2" w14:textId="77777777" w:rsidR="00CB0C86" w:rsidRPr="00055921" w:rsidRDefault="00CB0C86" w:rsidP="00CB0C86">
      <w:pPr>
        <w:autoSpaceDE w:val="0"/>
        <w:autoSpaceDN w:val="0"/>
        <w:adjustRightInd w:val="0"/>
        <w:spacing w:line="276" w:lineRule="auto"/>
        <w:ind w:left="1134"/>
        <w:jc w:val="both"/>
      </w:pPr>
      <w:r w:rsidRPr="00055921">
        <w:t>{% endif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w:t>
      </w:r>
      <w:r w:rsidR="00E9369F" w:rsidRPr="00E9369F">
        <w:t>total_liquidacion_en_UMA</w:t>
      </w:r>
      <w:r w:rsidR="00E9369F">
        <w:t>}}</w:t>
      </w:r>
      <w:r>
        <w:t xml:space="preserve">, teniendo en cuenta que el valor del UMA a la fecha de cierre de la liquidación, </w:t>
      </w:r>
      <w:r w:rsidR="0098315B">
        <w:t>{{</w:t>
      </w:r>
      <w:r w:rsidR="0098315B" w:rsidRPr="0098315B">
        <w:t>Valor_UMA</w:t>
      </w:r>
      <w:r w:rsidR="0098315B">
        <w:t>}}</w:t>
      </w:r>
      <w:r>
        <w:t xml:space="preserve"> y el monto reclamado </w:t>
      </w:r>
      <w:r w:rsidR="00EF4C5E">
        <w:t>{{</w:t>
      </w:r>
      <w:r w:rsidR="00EF4C5E" w:rsidRPr="00EF4C5E">
        <w:t>total_liquidacion</w:t>
      </w:r>
      <w:r w:rsidR="00EF4C5E">
        <w:t>}}</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Datos de la caja de abogados:Av. Sarmiento N º 302/308 de la ciudad de Salta,  domicilio electrónico como persona jurídica registrado bajo el CUIT 30518723487.</w:t>
      </w:r>
      <w:r w:rsidR="00B05497">
        <w:t xml:space="preserve"> {% if </w:t>
      </w:r>
      <w:r w:rsidR="00B05497" w:rsidRPr="00B05497">
        <w:t>Sancionatorios_Si</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Anses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Argentina </w:t>
      </w:r>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r w:rsidR="00B05497">
        <w:rPr>
          <w:lang w:val="es-AR"/>
        </w:rPr>
        <w:t xml:space="preserve"> {% endif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5"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6" w:history="1">
        <w:r w:rsidRPr="00825B1E">
          <w:rPr>
            <w:rStyle w:val="Hipervnculo"/>
            <w:lang w:val="es-AR" w:eastAsia="es-AR"/>
          </w:rPr>
          <w:t>“</w:t>
        </w:r>
        <w:r w:rsidRPr="00825B1E">
          <w:rPr>
            <w:rStyle w:val="Hipervnculo"/>
            <w:lang w:eastAsia="es-AR"/>
          </w:rPr>
          <w:t>Recurso Queja Nº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7"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8">
        <w:r w:rsidRPr="00DD6335">
          <w:rPr>
            <w:color w:val="0563C1"/>
            <w:u w:val="single"/>
            <w:lang w:eastAsia="es-AR"/>
          </w:rPr>
          <w:t>“Itzcovich”(</w:t>
        </w:r>
      </w:hyperlink>
      <w:r w:rsidRPr="00DD6335">
        <w:rPr>
          <w:lang w:eastAsia="es-AR"/>
        </w:rPr>
        <w:t>328:566),</w:t>
      </w:r>
      <w:hyperlink r:id="rId29">
        <w:r w:rsidRPr="00DD6335">
          <w:rPr>
            <w:color w:val="0563C1"/>
            <w:u w:val="single"/>
            <w:lang w:eastAsia="es-AR"/>
          </w:rPr>
          <w:t>“Sánchez”</w:t>
        </w:r>
      </w:hyperlink>
      <w:r w:rsidRPr="00DD6335">
        <w:rPr>
          <w:lang w:eastAsia="es-AR"/>
        </w:rPr>
        <w:t>(328:1602),</w:t>
      </w:r>
      <w:hyperlink r:id="rId30">
        <w:r w:rsidRPr="00DD6335">
          <w:rPr>
            <w:color w:val="0563C1"/>
            <w:u w:val="single"/>
            <w:lang w:eastAsia="es-AR"/>
          </w:rPr>
          <w:t>“Blanco”(</w:t>
        </w:r>
      </w:hyperlink>
      <w:r w:rsidRPr="00DD6335">
        <w:rPr>
          <w:lang w:eastAsia="es-AR"/>
        </w:rPr>
        <w:t>341:1924)</w:t>
      </w:r>
      <w:hyperlink r:id="rId31">
        <w:r w:rsidRPr="00DD6335">
          <w:rPr>
            <w:color w:val="0563C1"/>
            <w:u w:val="single"/>
            <w:lang w:eastAsia="es-AR"/>
          </w:rPr>
          <w:t>“Giménez”(</w:t>
        </w:r>
      </w:hyperlink>
      <w:r w:rsidRPr="00DD6335">
        <w:rPr>
          <w:lang w:eastAsia="es-AR"/>
        </w:rPr>
        <w:t>344:1788),“</w:t>
      </w:r>
      <w:hyperlink r:id="rId32">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3"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w:t>
      </w:r>
      <w:r>
        <w:rPr>
          <w:bCs/>
        </w:rPr>
        <w:t xml:space="preserve">% </w:t>
      </w:r>
      <w:r w:rsidRPr="003E0AF8">
        <w:rPr>
          <w:bCs/>
        </w:rPr>
        <w:t xml:space="preserve">if Daños_Si </w:t>
      </w:r>
      <w:r>
        <w:rPr>
          <w:bCs/>
        </w:rPr>
        <w:t>%</w:t>
      </w:r>
      <w:r w:rsidRPr="003E0AF8">
        <w:rPr>
          <w:bCs/>
        </w:rPr>
        <w:t>}</w:t>
      </w: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36602041"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3E0AF8">
        <w:rPr>
          <w:lang w:val="es-AR"/>
        </w:rPr>
        <w:t>{% endif %}</w:t>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85217" w14:textId="77777777" w:rsidR="00E7504D" w:rsidRDefault="00E7504D" w:rsidP="00544398">
      <w:r>
        <w:separator/>
      </w:r>
    </w:p>
  </w:endnote>
  <w:endnote w:type="continuationSeparator" w:id="0">
    <w:p w14:paraId="1760CC2C" w14:textId="77777777" w:rsidR="00E7504D" w:rsidRDefault="00E7504D"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CDD8B" w14:textId="77777777" w:rsidR="00E7504D" w:rsidRDefault="00E7504D" w:rsidP="00544398">
      <w:r>
        <w:separator/>
      </w:r>
    </w:p>
  </w:footnote>
  <w:footnote w:type="continuationSeparator" w:id="0">
    <w:p w14:paraId="3B2338F8" w14:textId="77777777" w:rsidR="00E7504D" w:rsidRDefault="00E7504D"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748E"/>
    <w:rsid w:val="005D0514"/>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7927263&amp;cache=1709292121762"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3&amp;pagina=1122" TargetMode="External"/><Relationship Id="rId33" Type="http://schemas.openxmlformats.org/officeDocument/2006/relationships/hyperlink" Target="https://www.argentina.gob.ar/normativa/nacional/ley-21864-48989/actualizacion"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58389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image" Target="media/image5.png"/><Relationship Id="rId32" Type="http://schemas.openxmlformats.org/officeDocument/2006/relationships/hyperlink" Target="https://sjconsulta.csjn.gov.ar/sjconsulta/documentos/verDocumentoByIdLinksJSP.html?idDocumento=7717371"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image" Target="media/image4.png"/><Relationship Id="rId28" Type="http://schemas.openxmlformats.org/officeDocument/2006/relationships/hyperlink" Target="https://sjconsulta.csjn.gov.ar/sjconsulta/documentos/verDocumentoByIdLinksJSP.html?idDocumento=579615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sjconsulta.csjn.gov.ar/sjconsulta/documentos/verDocumentoByIdLinksJSP.html?idDocumento=767891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consultaSumarios/buscarTomoPagina.html?tomo=328&amp;pagina=4013" TargetMode="External"/><Relationship Id="rId30" Type="http://schemas.openxmlformats.org/officeDocument/2006/relationships/hyperlink" Target="https://sjconsulta.csjn.gov.ar/sjconsulta/documentos/verDocumentoByIdLinksJSP.html?idDocumento=7496611" TargetMode="External"/><Relationship Id="rId35" Type="http://schemas.openxmlformats.org/officeDocument/2006/relationships/theme" Target="theme/theme1.xml"/><Relationship Id="rId8" Type="http://schemas.openxmlformats.org/officeDocument/2006/relationships/hyperlink" Target="https://www.argentina.gob.ar/normativa/nacional/decreto-274-2024-397577/tex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24</Pages>
  <Words>8950</Words>
  <Characters>49225</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58059</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25</cp:revision>
  <cp:lastPrinted>2023-01-02T11:50:00Z</cp:lastPrinted>
  <dcterms:created xsi:type="dcterms:W3CDTF">2024-12-12T03:38:00Z</dcterms:created>
  <dcterms:modified xsi:type="dcterms:W3CDTF">2025-01-06T17:36:00Z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