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w:t>
      </w:r>
      <w:proofErr w:type="gramStart"/>
      <w:r w:rsidRPr="0045440C">
        <w:t>ejemplificativas.</w:t>
      </w:r>
      <w:r>
        <w:t>{</w:t>
      </w:r>
      <w:proofErr w:type="gramEnd"/>
      <w:r>
        <w:t xml:space="preserve">% </w:t>
      </w:r>
      <w:proofErr w:type="spellStart"/>
      <w:r>
        <w:t>endif</w:t>
      </w:r>
      <w:proofErr w:type="spellEnd"/>
      <w:r>
        <w:t xml:space="preserve"> %}</w:t>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r w:rsidR="00013DD3">
        <w:t xml:space="preserve"> </w:t>
      </w:r>
      <w:r w:rsidR="00F80F75">
        <w:t xml:space="preserve">{% </w:t>
      </w:r>
      <w:proofErr w:type="spellStart"/>
      <w:r w:rsidR="00F80F75">
        <w:t>if</w:t>
      </w:r>
      <w:proofErr w:type="spellEnd"/>
      <w:r w:rsidR="00F80F75">
        <w:t xml:space="preserve"> ley_27609_Si </w:t>
      </w:r>
      <w:proofErr w:type="spellStart"/>
      <w:r w:rsidR="00F80F75">
        <w:t>or</w:t>
      </w:r>
      <w:proofErr w:type="spellEnd"/>
      <w:r w:rsidR="00F80F75">
        <w:t xml:space="preserve"> ley_27541_Si </w:t>
      </w:r>
      <w:proofErr w:type="spellStart"/>
      <w:r w:rsidR="00F80F75">
        <w:t>or</w:t>
      </w:r>
      <w:proofErr w:type="spellEnd"/>
      <w:r w:rsidR="00F80F75">
        <w:t xml:space="preserve"> ley_27426_Si %}</w:t>
      </w:r>
    </w:p>
    <w:p w14:paraId="0E767F22" w14:textId="510F4E8C" w:rsidR="00074B2A" w:rsidRDefault="00F80F75" w:rsidP="00F80F75">
      <w:pPr>
        <w:numPr>
          <w:ilvl w:val="0"/>
          <w:numId w:val="18"/>
        </w:numPr>
        <w:autoSpaceDE w:val="0"/>
        <w:autoSpaceDN w:val="0"/>
        <w:adjustRightInd w:val="0"/>
        <w:spacing w:line="276" w:lineRule="auto"/>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7B602874" w14:textId="77777777" w:rsidR="00267E7B" w:rsidRDefault="00267E7B" w:rsidP="00267E7B">
      <w:pPr>
        <w:numPr>
          <w:ilvl w:val="0"/>
          <w:numId w:val="18"/>
        </w:numPr>
        <w:autoSpaceDE w:val="0"/>
        <w:autoSpaceDN w:val="0"/>
        <w:adjustRightInd w:val="0"/>
        <w:jc w:val="both"/>
      </w:pPr>
      <w:r w:rsidRPr="000F5440">
        <w:rPr>
          <w:b/>
          <w:bCs/>
        </w:rPr>
        <w:t>Solicito que se regulen los honorarios profesionales correspondientes a esta incidencia previa, necesaria para la ejecución</w:t>
      </w:r>
      <w:r w:rsidRPr="003E4E89">
        <w:t xml:space="preserve">,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w:t>
      </w:r>
      <w:proofErr w:type="gramStart"/>
      <w:r w:rsidRPr="003E4E89">
        <w:t>regulatoria</w:t>
      </w:r>
      <w:r>
        <w:t>.{</w:t>
      </w:r>
      <w:proofErr w:type="gramEnd"/>
      <w:r>
        <w:t xml:space="preserve">% </w:t>
      </w:r>
      <w:proofErr w:type="spellStart"/>
      <w:r>
        <w:t>if</w:t>
      </w:r>
      <w:proofErr w:type="spellEnd"/>
      <w:r>
        <w:t xml:space="preserve"> </w:t>
      </w:r>
      <w:proofErr w:type="spellStart"/>
      <w:r w:rsidRPr="000F370A">
        <w:t>Edad_Avanzada_Si</w:t>
      </w:r>
      <w:proofErr w:type="spellEnd"/>
      <w:r>
        <w:t xml:space="preserve"> %}</w:t>
      </w:r>
    </w:p>
    <w:p w14:paraId="34EB8B98" w14:textId="77777777" w:rsidR="00B55B11" w:rsidRDefault="00B55B11" w:rsidP="00B55B11">
      <w:pPr>
        <w:numPr>
          <w:ilvl w:val="0"/>
          <w:numId w:val="18"/>
        </w:numPr>
        <w:autoSpaceDE w:val="0"/>
        <w:autoSpaceDN w:val="0"/>
        <w:adjustRightInd w:val="0"/>
        <w:jc w:val="both"/>
      </w:pPr>
      <w:r w:rsidRPr="003E4E89">
        <w:lastRenderedPageBreak/>
        <w:t xml:space="preserve">Solicito que se otorgue prioridad de pago en favor de mi mandante, en virtud de su edad avanzada, conforme a lo dispuesto en el artículo 4 de la Resolución de la Secretaría de Seguridad Social </w:t>
      </w:r>
      <w:hyperlink r:id="rId8" w:history="1">
        <w:proofErr w:type="spellStart"/>
        <w:r w:rsidRPr="003E4E89">
          <w:rPr>
            <w:rStyle w:val="Hipervnculo"/>
          </w:rPr>
          <w:t>N°</w:t>
        </w:r>
        <w:proofErr w:type="spellEnd"/>
        <w:r w:rsidRPr="003E4E89">
          <w:rPr>
            <w:rStyle w:val="Hipervnculo"/>
          </w:rPr>
          <w:t xml:space="preserve"> 56/97</w:t>
        </w:r>
      </w:hyperlink>
      <w:r w:rsidRPr="003E4E89">
        <w:t xml:space="preserve">. Asimismo, solicito que se notifique expresamente esta resolución a la demandada ANSES y se la intime a otorgar trámite prioritario al expediente administrativo </w:t>
      </w:r>
      <w:proofErr w:type="gramStart"/>
      <w:r w:rsidRPr="003E4E89">
        <w:t>correspondiente.</w:t>
      </w:r>
      <w:r>
        <w:t>{</w:t>
      </w:r>
      <w:proofErr w:type="gramEnd"/>
      <w:r>
        <w:t xml:space="preserve">% </w:t>
      </w:r>
      <w:proofErr w:type="spellStart"/>
      <w:r>
        <w:t>endif</w:t>
      </w:r>
      <w:proofErr w:type="spellEnd"/>
      <w:r>
        <w:t xml:space="preserve">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proofErr w:type="gramStart"/>
      <w:r w:rsidR="00C4638F">
        <w:t>{{</w:t>
      </w:r>
      <w:r w:rsidR="003F7058" w:rsidRPr="003F7058">
        <w:t xml:space="preserve"> </w:t>
      </w:r>
      <w:proofErr w:type="spellStart"/>
      <w:r w:rsidR="003F7058" w:rsidRPr="003F7058">
        <w:t>fecha</w:t>
      </w:r>
      <w:proofErr w:type="gramEnd"/>
      <w:r w:rsidR="003F7058" w:rsidRPr="003F7058">
        <w:t>_aprobacion_planilla</w:t>
      </w:r>
      <w:proofErr w:type="spellEnd"/>
      <w:r w:rsidR="003F7058">
        <w:t xml:space="preserve"> </w:t>
      </w:r>
      <w:r w:rsidR="00C4638F">
        <w:t>}}</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proofErr w:type="gramStart"/>
      <w:r w:rsidR="005757AA">
        <w:rPr>
          <w:bCs/>
        </w:rPr>
        <w:t>{{</w:t>
      </w:r>
      <w:r w:rsidR="002C1433" w:rsidRPr="002C1433">
        <w:rPr>
          <w:b/>
          <w:bCs/>
        </w:rPr>
        <w:t xml:space="preserve"> </w:t>
      </w:r>
      <w:proofErr w:type="spellStart"/>
      <w:r w:rsidR="002C1433" w:rsidRPr="002C1433">
        <w:t>Fecha</w:t>
      </w:r>
      <w:proofErr w:type="gramEnd"/>
      <w:r w:rsidR="002C1433" w:rsidRPr="002C1433">
        <w:t>_Inicial_de_Pago</w:t>
      </w:r>
      <w:proofErr w:type="spellEnd"/>
      <w:r w:rsidR="002C1433" w:rsidRPr="002C1433">
        <w:rPr>
          <w:lang w:val="es-AR"/>
        </w:rPr>
        <w:t xml:space="preserve"> </w:t>
      </w:r>
      <w:r w:rsidR="005757AA">
        <w:rPr>
          <w:bCs/>
          <w:lang w:val="es-AR"/>
        </w:rPr>
        <w:t>}}</w:t>
      </w:r>
      <w:r w:rsidR="00BE3584" w:rsidRPr="00BE3584">
        <w:rPr>
          <w:bCs/>
        </w:rPr>
        <w:t xml:space="preserve"> </w:t>
      </w:r>
      <w:r w:rsidR="00BE3584">
        <w:rPr>
          <w:bCs/>
        </w:rPr>
        <w:t>al</w:t>
      </w:r>
      <w:r w:rsidR="00BE3584" w:rsidRPr="00BE3584">
        <w:rPr>
          <w:bCs/>
        </w:rPr>
        <w:t xml:space="preserve"> </w:t>
      </w:r>
      <w:r w:rsidR="00D56466">
        <w:rPr>
          <w:bCs/>
        </w:rPr>
        <w:t>{{</w:t>
      </w:r>
      <w:r w:rsidR="00E845FC" w:rsidRPr="00E845FC">
        <w:rPr>
          <w:b/>
          <w:bCs/>
        </w:rPr>
        <w:t xml:space="preserve"> </w:t>
      </w:r>
      <w:proofErr w:type="spellStart"/>
      <w:r w:rsidR="00E845FC" w:rsidRPr="00E845FC">
        <w:t>Fecha_de_cierre_de_liquidación</w:t>
      </w:r>
      <w:proofErr w:type="spellEnd"/>
      <w:r w:rsidR="00E845FC">
        <w:rPr>
          <w:bCs/>
          <w:lang w:val="es-AR"/>
        </w:rPr>
        <w:t xml:space="preserve"> </w:t>
      </w:r>
      <w:r w:rsidR="00D56466">
        <w:rPr>
          <w:bCs/>
          <w:lang w:val="es-AR"/>
        </w:rPr>
        <w:t>}}</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4CF397E8" w14:textId="77777777" w:rsidR="00306EA0" w:rsidRDefault="00306EA0" w:rsidP="00306EA0">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0E49423C" w14:textId="561571D0" w:rsidR="00306EA0" w:rsidRDefault="00306EA0" w:rsidP="003F7058">
      <w:pPr>
        <w:autoSpaceDE w:val="0"/>
        <w:autoSpaceDN w:val="0"/>
        <w:adjustRightInd w:val="0"/>
        <w:spacing w:line="276" w:lineRule="auto"/>
        <w:ind w:left="1134"/>
        <w:jc w:val="both"/>
      </w:pPr>
      <w:r>
        <w:t xml:space="preserve">Sentencia de 2 da </w:t>
      </w:r>
      <w:proofErr w:type="gramStart"/>
      <w:r>
        <w:t>instancia,  {</w:t>
      </w:r>
      <w:proofErr w:type="gramEnd"/>
      <w:r>
        <w:t>{</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7CDC92DB" w14:textId="77777777" w:rsidR="003F7058" w:rsidRDefault="003F7058" w:rsidP="003F7058">
      <w:pPr>
        <w:autoSpaceDE w:val="0"/>
        <w:autoSpaceDN w:val="0"/>
        <w:adjustRightInd w:val="0"/>
        <w:spacing w:line="276" w:lineRule="auto"/>
        <w:ind w:left="1134"/>
        <w:jc w:val="both"/>
      </w:pPr>
      <w:r>
        <w:t xml:space="preserve">Aprobación de liquidación al </w:t>
      </w:r>
      <w:proofErr w:type="gramStart"/>
      <w:r>
        <w:t>{{</w:t>
      </w:r>
      <w:r w:rsidRPr="003F7058">
        <w:t xml:space="preserve"> </w:t>
      </w:r>
      <w:proofErr w:type="spellStart"/>
      <w:r w:rsidRPr="003F7058">
        <w:t>fecha</w:t>
      </w:r>
      <w:proofErr w:type="gramEnd"/>
      <w:r w:rsidRPr="003F7058">
        <w:t>_aprobacion_planilla</w:t>
      </w:r>
      <w:proofErr w:type="spellEnd"/>
      <w:r>
        <w:t xml:space="preserve"> }}.</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4BD7B2EA" w14:textId="4A3E9221" w:rsidR="00306EA0" w:rsidRDefault="00306EA0" w:rsidP="00306EA0">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w:t>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proofErr w:type="gramStart"/>
      <w:r>
        <w:t>{{</w:t>
      </w:r>
      <w:r w:rsidRPr="009B372A">
        <w:t xml:space="preserve"> Percibido</w:t>
      </w:r>
      <w:proofErr w:type="gramEnd"/>
      <w:r>
        <w:t xml:space="preserve"> }}</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proofErr w:type="gramStart"/>
      <w:r>
        <w:rPr>
          <w:lang w:val="es-AR"/>
        </w:rPr>
        <w:t xml:space="preserve">{{ </w:t>
      </w:r>
      <w:r w:rsidRPr="001F1BCD">
        <w:rPr>
          <w:lang w:val="es-AR"/>
        </w:rPr>
        <w:t>Reclamado</w:t>
      </w:r>
      <w:proofErr w:type="gramEnd"/>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11FE1835" w14:textId="77777777" w:rsidR="00306EA0" w:rsidRPr="00CA5133"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xml:space="preserve">}} al </w:t>
      </w:r>
      <w:proofErr w:type="gramStart"/>
      <w:r>
        <w:rPr>
          <w:lang w:val="es-AR"/>
        </w:rPr>
        <w:t>{{</w:t>
      </w:r>
      <w:r w:rsidRPr="00211800">
        <w:t xml:space="preserve"> </w:t>
      </w:r>
      <w:proofErr w:type="spellStart"/>
      <w:r w:rsidRPr="00211800">
        <w:rPr>
          <w:lang w:val="es-AR"/>
        </w:rPr>
        <w:t>ultima</w:t>
      </w:r>
      <w:proofErr w:type="gramEnd"/>
      <w:r w:rsidRPr="00211800">
        <w:rPr>
          <w:lang w:val="es-AR"/>
        </w:rPr>
        <w:t>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21DD47BF" w14:textId="77777777" w:rsidR="00306EA0" w:rsidRPr="00CC1DB3"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 xml:space="preserve">Percibió la asignación desde </w:t>
      </w:r>
      <w:proofErr w:type="gramStart"/>
      <w:r>
        <w:rPr>
          <w:lang w:val="es-AR"/>
        </w:rPr>
        <w:t>{{</w:t>
      </w:r>
      <w:r w:rsidRPr="00C27ACD">
        <w:t xml:space="preserve"> </w:t>
      </w:r>
      <w:proofErr w:type="spellStart"/>
      <w:r w:rsidRPr="00C27ACD">
        <w:rPr>
          <w:lang w:val="es-AR"/>
        </w:rPr>
        <w:t>primer</w:t>
      </w:r>
      <w:proofErr w:type="gramEnd"/>
      <w:r w:rsidRPr="00C27ACD">
        <w:rPr>
          <w:lang w:val="es-AR"/>
        </w:rPr>
        <w:t>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w:t>
      </w:r>
      <w:proofErr w:type="gramStart"/>
      <w:r>
        <w:rPr>
          <w:lang w:val="es-AR"/>
        </w:rPr>
        <w:t>%}{</w:t>
      </w:r>
      <w:proofErr w:type="gramEnd"/>
      <w:r>
        <w:rPr>
          <w:lang w:val="es-AR"/>
        </w:rPr>
        <w:t xml:space="preserve">%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0AF71CC4"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proofErr w:type="gramStart"/>
      <w:r>
        <w:t>{{</w:t>
      </w:r>
      <w:r w:rsidRPr="00334E53">
        <w:t xml:space="preserve"> </w:t>
      </w:r>
      <w:proofErr w:type="spellStart"/>
      <w:r w:rsidRPr="00334E53">
        <w:t>Fecha</w:t>
      </w:r>
      <w:proofErr w:type="gramEnd"/>
      <w:r w:rsidRPr="00334E53">
        <w:t>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6296AA24" w14:textId="77777777" w:rsidR="00306EA0" w:rsidRPr="008E4D93" w:rsidRDefault="00306EA0" w:rsidP="00306EA0">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41CBFA7"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w:t>
      </w:r>
      <w:proofErr w:type="spellStart"/>
      <w:r w:rsidRPr="003A264B">
        <w:rPr>
          <w:b/>
          <w:bCs/>
        </w:rPr>
        <w:t>total_liquidacion</w:t>
      </w:r>
      <w:proofErr w:type="spellEnd"/>
      <w:r w:rsidRPr="003A264B">
        <w:rPr>
          <w:b/>
          <w:bCs/>
        </w:rPr>
        <w:t>}}</w:t>
      </w:r>
    </w:p>
    <w:p w14:paraId="37DF4318"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proofErr w:type="gramStart"/>
      <w:r w:rsidRPr="008E4D93">
        <w:t>{{</w:t>
      </w:r>
      <w:r w:rsidRPr="008262E0">
        <w:t xml:space="preserve"> </w:t>
      </w:r>
      <w:proofErr w:type="spellStart"/>
      <w:r w:rsidRPr="008262E0">
        <w:t>Movilidad</w:t>
      </w:r>
      <w:proofErr w:type="gramEnd"/>
      <w:r w:rsidRPr="008262E0">
        <w:t>_Segunda_Liquidacion</w:t>
      </w:r>
      <w:proofErr w:type="spellEnd"/>
      <w:r w:rsidRPr="008262E0">
        <w:t xml:space="preserve"> </w:t>
      </w:r>
      <w:r w:rsidRPr="008E4D93">
        <w:t>}}</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Pr="004C3545">
        <w:t xml:space="preserve"> </w:t>
      </w:r>
      <w:proofErr w:type="spellStart"/>
      <w:r w:rsidRPr="004C3545">
        <w:t>Haber</w:t>
      </w:r>
      <w:proofErr w:type="gramEnd"/>
      <w:r w:rsidRPr="004C3545">
        <w:t>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4C898E49"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Pr="00BA56DB">
        <w:t xml:space="preserve"> </w:t>
      </w:r>
      <w:proofErr w:type="spellStart"/>
      <w:r w:rsidRPr="00BA56DB">
        <w:t>Capital</w:t>
      </w:r>
      <w:proofErr w:type="gramEnd"/>
      <w:r w:rsidRPr="00BA56DB">
        <w:t>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Pr="00BA56DB">
        <w:t xml:space="preserve"> </w:t>
      </w:r>
      <w:proofErr w:type="spellStart"/>
      <w:r w:rsidRPr="00BA56DB">
        <w:rPr>
          <w:b/>
          <w:bCs/>
        </w:rPr>
        <w:t>Total</w:t>
      </w:r>
      <w:proofErr w:type="gramEnd"/>
      <w:r w:rsidRPr="00BA56DB">
        <w:rPr>
          <w:b/>
          <w:bCs/>
        </w:rPr>
        <w:t>_Segunda_Liquidacion</w:t>
      </w:r>
      <w:proofErr w:type="spellEnd"/>
      <w:r w:rsidRPr="00BA56DB">
        <w:rPr>
          <w:b/>
          <w:bCs/>
        </w:rPr>
        <w:t xml:space="preserve"> </w:t>
      </w:r>
      <w:r w:rsidRPr="003A264B">
        <w:rPr>
          <w:b/>
          <w:bCs/>
        </w:rPr>
        <w:t>}}</w:t>
      </w:r>
    </w:p>
    <w:p w14:paraId="7AE03A35" w14:textId="77777777" w:rsidR="00306EA0" w:rsidRDefault="00306EA0" w:rsidP="00306EA0">
      <w:pPr>
        <w:autoSpaceDE w:val="0"/>
        <w:autoSpaceDN w:val="0"/>
        <w:adjustRightInd w:val="0"/>
        <w:spacing w:line="276" w:lineRule="auto"/>
        <w:jc w:val="both"/>
      </w:pPr>
      <w:r>
        <w:t xml:space="preserve">{% </w:t>
      </w:r>
      <w:proofErr w:type="spellStart"/>
      <w:r>
        <w:t>endif</w:t>
      </w:r>
      <w:proofErr w:type="spellEnd"/>
      <w:r>
        <w:t xml:space="preserve"> %}</w:t>
      </w:r>
    </w:p>
    <w:p w14:paraId="0725EA5C"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549C7C80" w14:textId="675CAC4A" w:rsidR="00306EA0" w:rsidRPr="00F76497" w:rsidRDefault="00306EA0" w:rsidP="00306EA0">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261135E" w14:textId="400CE08C" w:rsidR="00306EA0" w:rsidRDefault="00306EA0" w:rsidP="00306EA0">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00DB2AB9">
        <w:rPr>
          <w:color w:val="000000"/>
        </w:rPr>
        <w:t>a</w:t>
      </w:r>
      <w:r w:rsidRPr="00584239">
        <w:rPr>
          <w:color w:val="000000"/>
        </w:rPr>
        <w:t>plicando los siguiente</w:t>
      </w:r>
      <w:r>
        <w:rPr>
          <w:color w:val="000000"/>
        </w:rPr>
        <w:t>s</w:t>
      </w:r>
      <w:r w:rsidRPr="00584239">
        <w:rPr>
          <w:color w:val="000000"/>
        </w:rPr>
        <w:t xml:space="preserve"> guarismo</w:t>
      </w:r>
      <w:r>
        <w:rPr>
          <w:color w:val="000000"/>
        </w:rPr>
        <w:t>s: {</w:t>
      </w:r>
      <w:proofErr w:type="gramStart"/>
      <w:r>
        <w:rPr>
          <w:color w:val="000000"/>
        </w:rPr>
        <w:t xml:space="preserve">%  </w:t>
      </w:r>
      <w:proofErr w:type="spellStart"/>
      <w:r>
        <w:rPr>
          <w:color w:val="000000"/>
        </w:rPr>
        <w:t>endif</w:t>
      </w:r>
      <w:proofErr w:type="spellEnd"/>
      <w:proofErr w:type="gram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3A5F10">
        <w:t>Movilidad</w:t>
      </w:r>
      <w:proofErr w:type="gramEnd"/>
      <w:r w:rsidRPr="003A5F10">
        <w:t>_Primera_Liquidacion_IPC</w:t>
      </w:r>
      <w:proofErr w:type="spellEnd"/>
      <w:r>
        <w:t xml:space="preserve"> }}</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306EA0" w14:paraId="7CF9F2BB" w14:textId="77777777" w:rsidTr="00926F58">
        <w:trPr>
          <w:trHeight w:val="255"/>
        </w:trPr>
        <w:tc>
          <w:tcPr>
            <w:tcW w:w="1971" w:type="dxa"/>
            <w:shd w:val="clear" w:color="auto" w:fill="auto"/>
          </w:tcPr>
          <w:p w14:paraId="38F9FAEE" w14:textId="77777777" w:rsidR="00306EA0" w:rsidRDefault="00306EA0" w:rsidP="00926F58">
            <w:pPr>
              <w:autoSpaceDE w:val="0"/>
              <w:autoSpaceDN w:val="0"/>
              <w:adjustRightInd w:val="0"/>
              <w:jc w:val="both"/>
            </w:pPr>
            <w:r>
              <w:t>Haber con IPC</w:t>
            </w:r>
          </w:p>
        </w:tc>
        <w:tc>
          <w:tcPr>
            <w:tcW w:w="1972" w:type="dxa"/>
            <w:shd w:val="clear" w:color="auto" w:fill="auto"/>
          </w:tcPr>
          <w:p w14:paraId="691C47C3" w14:textId="77777777" w:rsidR="00306EA0" w:rsidRDefault="00306EA0" w:rsidP="00926F58">
            <w:pPr>
              <w:autoSpaceDE w:val="0"/>
              <w:autoSpaceDN w:val="0"/>
              <w:adjustRightInd w:val="0"/>
              <w:jc w:val="both"/>
            </w:pPr>
            <w:r>
              <w:t>{{</w:t>
            </w:r>
            <w:proofErr w:type="spellStart"/>
            <w:r w:rsidRPr="00F34C48">
              <w:t>Haber_de_Alta_Primera_Liquidacion_IPC</w:t>
            </w:r>
            <w:proofErr w:type="spellEnd"/>
            <w:r>
              <w:t>}}</w:t>
            </w:r>
          </w:p>
        </w:tc>
      </w:tr>
      <w:tr w:rsidR="00306EA0" w14:paraId="796F68D8" w14:textId="77777777" w:rsidTr="00926F58">
        <w:trPr>
          <w:trHeight w:val="255"/>
        </w:trPr>
        <w:tc>
          <w:tcPr>
            <w:tcW w:w="1971" w:type="dxa"/>
            <w:shd w:val="clear" w:color="auto" w:fill="auto"/>
          </w:tcPr>
          <w:p w14:paraId="1BE1E98B" w14:textId="77777777" w:rsidR="00306EA0" w:rsidRDefault="00306EA0" w:rsidP="00926F58">
            <w:pPr>
              <w:autoSpaceDE w:val="0"/>
              <w:autoSpaceDN w:val="0"/>
              <w:adjustRightInd w:val="0"/>
              <w:jc w:val="both"/>
            </w:pPr>
            <w:r>
              <w:t>Haber con 27609</w:t>
            </w:r>
          </w:p>
        </w:tc>
        <w:tc>
          <w:tcPr>
            <w:tcW w:w="1972" w:type="dxa"/>
            <w:shd w:val="clear" w:color="auto" w:fill="auto"/>
          </w:tcPr>
          <w:p w14:paraId="44C94BD8" w14:textId="77777777" w:rsidR="00306EA0" w:rsidRDefault="00306EA0" w:rsidP="00926F58">
            <w:pPr>
              <w:autoSpaceDE w:val="0"/>
              <w:autoSpaceDN w:val="0"/>
              <w:adjustRightInd w:val="0"/>
              <w:jc w:val="both"/>
            </w:pPr>
            <w:r>
              <w:t>{{</w:t>
            </w:r>
            <w:proofErr w:type="spellStart"/>
            <w:r w:rsidRPr="005A7B53">
              <w:t>Haber_de_Alta</w:t>
            </w:r>
            <w:proofErr w:type="spellEnd"/>
            <w:r>
              <w:t>}}</w:t>
            </w:r>
          </w:p>
        </w:tc>
      </w:tr>
      <w:tr w:rsidR="00306EA0" w14:paraId="5827B0E1" w14:textId="77777777" w:rsidTr="00926F58">
        <w:trPr>
          <w:trHeight w:val="244"/>
        </w:trPr>
        <w:tc>
          <w:tcPr>
            <w:tcW w:w="1971" w:type="dxa"/>
            <w:shd w:val="clear" w:color="auto" w:fill="auto"/>
          </w:tcPr>
          <w:p w14:paraId="42161C55"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6549B813" w14:textId="77777777" w:rsidR="00306EA0" w:rsidRDefault="00306EA0" w:rsidP="00926F58">
            <w:pPr>
              <w:autoSpaceDE w:val="0"/>
              <w:autoSpaceDN w:val="0"/>
              <w:adjustRightInd w:val="0"/>
              <w:jc w:val="both"/>
            </w:pPr>
            <w:r>
              <w:t>{{</w:t>
            </w:r>
            <w:r w:rsidRPr="005A7B53">
              <w:t>Diferencias</w:t>
            </w:r>
            <w:r>
              <w:t>}}</w:t>
            </w:r>
          </w:p>
        </w:tc>
      </w:tr>
      <w:tr w:rsidR="00306EA0" w14:paraId="44ACD885" w14:textId="77777777" w:rsidTr="00926F58">
        <w:trPr>
          <w:trHeight w:val="255"/>
        </w:trPr>
        <w:tc>
          <w:tcPr>
            <w:tcW w:w="1971" w:type="dxa"/>
            <w:shd w:val="clear" w:color="auto" w:fill="auto"/>
          </w:tcPr>
          <w:p w14:paraId="05B98ADF" w14:textId="77777777" w:rsidR="00306EA0" w:rsidRDefault="00306EA0" w:rsidP="00926F58">
            <w:pPr>
              <w:autoSpaceDE w:val="0"/>
              <w:autoSpaceDN w:val="0"/>
              <w:adjustRightInd w:val="0"/>
              <w:jc w:val="both"/>
            </w:pPr>
            <w:r>
              <w:t>Quita</w:t>
            </w:r>
          </w:p>
        </w:tc>
        <w:tc>
          <w:tcPr>
            <w:tcW w:w="1972" w:type="dxa"/>
            <w:shd w:val="clear" w:color="auto" w:fill="auto"/>
          </w:tcPr>
          <w:p w14:paraId="3A114C67" w14:textId="77777777" w:rsidR="00306EA0" w:rsidRDefault="00306EA0" w:rsidP="00926F58">
            <w:pPr>
              <w:autoSpaceDE w:val="0"/>
              <w:autoSpaceDN w:val="0"/>
              <w:adjustRightInd w:val="0"/>
              <w:jc w:val="both"/>
            </w:pPr>
            <w:r>
              <w:t>{{</w:t>
            </w:r>
            <w:r w:rsidRPr="00311313">
              <w:t>Porcentaje</w:t>
            </w:r>
            <w:proofErr w:type="gramStart"/>
            <w:r>
              <w:t>}}%</w:t>
            </w:r>
            <w:proofErr w:type="gramEnd"/>
          </w:p>
        </w:tc>
      </w:tr>
    </w:tbl>
    <w:p w14:paraId="35FB3CA2" w14:textId="77777777" w:rsidR="00306EA0" w:rsidRDefault="00306EA0" w:rsidP="00306EA0">
      <w:pPr>
        <w:autoSpaceDE w:val="0"/>
        <w:autoSpaceDN w:val="0"/>
        <w:adjustRightInd w:val="0"/>
        <w:jc w:val="both"/>
      </w:pPr>
    </w:p>
    <w:p w14:paraId="5FACF186" w14:textId="26B29ECA" w:rsidR="005974DD" w:rsidRDefault="004C6865" w:rsidP="00306EA0">
      <w:pPr>
        <w:autoSpaceDE w:val="0"/>
        <w:autoSpaceDN w:val="0"/>
        <w:adjustRightInd w:val="0"/>
        <w:jc w:val="both"/>
      </w:pPr>
      <w:r w:rsidRPr="004C6865">
        <w:t>Comparacion_1</w:t>
      </w:r>
    </w:p>
    <w:p w14:paraId="7F6C5959" w14:textId="77777777" w:rsidR="004C6865" w:rsidRDefault="004C6865"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1D62036C"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4F71E9">
        <w:t>Movilidad</w:t>
      </w:r>
      <w:proofErr w:type="gramEnd"/>
      <w:r w:rsidRPr="004F71E9">
        <w:t>_Segunda_Liquidacion_IPC</w:t>
      </w:r>
      <w:proofErr w:type="spellEnd"/>
      <w:r>
        <w:t xml:space="preserve"> }}</w:t>
      </w:r>
    </w:p>
    <w:p w14:paraId="542A02DA"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Pr="0061715B">
        <w:t xml:space="preserve"> </w:t>
      </w:r>
      <w:proofErr w:type="spellStart"/>
      <w:r w:rsidRPr="0061715B">
        <w:t>Capital</w:t>
      </w:r>
      <w:proofErr w:type="gramEnd"/>
      <w:r w:rsidRPr="0061715B">
        <w:t>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6ABC5403"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306EA0" w14:paraId="78FC378C" w14:textId="77777777" w:rsidTr="00926F58">
        <w:trPr>
          <w:trHeight w:val="255"/>
        </w:trPr>
        <w:tc>
          <w:tcPr>
            <w:tcW w:w="1971" w:type="dxa"/>
            <w:shd w:val="clear" w:color="auto" w:fill="auto"/>
          </w:tcPr>
          <w:p w14:paraId="55EFE9BB" w14:textId="77777777" w:rsidR="00306EA0" w:rsidRDefault="00306EA0" w:rsidP="00926F58">
            <w:pPr>
              <w:autoSpaceDE w:val="0"/>
              <w:autoSpaceDN w:val="0"/>
              <w:adjustRightInd w:val="0"/>
              <w:jc w:val="both"/>
            </w:pPr>
            <w:r>
              <w:t>Haber con IPC</w:t>
            </w:r>
          </w:p>
        </w:tc>
        <w:tc>
          <w:tcPr>
            <w:tcW w:w="1972" w:type="dxa"/>
            <w:shd w:val="clear" w:color="auto" w:fill="auto"/>
          </w:tcPr>
          <w:p w14:paraId="6FE68153" w14:textId="77777777" w:rsidR="00306EA0" w:rsidRDefault="00306EA0" w:rsidP="00926F58">
            <w:pPr>
              <w:autoSpaceDE w:val="0"/>
              <w:autoSpaceDN w:val="0"/>
              <w:adjustRightInd w:val="0"/>
              <w:jc w:val="both"/>
            </w:pPr>
            <w:r>
              <w:t>{{</w:t>
            </w:r>
            <w:proofErr w:type="spellStart"/>
            <w:r w:rsidRPr="0061715B">
              <w:t>Haber_de_Alta_Segunda_Liquidacion_IPC</w:t>
            </w:r>
            <w:proofErr w:type="spellEnd"/>
            <w:r>
              <w:t>}}</w:t>
            </w:r>
          </w:p>
        </w:tc>
      </w:tr>
      <w:tr w:rsidR="00306EA0" w14:paraId="15CE8B52" w14:textId="77777777" w:rsidTr="00926F58">
        <w:trPr>
          <w:trHeight w:val="255"/>
        </w:trPr>
        <w:tc>
          <w:tcPr>
            <w:tcW w:w="1971" w:type="dxa"/>
            <w:shd w:val="clear" w:color="auto" w:fill="auto"/>
          </w:tcPr>
          <w:p w14:paraId="7EEBF35C" w14:textId="77777777" w:rsidR="00306EA0" w:rsidRDefault="00306EA0" w:rsidP="00926F58">
            <w:pPr>
              <w:autoSpaceDE w:val="0"/>
              <w:autoSpaceDN w:val="0"/>
              <w:adjustRightInd w:val="0"/>
              <w:jc w:val="both"/>
            </w:pPr>
            <w:r>
              <w:t>Haber con 27609</w:t>
            </w:r>
          </w:p>
        </w:tc>
        <w:tc>
          <w:tcPr>
            <w:tcW w:w="1972" w:type="dxa"/>
            <w:shd w:val="clear" w:color="auto" w:fill="auto"/>
          </w:tcPr>
          <w:p w14:paraId="3CE41A37" w14:textId="77777777" w:rsidR="00306EA0" w:rsidRDefault="00306EA0" w:rsidP="00926F58">
            <w:pPr>
              <w:autoSpaceDE w:val="0"/>
              <w:autoSpaceDN w:val="0"/>
              <w:adjustRightInd w:val="0"/>
              <w:jc w:val="both"/>
            </w:pPr>
            <w:proofErr w:type="gramStart"/>
            <w:r>
              <w:t xml:space="preserve">{{ </w:t>
            </w:r>
            <w:proofErr w:type="spellStart"/>
            <w:r w:rsidRPr="00491C23">
              <w:t>Haber</w:t>
            </w:r>
            <w:proofErr w:type="gramEnd"/>
            <w:r w:rsidRPr="00491C23">
              <w:t>_de_Alta_Segunda_Liquidacion</w:t>
            </w:r>
            <w:proofErr w:type="spellEnd"/>
            <w:r>
              <w:t xml:space="preserve"> }}</w:t>
            </w:r>
          </w:p>
        </w:tc>
      </w:tr>
      <w:tr w:rsidR="00306EA0" w14:paraId="50EE40C2" w14:textId="77777777" w:rsidTr="00926F58">
        <w:trPr>
          <w:trHeight w:val="244"/>
        </w:trPr>
        <w:tc>
          <w:tcPr>
            <w:tcW w:w="1971" w:type="dxa"/>
            <w:shd w:val="clear" w:color="auto" w:fill="auto"/>
          </w:tcPr>
          <w:p w14:paraId="2FC38C60"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7BED1291" w14:textId="77777777" w:rsidR="00306EA0" w:rsidRDefault="00306EA0" w:rsidP="00926F58">
            <w:pPr>
              <w:autoSpaceDE w:val="0"/>
              <w:autoSpaceDN w:val="0"/>
              <w:adjustRightInd w:val="0"/>
              <w:jc w:val="both"/>
            </w:pPr>
            <w:proofErr w:type="gramStart"/>
            <w:r>
              <w:t xml:space="preserve">{{ </w:t>
            </w:r>
            <w:r w:rsidRPr="007544B2">
              <w:t>Diferencias</w:t>
            </w:r>
            <w:proofErr w:type="gramEnd"/>
            <w:r w:rsidRPr="007544B2">
              <w:t>_2</w:t>
            </w:r>
            <w:r>
              <w:t>}}</w:t>
            </w:r>
          </w:p>
        </w:tc>
      </w:tr>
      <w:tr w:rsidR="00306EA0" w14:paraId="2CB220D8" w14:textId="77777777" w:rsidTr="00926F58">
        <w:trPr>
          <w:trHeight w:val="255"/>
        </w:trPr>
        <w:tc>
          <w:tcPr>
            <w:tcW w:w="1971" w:type="dxa"/>
            <w:shd w:val="clear" w:color="auto" w:fill="auto"/>
          </w:tcPr>
          <w:p w14:paraId="5F372485" w14:textId="77777777" w:rsidR="00306EA0" w:rsidRDefault="00306EA0" w:rsidP="00926F58">
            <w:pPr>
              <w:autoSpaceDE w:val="0"/>
              <w:autoSpaceDN w:val="0"/>
              <w:adjustRightInd w:val="0"/>
              <w:jc w:val="both"/>
            </w:pPr>
            <w:r>
              <w:t>Quita</w:t>
            </w:r>
          </w:p>
        </w:tc>
        <w:tc>
          <w:tcPr>
            <w:tcW w:w="1972" w:type="dxa"/>
            <w:shd w:val="clear" w:color="auto" w:fill="auto"/>
          </w:tcPr>
          <w:p w14:paraId="6180FE8C" w14:textId="77777777" w:rsidR="00306EA0" w:rsidRDefault="00306EA0" w:rsidP="00926F58">
            <w:pPr>
              <w:autoSpaceDE w:val="0"/>
              <w:autoSpaceDN w:val="0"/>
              <w:adjustRightInd w:val="0"/>
              <w:jc w:val="both"/>
            </w:pPr>
            <w:proofErr w:type="gramStart"/>
            <w:r>
              <w:t xml:space="preserve">{{ </w:t>
            </w:r>
            <w:r w:rsidRPr="007544B2">
              <w:t>Porcentaje</w:t>
            </w:r>
            <w:proofErr w:type="gramEnd"/>
            <w:r w:rsidRPr="007544B2">
              <w:t>_2</w:t>
            </w:r>
            <w:r>
              <w:t>}}%</w:t>
            </w:r>
          </w:p>
        </w:tc>
      </w:tr>
    </w:tbl>
    <w:p w14:paraId="48A2CC18" w14:textId="77777777" w:rsidR="00306EA0" w:rsidRPr="00A206D0" w:rsidRDefault="00306EA0" w:rsidP="00306EA0">
      <w:pPr>
        <w:autoSpaceDE w:val="0"/>
        <w:autoSpaceDN w:val="0"/>
        <w:adjustRightInd w:val="0"/>
        <w:jc w:val="both"/>
      </w:pPr>
    </w:p>
    <w:p w14:paraId="4A6ED8D9" w14:textId="58BC07DA" w:rsidR="004C6865" w:rsidRDefault="004C6865" w:rsidP="00306EA0">
      <w:pPr>
        <w:autoSpaceDE w:val="0"/>
        <w:autoSpaceDN w:val="0"/>
        <w:adjustRightInd w:val="0"/>
        <w:spacing w:line="276" w:lineRule="auto"/>
        <w:jc w:val="both"/>
        <w:rPr>
          <w:color w:val="000000"/>
        </w:rPr>
      </w:pPr>
      <w:r w:rsidRPr="004C6865">
        <w:rPr>
          <w:color w:val="000000"/>
        </w:rPr>
        <w:t>Comparacion_2</w:t>
      </w:r>
    </w:p>
    <w:p w14:paraId="287C9574" w14:textId="7AAC98CD" w:rsidR="00306EA0" w:rsidRPr="008A737C" w:rsidRDefault="00306EA0" w:rsidP="00306EA0">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4E7E49B9" w14:textId="77777777" w:rsidR="00306EA0" w:rsidRDefault="00306EA0" w:rsidP="00306EA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proofErr w:type="gramStart"/>
      <w:r>
        <w:rPr>
          <w:color w:val="000000"/>
        </w:rPr>
        <w:t>}}</w:t>
      </w:r>
      <w:r w:rsidRPr="00584239">
        <w:rPr>
          <w:color w:val="000000"/>
        </w:rPr>
        <w:t>%</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proofErr w:type="gramStart"/>
      <w:r>
        <w:rPr>
          <w:color w:val="000000"/>
        </w:rPr>
        <w:t>%}</w:t>
      </w:r>
      <w:r w:rsidRPr="006F31BF">
        <w:rPr>
          <w:bCs/>
          <w:color w:val="000000"/>
          <w:u w:val="single"/>
        </w:rPr>
        <w:t>{</w:t>
      </w:r>
      <w:proofErr w:type="gramEnd"/>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727208E5" w14:textId="7264C3B6" w:rsidR="00F23CB2" w:rsidRDefault="00306EA0" w:rsidP="00F23CB2">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r w:rsidR="00F23CB2">
        <w:rPr>
          <w:color w:val="000000"/>
        </w:rPr>
        <w:t xml:space="preserve"> {% </w:t>
      </w:r>
      <w:proofErr w:type="spellStart"/>
      <w:r w:rsidR="00EE54F9">
        <w:rPr>
          <w:color w:val="000000"/>
        </w:rPr>
        <w:t>if</w:t>
      </w:r>
      <w:proofErr w:type="spellEnd"/>
      <w:r w:rsidR="00EE54F9">
        <w:rPr>
          <w:color w:val="000000"/>
        </w:rPr>
        <w:t xml:space="preserve"> </w:t>
      </w:r>
      <w:r w:rsidR="0091636C">
        <w:t xml:space="preserve">ley_27609_Si </w:t>
      </w:r>
      <w:r w:rsidR="00F23CB2">
        <w:rPr>
          <w:color w:val="000000"/>
        </w:rPr>
        <w:t>%}</w:t>
      </w:r>
    </w:p>
    <w:p w14:paraId="1972AAB0" w14:textId="77777777" w:rsidR="00247710" w:rsidRPr="0016010A" w:rsidRDefault="00247710" w:rsidP="00F23CB2">
      <w:pPr>
        <w:autoSpaceDE w:val="0"/>
        <w:autoSpaceDN w:val="0"/>
        <w:adjustRightInd w:val="0"/>
        <w:ind w:firstLine="1134"/>
        <w:jc w:val="both"/>
        <w:rPr>
          <w:color w:val="000000"/>
        </w:rPr>
      </w:pPr>
    </w:p>
    <w:p w14:paraId="741A19DD" w14:textId="77777777" w:rsidR="000A486C" w:rsidRDefault="000A486C" w:rsidP="000A486C">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285F2CE5" w14:textId="77777777" w:rsidR="000A486C" w:rsidRPr="00345944" w:rsidRDefault="000A486C" w:rsidP="000A486C">
      <w:pPr>
        <w:autoSpaceDE w:val="0"/>
        <w:autoSpaceDN w:val="0"/>
        <w:adjustRightInd w:val="0"/>
        <w:ind w:left="1146"/>
        <w:jc w:val="both"/>
        <w:rPr>
          <w:b/>
          <w:bCs/>
        </w:rPr>
      </w:pPr>
    </w:p>
    <w:p w14:paraId="664A1F89" w14:textId="77777777" w:rsidR="000A486C" w:rsidRPr="000E2A73" w:rsidRDefault="000A486C" w:rsidP="000A486C">
      <w:pPr>
        <w:autoSpaceDE w:val="0"/>
        <w:autoSpaceDN w:val="0"/>
        <w:adjustRightInd w:val="0"/>
        <w:ind w:firstLine="851"/>
        <w:jc w:val="both"/>
        <w:rPr>
          <w:u w:val="single"/>
          <w:lang w:val="es-AR"/>
        </w:rPr>
      </w:pPr>
      <w:r w:rsidRPr="000E2A73">
        <w:rPr>
          <w:u w:val="single"/>
          <w:lang w:val="es-AR"/>
        </w:rPr>
        <w:t xml:space="preserve">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w:t>
      </w:r>
      <w:proofErr w:type="gramStart"/>
      <w:r w:rsidRPr="000E2A73">
        <w:rPr>
          <w:u w:val="single"/>
          <w:lang w:val="es-AR"/>
        </w:rPr>
        <w:t>Por</w:t>
      </w:r>
      <w:proofErr w:type="gramEnd"/>
      <w:r w:rsidRPr="000E2A73">
        <w:rPr>
          <w:u w:val="single"/>
          <w:lang w:val="es-AR"/>
        </w:rPr>
        <w:t xml:space="preserve"> sobre todo, vulnera el derecho a la vida y a una vejez digna.</w:t>
      </w:r>
    </w:p>
    <w:p w14:paraId="44A8BC83" w14:textId="77777777" w:rsidR="000A486C" w:rsidRPr="000E2A73" w:rsidRDefault="000A486C" w:rsidP="000A486C">
      <w:pPr>
        <w:autoSpaceDE w:val="0"/>
        <w:autoSpaceDN w:val="0"/>
        <w:adjustRightInd w:val="0"/>
        <w:ind w:firstLine="851"/>
        <w:jc w:val="both"/>
        <w:rPr>
          <w:u w:val="single"/>
          <w:lang w:val="es-AR"/>
        </w:rPr>
      </w:pPr>
      <w:r w:rsidRPr="000E2A73">
        <w:rPr>
          <w:u w:val="single"/>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54BD17" w14:textId="77777777" w:rsidR="000A486C" w:rsidRPr="000E2A73" w:rsidRDefault="000A486C" w:rsidP="000A486C">
      <w:pPr>
        <w:autoSpaceDE w:val="0"/>
        <w:autoSpaceDN w:val="0"/>
        <w:adjustRightInd w:val="0"/>
        <w:ind w:firstLine="851"/>
        <w:jc w:val="both"/>
        <w:rPr>
          <w:u w:val="single"/>
          <w:lang w:val="es-AR"/>
        </w:rPr>
      </w:pPr>
      <w:r w:rsidRPr="000E2A73">
        <w:rPr>
          <w:u w:val="single"/>
          <w:lang w:val="es-AR"/>
        </w:rPr>
        <w:t>Los fallos “Márquez” y “</w:t>
      </w:r>
      <w:proofErr w:type="spellStart"/>
      <w:r w:rsidRPr="000E2A73">
        <w:rPr>
          <w:u w:val="single"/>
          <w:lang w:val="es-AR"/>
        </w:rPr>
        <w:t>Cendán</w:t>
      </w:r>
      <w:proofErr w:type="spellEnd"/>
      <w:r w:rsidRPr="000E2A73">
        <w:rPr>
          <w:u w:val="single"/>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05E6EA7C" w14:textId="53B49290" w:rsidR="000A486C" w:rsidRPr="00345944" w:rsidRDefault="000A486C" w:rsidP="000A486C">
      <w:pPr>
        <w:spacing w:after="200"/>
        <w:ind w:firstLine="426"/>
        <w:contextualSpacing/>
        <w:jc w:val="both"/>
        <w:rPr>
          <w:lang w:eastAsia="es-MX"/>
        </w:rPr>
      </w:pPr>
      <w:r>
        <w:rPr>
          <w:noProof/>
        </w:rPr>
        <w:drawing>
          <wp:anchor distT="0" distB="0" distL="114300" distR="114300" simplePos="0" relativeHeight="251659264" behindDoc="1" locked="0" layoutInCell="1" allowOverlap="1" wp14:anchorId="7462245E" wp14:editId="22B34D98">
            <wp:simplePos x="0" y="0"/>
            <wp:positionH relativeFrom="column">
              <wp:posOffset>250190</wp:posOffset>
            </wp:positionH>
            <wp:positionV relativeFrom="paragraph">
              <wp:posOffset>193675</wp:posOffset>
            </wp:positionV>
            <wp:extent cx="4949825" cy="2275840"/>
            <wp:effectExtent l="0" t="0" r="3175" b="0"/>
            <wp:wrapTight wrapText="bothSides">
              <wp:wrapPolygon edited="0">
                <wp:start x="0" y="0"/>
                <wp:lineTo x="0" y="21335"/>
                <wp:lineTo x="21531" y="21335"/>
                <wp:lineTo x="21531" y="0"/>
                <wp:lineTo x="0" y="0"/>
              </wp:wrapPolygon>
            </wp:wrapTight>
            <wp:docPr id="1603188774"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825" cy="227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BE4355" w14:textId="77777777" w:rsidR="000A486C" w:rsidRPr="000E2A73" w:rsidRDefault="000A486C" w:rsidP="000A486C">
      <w:pPr>
        <w:pStyle w:val="NormalWeb"/>
        <w:ind w:firstLine="709"/>
        <w:jc w:val="both"/>
        <w:rPr>
          <w:u w:val="single"/>
        </w:rPr>
      </w:pPr>
      <w:r w:rsidRPr="000E2A73">
        <w:rPr>
          <w:u w:val="single"/>
        </w:rPr>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4C29D4C4" w14:textId="77777777" w:rsidR="000A486C" w:rsidRPr="000E2A73" w:rsidRDefault="000A486C" w:rsidP="000A486C">
      <w:pPr>
        <w:pStyle w:val="NormalWeb"/>
        <w:ind w:firstLine="709"/>
        <w:jc w:val="both"/>
        <w:rPr>
          <w:u w:val="single"/>
        </w:rPr>
      </w:pPr>
      <w:r w:rsidRPr="000E2A73">
        <w:rPr>
          <w:u w:val="single"/>
        </w:rPr>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7BD44894" w14:textId="77777777" w:rsidR="000A486C" w:rsidRPr="000E2A73" w:rsidRDefault="000A486C" w:rsidP="000A486C">
      <w:pPr>
        <w:pStyle w:val="NormalWeb"/>
        <w:ind w:firstLine="709"/>
        <w:jc w:val="both"/>
        <w:rPr>
          <w:u w:val="single"/>
        </w:rPr>
      </w:pPr>
      <w:r w:rsidRPr="000E2A73">
        <w:rPr>
          <w:u w:val="single"/>
        </w:rPr>
        <w:t>Como lo ha sostenido la Corte Suprema de Justicia de la Nación:</w:t>
      </w:r>
      <w:r w:rsidRPr="000E2A73">
        <w:rPr>
          <w:u w:val="single"/>
        </w:rPr>
        <w:br/>
      </w:r>
      <w:r w:rsidRPr="000E2A73">
        <w:rPr>
          <w:rStyle w:val="nfasis"/>
          <w:u w:val="single"/>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0E2A73">
        <w:rPr>
          <w:u w:val="single"/>
        </w:rPr>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14CC1" w14:textId="77777777" w:rsidR="000A486C" w:rsidRPr="000E2A73" w:rsidRDefault="000A486C" w:rsidP="000A486C">
      <w:pPr>
        <w:pStyle w:val="NormalWeb"/>
        <w:ind w:firstLine="709"/>
        <w:jc w:val="both"/>
        <w:rPr>
          <w:u w:val="single"/>
        </w:rPr>
      </w:pPr>
      <w:r w:rsidRPr="000E2A73">
        <w:rPr>
          <w:u w:val="single"/>
        </w:rPr>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591A4CAC" w14:textId="77777777" w:rsidR="000A486C" w:rsidRPr="000E2A73" w:rsidRDefault="000A486C" w:rsidP="000A486C">
      <w:pPr>
        <w:pStyle w:val="NormalWeb"/>
        <w:ind w:firstLine="709"/>
        <w:jc w:val="both"/>
        <w:rPr>
          <w:u w:val="single"/>
        </w:rPr>
      </w:pPr>
      <w:r w:rsidRPr="000E2A73">
        <w:rPr>
          <w:u w:val="single"/>
        </w:rPr>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60FC440A" w14:textId="77777777" w:rsidR="000A486C" w:rsidRPr="000E2A73" w:rsidRDefault="000A486C" w:rsidP="000A486C">
      <w:pPr>
        <w:pStyle w:val="NormalWeb"/>
        <w:ind w:firstLine="709"/>
        <w:jc w:val="both"/>
        <w:rPr>
          <w:u w:val="single"/>
        </w:rPr>
      </w:pPr>
      <w:r w:rsidRPr="000E2A73">
        <w:rPr>
          <w:u w:val="single"/>
        </w:rPr>
        <w:t>Como sostuvo la Corte Suprema de Justicia de la Nación en Fallos 301:317:</w:t>
      </w:r>
      <w:r w:rsidRPr="000E2A73">
        <w:rPr>
          <w:rStyle w:val="nfasis"/>
          <w:u w:val="single"/>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0E2A73">
        <w:rPr>
          <w:u w:val="single"/>
        </w:rPr>
        <w:t xml:space="preserve"> (el subrayado me pertenece).</w:t>
      </w:r>
    </w:p>
    <w:p w14:paraId="48CB2081" w14:textId="77777777" w:rsidR="000A486C" w:rsidRPr="000E2A73" w:rsidRDefault="000A486C" w:rsidP="000A486C">
      <w:pPr>
        <w:pStyle w:val="NormalWeb"/>
        <w:ind w:firstLine="709"/>
        <w:jc w:val="both"/>
        <w:rPr>
          <w:u w:val="single"/>
        </w:rPr>
      </w:pPr>
      <w:r w:rsidRPr="000E2A73">
        <w:rPr>
          <w:u w:val="single"/>
        </w:rPr>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33AACBC8" w14:textId="77777777" w:rsidR="000A486C" w:rsidRPr="000E2A73" w:rsidRDefault="000A486C" w:rsidP="000A486C">
      <w:pPr>
        <w:pStyle w:val="NormalWeb"/>
        <w:ind w:firstLine="709"/>
        <w:jc w:val="both"/>
        <w:rPr>
          <w:u w:val="single"/>
        </w:rPr>
      </w:pPr>
      <w:r w:rsidRPr="000E2A73">
        <w:rPr>
          <w:u w:val="single"/>
        </w:rPr>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3A58861B" w14:textId="77777777" w:rsidR="000A486C" w:rsidRPr="000E2A73" w:rsidRDefault="000A486C" w:rsidP="000A486C">
      <w:pPr>
        <w:ind w:firstLine="1560"/>
        <w:jc w:val="both"/>
        <w:rPr>
          <w:u w:val="single"/>
        </w:rPr>
      </w:pPr>
      <w:r w:rsidRPr="000E2A73">
        <w:rPr>
          <w:u w:val="single"/>
          <w:lang w:eastAsia="es-MX"/>
        </w:rPr>
        <w:t xml:space="preserve">Los  bonos otorgados a las jubilaciones mínimas en vigencia de la ley 27.609,   parecería colocar a los jubilados en una situación similar a lo que sucedió en el período 2002 a 2006 que obligó a que la CSJN dictara el fallo  </w:t>
      </w:r>
      <w:proofErr w:type="spellStart"/>
      <w:r w:rsidRPr="000E2A73">
        <w:rPr>
          <w:u w:val="single"/>
          <w:lang w:eastAsia="es-MX"/>
        </w:rPr>
        <w:t>Badaro</w:t>
      </w:r>
      <w:proofErr w:type="spellEnd"/>
      <w:r w:rsidRPr="000E2A73">
        <w:rPr>
          <w:u w:val="single"/>
          <w:lang w:eastAsia="es-MX"/>
        </w:rPr>
        <w:t xml:space="preserve"> (</w:t>
      </w:r>
      <w:hyperlink r:id="rId10">
        <w:r w:rsidRPr="000E2A73">
          <w:rPr>
            <w:color w:val="0563C1"/>
            <w:u w:val="single"/>
            <w:lang w:eastAsia="es-MX"/>
          </w:rPr>
          <w:t>330:4866</w:t>
        </w:r>
      </w:hyperlink>
      <w:r w:rsidRPr="000E2A73">
        <w:rPr>
          <w:u w:val="single"/>
          <w:lang w:eastAsia="es-MX"/>
        </w:rPr>
        <w:t>) y eligiera un índice salarial para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0E2A73">
        <w:rPr>
          <w:u w:val="single"/>
        </w:rPr>
        <w:t>, por lo que los índices salariales, salvo el UMA, no refleja una variación real de los salarios y están muy alejados de la inflación en mayores periodos inflacionarios.</w:t>
      </w:r>
    </w:p>
    <w:p w14:paraId="711D9A77" w14:textId="77777777" w:rsidR="000A486C" w:rsidRPr="000E2A73" w:rsidRDefault="000A486C" w:rsidP="000A486C">
      <w:pPr>
        <w:ind w:firstLine="1560"/>
        <w:jc w:val="both"/>
        <w:rPr>
          <w:u w:val="single"/>
          <w:lang w:eastAsia="es-MX"/>
        </w:rPr>
      </w:pPr>
    </w:p>
    <w:p w14:paraId="17BBAD36" w14:textId="77777777" w:rsidR="000A486C" w:rsidRPr="000E2A73" w:rsidRDefault="000A486C" w:rsidP="000A486C">
      <w:pPr>
        <w:ind w:firstLine="1560"/>
        <w:jc w:val="both"/>
        <w:rPr>
          <w:u w:val="single"/>
          <w:lang w:eastAsia="es-MX"/>
        </w:rPr>
      </w:pPr>
      <w:r w:rsidRPr="000E2A73">
        <w:rPr>
          <w:u w:val="single"/>
        </w:rPr>
        <w:t xml:space="preserve">Solicito analice el pedido de inconstitucionalidad teniendo en cuenta el desarrollo que hace la CSJN sobre el  </w:t>
      </w:r>
      <w:hyperlink r:id="rId11" w:history="1">
        <w:r w:rsidRPr="000E2A73">
          <w:rPr>
            <w:color w:val="0563C1"/>
            <w:u w:val="single"/>
          </w:rPr>
          <w:t>principio de progresividad</w:t>
        </w:r>
      </w:hyperlink>
      <w:r w:rsidRPr="000E2A73">
        <w:rPr>
          <w:u w:val="single"/>
        </w:rPr>
        <w:t xml:space="preserve"> en materia previsional  y e</w:t>
      </w:r>
      <w:r w:rsidRPr="000E2A73">
        <w:rPr>
          <w:color w:val="333333"/>
          <w:u w:val="single"/>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0E2A73">
        <w:rPr>
          <w:i/>
          <w:u w:val="single"/>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0E2A73">
        <w:rPr>
          <w:u w:val="single"/>
        </w:rPr>
        <w:t xml:space="preserve"> (</w:t>
      </w:r>
      <w:hyperlink r:id="rId12" w:history="1">
        <w:r w:rsidRPr="000E2A73">
          <w:rPr>
            <w:color w:val="0563C1"/>
            <w:u w:val="single"/>
          </w:rPr>
          <w:t>Fallos: 307: 2376</w:t>
        </w:r>
      </w:hyperlink>
      <w:r w:rsidRPr="000E2A73">
        <w:rPr>
          <w:u w:val="single"/>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0E2A73">
        <w:rPr>
          <w:u w:val="single"/>
          <w:lang w:eastAsia="es-AR"/>
        </w:rPr>
        <w:t xml:space="preserve">Fallos </w:t>
      </w:r>
      <w:hyperlink r:id="rId13" w:history="1">
        <w:r w:rsidRPr="000E2A73">
          <w:rPr>
            <w:color w:val="0563C1"/>
            <w:u w:val="single"/>
            <w:lang w:eastAsia="es-AR"/>
          </w:rPr>
          <w:t>“Itzcovich”(</w:t>
        </w:r>
      </w:hyperlink>
      <w:r w:rsidRPr="000E2A73">
        <w:rPr>
          <w:u w:val="single"/>
          <w:lang w:eastAsia="es-AR"/>
        </w:rPr>
        <w:t>328:566),</w:t>
      </w:r>
      <w:hyperlink r:id="rId14" w:history="1">
        <w:r w:rsidRPr="000E2A73">
          <w:rPr>
            <w:color w:val="0563C1"/>
            <w:u w:val="single"/>
            <w:lang w:eastAsia="es-AR"/>
          </w:rPr>
          <w:t>“Sánchez”</w:t>
        </w:r>
      </w:hyperlink>
      <w:r w:rsidRPr="000E2A73">
        <w:rPr>
          <w:u w:val="single"/>
          <w:lang w:eastAsia="es-AR"/>
        </w:rPr>
        <w:t>(328:1602),</w:t>
      </w:r>
      <w:hyperlink r:id="rId15" w:history="1">
        <w:r w:rsidRPr="000E2A73">
          <w:rPr>
            <w:color w:val="0563C1"/>
            <w:u w:val="single"/>
            <w:lang w:eastAsia="es-AR"/>
          </w:rPr>
          <w:t>“Badaro”(</w:t>
        </w:r>
      </w:hyperlink>
      <w:r w:rsidRPr="000E2A73">
        <w:rPr>
          <w:u w:val="single"/>
          <w:lang w:eastAsia="es-AR"/>
        </w:rPr>
        <w:t>330:4866),</w:t>
      </w:r>
      <w:bookmarkStart w:id="1" w:name="_Hlk157989214"/>
      <w:r w:rsidRPr="000E2A73">
        <w:rPr>
          <w:rFonts w:ascii="Calibri" w:hAnsi="Calibri"/>
          <w:u w:val="single"/>
        </w:rPr>
        <w:fldChar w:fldCharType="begin"/>
      </w:r>
      <w:r w:rsidRPr="000E2A73">
        <w:rPr>
          <w:rFonts w:ascii="Calibri" w:hAnsi="Calibri"/>
          <w:u w:val="single"/>
        </w:rPr>
        <w:instrText>HYPERLINK "https://sjconsulta.csjn.gov.ar/sjconsulta/documentos/verDocumentoByIdLinksJSP.html?idDocumento=7496611"</w:instrText>
      </w:r>
      <w:r w:rsidRPr="000E2A73">
        <w:rPr>
          <w:rFonts w:ascii="Calibri" w:hAnsi="Calibri"/>
          <w:u w:val="single"/>
        </w:rPr>
      </w:r>
      <w:r w:rsidRPr="000E2A73">
        <w:rPr>
          <w:rFonts w:ascii="Calibri" w:hAnsi="Calibri"/>
          <w:u w:val="single"/>
        </w:rPr>
        <w:fldChar w:fldCharType="separate"/>
      </w:r>
      <w:r w:rsidRPr="000E2A73">
        <w:rPr>
          <w:color w:val="0563C1"/>
          <w:u w:val="single"/>
          <w:lang w:eastAsia="es-AR"/>
        </w:rPr>
        <w:t>“Blanco”(</w:t>
      </w:r>
      <w:r w:rsidRPr="000E2A73">
        <w:rPr>
          <w:rFonts w:ascii="Calibri" w:hAnsi="Calibri"/>
          <w:u w:val="single"/>
        </w:rPr>
        <w:fldChar w:fldCharType="end"/>
      </w:r>
      <w:r w:rsidRPr="000E2A73">
        <w:rPr>
          <w:u w:val="single"/>
          <w:lang w:eastAsia="es-AR"/>
        </w:rPr>
        <w:t>341:1924)</w:t>
      </w:r>
      <w:bookmarkEnd w:id="1"/>
      <w:r w:rsidRPr="000E2A73">
        <w:rPr>
          <w:rFonts w:ascii="Calibri" w:hAnsi="Calibri"/>
          <w:u w:val="single"/>
        </w:rPr>
        <w:fldChar w:fldCharType="begin"/>
      </w:r>
      <w:r w:rsidRPr="000E2A73">
        <w:rPr>
          <w:rFonts w:ascii="Calibri" w:hAnsi="Calibri"/>
          <w:u w:val="single"/>
        </w:rPr>
        <w:instrText>HYPERLINK "https://sjconsulta.csjn.gov.ar/sjconsulta/documentos/verDocumentoByIdLinksJSP.html?idDocumento=7678911"</w:instrText>
      </w:r>
      <w:r w:rsidRPr="000E2A73">
        <w:rPr>
          <w:rFonts w:ascii="Calibri" w:hAnsi="Calibri"/>
          <w:u w:val="single"/>
        </w:rPr>
      </w:r>
      <w:r w:rsidRPr="000E2A73">
        <w:rPr>
          <w:rFonts w:ascii="Calibri" w:hAnsi="Calibri"/>
          <w:u w:val="single"/>
        </w:rPr>
        <w:fldChar w:fldCharType="separate"/>
      </w:r>
      <w:r w:rsidRPr="000E2A73">
        <w:rPr>
          <w:color w:val="0563C1"/>
          <w:u w:val="single"/>
          <w:lang w:eastAsia="es-AR"/>
        </w:rPr>
        <w:t>“Giménez”(</w:t>
      </w:r>
      <w:r w:rsidRPr="000E2A73">
        <w:rPr>
          <w:rFonts w:ascii="Calibri" w:hAnsi="Calibri"/>
          <w:u w:val="single"/>
        </w:rPr>
        <w:fldChar w:fldCharType="end"/>
      </w:r>
      <w:r w:rsidRPr="000E2A73">
        <w:rPr>
          <w:u w:val="single"/>
          <w:lang w:eastAsia="es-AR"/>
        </w:rPr>
        <w:t>344:1788), “</w:t>
      </w:r>
      <w:hyperlink r:id="rId16" w:history="1">
        <w:r w:rsidRPr="000E2A73">
          <w:rPr>
            <w:color w:val="0563C1"/>
            <w:u w:val="single"/>
            <w:lang w:eastAsia="es-AR"/>
          </w:rPr>
          <w:t>Garay Corina</w:t>
        </w:r>
      </w:hyperlink>
      <w:r w:rsidRPr="000E2A73">
        <w:rPr>
          <w:u w:val="single"/>
          <w:lang w:eastAsia="es-AR"/>
        </w:rPr>
        <w:t>” (344:3567) entre otros.</w:t>
      </w:r>
    </w:p>
    <w:p w14:paraId="15F0AC57" w14:textId="77777777" w:rsidR="000A486C" w:rsidRPr="000E2A73" w:rsidRDefault="000A486C" w:rsidP="000A486C">
      <w:pPr>
        <w:ind w:firstLine="1560"/>
        <w:jc w:val="both"/>
        <w:rPr>
          <w:color w:val="000000"/>
          <w:u w:val="single"/>
          <w:lang w:val="es-MX" w:eastAsia="es-AR"/>
        </w:rPr>
      </w:pPr>
      <w:r w:rsidRPr="000E2A73">
        <w:rPr>
          <w:color w:val="000000"/>
          <w:u w:val="single"/>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7" w:history="1">
        <w:r w:rsidRPr="000E2A73">
          <w:rPr>
            <w:color w:val="0563C1"/>
            <w:u w:val="single"/>
            <w:lang w:val="es-MX" w:eastAsia="es-AR"/>
          </w:rPr>
          <w:t>(Fallos 331:250</w:t>
        </w:r>
      </w:hyperlink>
      <w:r w:rsidRPr="000E2A73">
        <w:rPr>
          <w:color w:val="000000"/>
          <w:u w:val="single"/>
          <w:lang w:val="es-MX" w:eastAsia="es-AR"/>
        </w:rPr>
        <w:t xml:space="preserve">). </w:t>
      </w:r>
    </w:p>
    <w:p w14:paraId="4D10302A" w14:textId="77777777" w:rsidR="000A486C" w:rsidRPr="000E2A73" w:rsidRDefault="000A486C" w:rsidP="000A486C">
      <w:pPr>
        <w:ind w:firstLine="1560"/>
        <w:jc w:val="both"/>
        <w:rPr>
          <w:u w:val="single"/>
          <w:lang w:val="es-AR"/>
        </w:rPr>
      </w:pPr>
      <w:r w:rsidRPr="000E2A73">
        <w:rPr>
          <w:u w:val="single"/>
          <w:lang w:val="es-AR"/>
        </w:rPr>
        <w:t xml:space="preserve">Cada reforma previsional en nuestro país se ha desarrollado en un marco de sucesivas emergencias casi inacabables, lo que lleva a cuestionarnos, como bien señala </w:t>
      </w:r>
      <w:proofErr w:type="spellStart"/>
      <w:r w:rsidRPr="000E2A73">
        <w:rPr>
          <w:u w:val="single"/>
          <w:lang w:val="es-AR"/>
        </w:rPr>
        <w:t>Cassagne</w:t>
      </w:r>
      <w:proofErr w:type="spellEnd"/>
      <w:r w:rsidRPr="000E2A73">
        <w:rPr>
          <w:u w:val="single"/>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01149BB2" w14:textId="77777777" w:rsidR="000A486C" w:rsidRPr="000E2A73" w:rsidRDefault="000A486C" w:rsidP="000A486C">
      <w:pPr>
        <w:ind w:firstLine="1560"/>
        <w:jc w:val="both"/>
        <w:rPr>
          <w:u w:val="single"/>
          <w:lang w:val="es-AR"/>
        </w:rPr>
      </w:pPr>
      <w:r w:rsidRPr="000E2A73">
        <w:rPr>
          <w:u w:val="single"/>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0E2A73">
        <w:rPr>
          <w:i/>
          <w:iCs/>
          <w:u w:val="single"/>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0EA5A660" w14:textId="77777777" w:rsidR="000A486C" w:rsidRPr="000E2A73" w:rsidRDefault="000A486C" w:rsidP="000A486C">
      <w:pPr>
        <w:ind w:firstLine="1560"/>
        <w:jc w:val="both"/>
        <w:rPr>
          <w:u w:val="single"/>
          <w:lang w:val="es-AR"/>
        </w:rPr>
      </w:pPr>
      <w:r w:rsidRPr="000E2A73">
        <w:rPr>
          <w:u w:val="single"/>
          <w:lang w:val="es-AR"/>
        </w:rPr>
        <w:t>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progresividad y no regresividad, que exigen un escrutinio agravado de la razonabilidad de las normas adoptadas tanto por el legislador como por el Poder Ejecutivo Nacional en contextos de emergencia.</w:t>
      </w:r>
    </w:p>
    <w:p w14:paraId="03EC78E3" w14:textId="77777777" w:rsidR="000A486C" w:rsidRPr="000E2A73" w:rsidRDefault="000A486C" w:rsidP="000A486C">
      <w:pPr>
        <w:ind w:firstLine="1560"/>
        <w:jc w:val="both"/>
        <w:rPr>
          <w:u w:val="single"/>
          <w:lang w:val="es-AR"/>
        </w:rPr>
      </w:pPr>
      <w:r w:rsidRPr="000E2A73">
        <w:rPr>
          <w:u w:val="single"/>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21E64A6F" w14:textId="77777777" w:rsidR="000A486C" w:rsidRPr="000E2A73" w:rsidRDefault="000A486C" w:rsidP="000A486C">
      <w:pPr>
        <w:ind w:firstLine="1560"/>
        <w:jc w:val="both"/>
        <w:rPr>
          <w:u w:val="single"/>
          <w:lang w:val="es-AR"/>
        </w:rPr>
      </w:pPr>
      <w:r w:rsidRPr="000E2A73">
        <w:rPr>
          <w:u w:val="single"/>
          <w:lang w:val="es-AR"/>
        </w:rPr>
        <w:t xml:space="preserve">La Corte Suprema de Justicia de la Nación, al referirse a la emergencia y los grupos vulnerables, sostuvo: </w:t>
      </w:r>
      <w:r w:rsidRPr="000E2A73">
        <w:rPr>
          <w:i/>
          <w:iCs/>
          <w:u w:val="single"/>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0E2A73">
        <w:rPr>
          <w:u w:val="single"/>
          <w:lang w:val="es-AR"/>
        </w:rPr>
        <w:t xml:space="preserve"> (Fallos 341:1924).</w:t>
      </w:r>
    </w:p>
    <w:p w14:paraId="1AC25BBB" w14:textId="77777777" w:rsidR="000A486C" w:rsidRPr="000E2A73" w:rsidRDefault="000A486C" w:rsidP="000A486C">
      <w:pPr>
        <w:ind w:firstLine="1560"/>
        <w:jc w:val="both"/>
        <w:rPr>
          <w:u w:val="single"/>
          <w:lang w:val="es-AR"/>
        </w:rPr>
      </w:pPr>
      <w:r w:rsidRPr="000E2A73">
        <w:rPr>
          <w:u w:val="single"/>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0E2A73">
        <w:rPr>
          <w:u w:val="single"/>
          <w:lang w:val="es-AR"/>
        </w:rPr>
        <w:t>sustitutividad</w:t>
      </w:r>
      <w:proofErr w:type="spellEnd"/>
      <w:r w:rsidRPr="000E2A73">
        <w:rPr>
          <w:u w:val="single"/>
          <w:lang w:val="es-AR"/>
        </w:rPr>
        <w:t xml:space="preserve"> establecidos por este Tribunal en precedentes como Fallos 279:389, 280:424, 292:447, 293:235, 300:84, 571, 305:866, 328:1602.</w:t>
      </w:r>
    </w:p>
    <w:p w14:paraId="2D45D722" w14:textId="20C6442A" w:rsidR="000A486C" w:rsidRDefault="000A486C" w:rsidP="000A486C">
      <w:pPr>
        <w:ind w:firstLine="1560"/>
        <w:jc w:val="both"/>
        <w:rPr>
          <w:color w:val="000000"/>
          <w:lang w:eastAsia="es-AR"/>
        </w:rPr>
      </w:pPr>
      <w:r w:rsidRPr="000E2A73">
        <w:rPr>
          <w:u w:val="single"/>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0E2A73">
        <w:rPr>
          <w:lang w:val="es-AR"/>
        </w:rPr>
        <w:t xml:space="preserve">. </w:t>
      </w:r>
      <w:r>
        <w:rPr>
          <w:color w:val="000000"/>
          <w:lang w:eastAsia="es-AR"/>
        </w:rPr>
        <w:t xml:space="preserve">{% </w:t>
      </w:r>
      <w:proofErr w:type="spellStart"/>
      <w:r>
        <w:rPr>
          <w:color w:val="000000"/>
          <w:lang w:eastAsia="es-AR"/>
        </w:rPr>
        <w:t>endif</w:t>
      </w:r>
      <w:proofErr w:type="spellEnd"/>
      <w:r>
        <w:rPr>
          <w:color w:val="000000"/>
          <w:lang w:eastAsia="es-AR"/>
        </w:rPr>
        <w:t xml:space="preserve"> %} {% </w:t>
      </w:r>
      <w:proofErr w:type="spellStart"/>
      <w:r>
        <w:rPr>
          <w:color w:val="000000"/>
          <w:lang w:eastAsia="es-AR"/>
        </w:rPr>
        <w:t>if</w:t>
      </w:r>
      <w:proofErr w:type="spellEnd"/>
      <w:r>
        <w:rPr>
          <w:color w:val="000000"/>
          <w:lang w:eastAsia="es-AR"/>
        </w:rPr>
        <w:t xml:space="preserve"> </w:t>
      </w:r>
      <w:r w:rsidRPr="004A7A00">
        <w:rPr>
          <w:color w:val="000000"/>
          <w:lang w:eastAsia="es-AR"/>
        </w:rPr>
        <w:t>ley_27426_Si</w:t>
      </w:r>
      <w:r>
        <w:rPr>
          <w:color w:val="000000"/>
          <w:lang w:eastAsia="es-AR"/>
        </w:rPr>
        <w:t xml:space="preserve"> %}</w:t>
      </w:r>
    </w:p>
    <w:p w14:paraId="158B4C48" w14:textId="34E10D61" w:rsidR="0044098F" w:rsidRDefault="0044098F" w:rsidP="00247710">
      <w:pPr>
        <w:autoSpaceDE w:val="0"/>
        <w:autoSpaceDN w:val="0"/>
        <w:adjustRightInd w:val="0"/>
        <w:spacing w:line="276" w:lineRule="auto"/>
        <w:jc w:val="both"/>
        <w:rPr>
          <w:b/>
          <w:bCs/>
        </w:rPr>
      </w:pPr>
    </w:p>
    <w:p w14:paraId="4F3F79BE" w14:textId="4A906E62" w:rsidR="00247710" w:rsidRDefault="00247710" w:rsidP="00AA6135">
      <w:pPr>
        <w:numPr>
          <w:ilvl w:val="0"/>
          <w:numId w:val="16"/>
        </w:numPr>
        <w:autoSpaceDE w:val="0"/>
        <w:autoSpaceDN w:val="0"/>
        <w:adjustRightInd w:val="0"/>
        <w:ind w:left="1146"/>
        <w:jc w:val="both"/>
        <w:rPr>
          <w:b/>
          <w:bCs/>
        </w:rPr>
      </w:pPr>
      <w:r>
        <w:rPr>
          <w:b/>
          <w:bCs/>
        </w:rPr>
        <w:t>INCOSTITUCIONALIDAD DE LA LEY 27.426</w:t>
      </w:r>
    </w:p>
    <w:p w14:paraId="50FD192B" w14:textId="77777777" w:rsidR="00247710" w:rsidRPr="00247710" w:rsidRDefault="00247710" w:rsidP="00247710">
      <w:pPr>
        <w:autoSpaceDE w:val="0"/>
        <w:autoSpaceDN w:val="0"/>
        <w:adjustRightInd w:val="0"/>
        <w:ind w:firstLine="708"/>
        <w:jc w:val="both"/>
        <w:rPr>
          <w:bCs/>
          <w:i/>
          <w:iCs/>
        </w:rPr>
      </w:pPr>
      <w:r w:rsidRPr="00247710">
        <w:rPr>
          <w:bCs/>
        </w:rPr>
        <w:t xml:space="preserve">Esta parte solicita la inconstitucionalidad del art 2 de la ley 27.426: </w:t>
      </w:r>
      <w:proofErr w:type="gramStart"/>
      <w:r w:rsidRPr="00247710">
        <w:rPr>
          <w:bCs/>
        </w:rPr>
        <w:t>“</w:t>
      </w:r>
      <w:r w:rsidRPr="00247710">
        <w:rPr>
          <w:bCs/>
          <w:i/>
          <w:iCs/>
        </w:rPr>
        <w:t xml:space="preserve"> la</w:t>
      </w:r>
      <w:proofErr w:type="gramEnd"/>
      <w:r w:rsidRPr="00247710">
        <w:rPr>
          <w:bCs/>
          <w:i/>
          <w:iCs/>
        </w:rPr>
        <w:t xml:space="preserve"> primera actualización en base a la nueva movilidad dispuesta se haría efectiva a partir del 1° de marzo de 2018.</w:t>
      </w:r>
      <w:r w:rsidRPr="00247710">
        <w:rPr>
          <w:bCs/>
        </w:rPr>
        <w:t>”</w:t>
      </w:r>
    </w:p>
    <w:p w14:paraId="18BB78F7" w14:textId="77777777" w:rsidR="00247710" w:rsidRPr="00247710" w:rsidRDefault="00247710" w:rsidP="00247710">
      <w:pPr>
        <w:autoSpaceDE w:val="0"/>
        <w:autoSpaceDN w:val="0"/>
        <w:adjustRightInd w:val="0"/>
        <w:ind w:firstLine="708"/>
        <w:jc w:val="both"/>
        <w:rPr>
          <w:bCs/>
        </w:rPr>
      </w:pPr>
      <w:r w:rsidRPr="00247710">
        <w:rPr>
          <w:bCs/>
        </w:rPr>
        <w:t xml:space="preserve">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w:t>
      </w:r>
      <w:proofErr w:type="gramStart"/>
      <w:r w:rsidRPr="00247710">
        <w:rPr>
          <w:bCs/>
        </w:rPr>
        <w:t>del mismo</w:t>
      </w:r>
      <w:proofErr w:type="gramEnd"/>
      <w:r w:rsidRPr="00247710">
        <w:rPr>
          <w:bCs/>
        </w:rPr>
        <w:t xml:space="preserve"> en el haber de mi mandante afecta derechos constitucionales lo cual torna inconstitucional al art 2 de la ley 27.426.</w:t>
      </w:r>
    </w:p>
    <w:p w14:paraId="6B1C563F" w14:textId="77777777" w:rsidR="00247710" w:rsidRPr="00247710" w:rsidRDefault="00247710" w:rsidP="00247710">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925A9C5" w14:textId="77777777" w:rsidR="00247710" w:rsidRPr="00247710" w:rsidRDefault="00247710" w:rsidP="00247710">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 xml:space="preserve">“a partir de su </w:t>
      </w:r>
      <w:proofErr w:type="gramStart"/>
      <w:r w:rsidRPr="00247710">
        <w:rPr>
          <w:bCs/>
          <w:i/>
          <w:iCs/>
        </w:rPr>
        <w:t>entrada en vigencia</w:t>
      </w:r>
      <w:proofErr w:type="gramEnd"/>
      <w:r w:rsidRPr="00247710">
        <w:rPr>
          <w:bCs/>
          <w:i/>
          <w:iCs/>
        </w:rPr>
        <w:t>,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74EEC035" w14:textId="77777777" w:rsidR="00247710" w:rsidRPr="00247710" w:rsidRDefault="00247710" w:rsidP="00247710">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650A2B3" w14:textId="77777777" w:rsidR="00247710" w:rsidRPr="00247710" w:rsidRDefault="00247710" w:rsidP="00247710">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E7E60CD" w14:textId="77777777" w:rsidR="00247710" w:rsidRPr="00247710" w:rsidRDefault="00247710" w:rsidP="00247710">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1548605" w14:textId="77777777" w:rsidR="00247710" w:rsidRPr="00247710" w:rsidRDefault="00247710" w:rsidP="00247710">
      <w:pPr>
        <w:autoSpaceDE w:val="0"/>
        <w:autoSpaceDN w:val="0"/>
        <w:adjustRightInd w:val="0"/>
        <w:ind w:firstLine="708"/>
        <w:jc w:val="both"/>
        <w:rPr>
          <w:bCs/>
        </w:rPr>
      </w:pPr>
      <w:r w:rsidRPr="00247710">
        <w:rPr>
          <w:bCs/>
        </w:rPr>
        <w:t>Por Resolución E 2/</w:t>
      </w:r>
      <w:proofErr w:type="gramStart"/>
      <w:r w:rsidRPr="00247710">
        <w:rPr>
          <w:bCs/>
        </w:rPr>
        <w:t>2018  de</w:t>
      </w:r>
      <w:proofErr w:type="gramEnd"/>
      <w:r w:rsidRPr="00247710">
        <w:rPr>
          <w:bCs/>
        </w:rPr>
        <w:t xml:space="preserv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2A636BA" w14:textId="77777777" w:rsidR="00247710" w:rsidRPr="00247710" w:rsidRDefault="00247710" w:rsidP="00247710">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0D8E26EF" w14:textId="77777777" w:rsidR="00247710" w:rsidRPr="00247710" w:rsidRDefault="00247710" w:rsidP="00247710">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21785C7E" w14:textId="77777777" w:rsidR="00247710" w:rsidRPr="00247710" w:rsidRDefault="00247710" w:rsidP="00247710">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181140F" w14:textId="77777777" w:rsidR="00247710" w:rsidRPr="00247710" w:rsidRDefault="00247710" w:rsidP="00247710">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FEB4575" w14:textId="0F996701" w:rsidR="00247710" w:rsidRPr="00247710" w:rsidRDefault="00247710" w:rsidP="00247710">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w:t>
      </w:r>
      <w:proofErr w:type="spellStart"/>
      <w:r>
        <w:rPr>
          <w:bCs/>
        </w:rPr>
        <w:t>endif</w:t>
      </w:r>
      <w:proofErr w:type="spellEnd"/>
      <w:r>
        <w:rPr>
          <w:bCs/>
        </w:rPr>
        <w:t xml:space="preserve"> %}</w:t>
      </w:r>
      <w:r w:rsidR="0076667E">
        <w:rPr>
          <w:bCs/>
        </w:rPr>
        <w:t xml:space="preserve"> {% </w:t>
      </w:r>
      <w:proofErr w:type="spellStart"/>
      <w:r w:rsidR="0076667E">
        <w:rPr>
          <w:bCs/>
        </w:rPr>
        <w:t>if</w:t>
      </w:r>
      <w:proofErr w:type="spellEnd"/>
      <w:r w:rsidR="0076667E">
        <w:rPr>
          <w:bCs/>
        </w:rPr>
        <w:t xml:space="preserve"> </w:t>
      </w:r>
      <w:r w:rsidR="00C9730D" w:rsidRPr="00C9730D">
        <w:rPr>
          <w:bCs/>
        </w:rPr>
        <w:t>ley_27541_Si</w:t>
      </w:r>
      <w:r w:rsidR="0076667E">
        <w:rPr>
          <w:bCs/>
        </w:rPr>
        <w:t xml:space="preserve"> %}</w:t>
      </w:r>
    </w:p>
    <w:p w14:paraId="4EDCD85C" w14:textId="77777777" w:rsidR="00247710" w:rsidRDefault="00247710" w:rsidP="00247710">
      <w:pPr>
        <w:autoSpaceDE w:val="0"/>
        <w:autoSpaceDN w:val="0"/>
        <w:adjustRightInd w:val="0"/>
        <w:ind w:firstLine="708"/>
        <w:jc w:val="both"/>
        <w:rPr>
          <w:bCs/>
        </w:rPr>
      </w:pPr>
    </w:p>
    <w:p w14:paraId="2FC50397" w14:textId="111EE3D6" w:rsidR="00247710" w:rsidRDefault="00247710" w:rsidP="00247710">
      <w:pPr>
        <w:numPr>
          <w:ilvl w:val="0"/>
          <w:numId w:val="16"/>
        </w:numPr>
        <w:autoSpaceDE w:val="0"/>
        <w:autoSpaceDN w:val="0"/>
        <w:adjustRightInd w:val="0"/>
        <w:ind w:left="1146"/>
        <w:jc w:val="both"/>
        <w:rPr>
          <w:b/>
          <w:bCs/>
        </w:rPr>
      </w:pPr>
      <w:r>
        <w:rPr>
          <w:b/>
          <w:bCs/>
        </w:rPr>
        <w:t>INCOSTITUCIONALIDAD DE LA LEY 27.</w:t>
      </w:r>
      <w:r w:rsidR="0076667E">
        <w:rPr>
          <w:b/>
          <w:bCs/>
        </w:rPr>
        <w:t>541</w:t>
      </w:r>
    </w:p>
    <w:p w14:paraId="2309A10F" w14:textId="77777777" w:rsidR="0076667E" w:rsidRPr="0076667E" w:rsidRDefault="0076667E" w:rsidP="0076667E">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4374904B" w14:textId="77777777" w:rsidR="0076667E" w:rsidRPr="0076667E" w:rsidRDefault="0076667E" w:rsidP="0076667E">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9D070E6"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7C8817B8" w14:textId="77777777" w:rsidR="0076667E" w:rsidRPr="0076667E" w:rsidRDefault="0076667E" w:rsidP="0076667E">
      <w:pPr>
        <w:autoSpaceDE w:val="0"/>
        <w:autoSpaceDN w:val="0"/>
        <w:adjustRightInd w:val="0"/>
        <w:ind w:firstLine="708"/>
        <w:jc w:val="both"/>
        <w:rPr>
          <w:bCs/>
        </w:rPr>
      </w:pPr>
      <w:r w:rsidRPr="0076667E">
        <w:rPr>
          <w:bCs/>
        </w:rPr>
        <w:t xml:space="preserve">el principio de progresividad  </w:t>
      </w:r>
    </w:p>
    <w:p w14:paraId="0C02EAD4"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debió haberse delegado la facultad de fijar una garantía </w:t>
      </w:r>
    </w:p>
    <w:p w14:paraId="66F77997" w14:textId="77777777" w:rsidR="0076667E" w:rsidRPr="0076667E" w:rsidRDefault="0076667E" w:rsidP="0076667E">
      <w:pPr>
        <w:autoSpaceDE w:val="0"/>
        <w:autoSpaceDN w:val="0"/>
        <w:adjustRightInd w:val="0"/>
        <w:ind w:firstLine="708"/>
        <w:jc w:val="both"/>
        <w:rPr>
          <w:bCs/>
        </w:rPr>
      </w:pPr>
      <w:r w:rsidRPr="0076667E">
        <w:rPr>
          <w:bCs/>
        </w:rPr>
        <w:t xml:space="preserve">constitucional como es la movilidad jubilatoria. </w:t>
      </w:r>
    </w:p>
    <w:p w14:paraId="3F0086FF"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247C91E"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66FB4DA0"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1DDE92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945C0C7"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14015CB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134E00AB" w14:textId="77777777" w:rsidR="0076667E" w:rsidRPr="0076667E" w:rsidRDefault="0076667E" w:rsidP="0076667E">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380FA6B" w14:textId="77777777" w:rsidR="000E0CD9" w:rsidRDefault="002452A1" w:rsidP="000E0CD9">
      <w:pPr>
        <w:autoSpaceDE w:val="0"/>
        <w:autoSpaceDN w:val="0"/>
        <w:adjustRightInd w:val="0"/>
        <w:spacing w:line="276" w:lineRule="auto"/>
        <w:ind w:left="720"/>
        <w:jc w:val="both"/>
      </w:pPr>
      <w:r w:rsidRPr="0076667E">
        <w:rPr>
          <w:bCs/>
          <w:noProof/>
        </w:rPr>
        <w:drawing>
          <wp:inline distT="0" distB="0" distL="0" distR="0" wp14:anchorId="75B45ABB" wp14:editId="100D98BB">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sidR="00247710">
        <w:rPr>
          <w:bCs/>
        </w:rPr>
        <w:t xml:space="preserve">{% </w:t>
      </w:r>
      <w:proofErr w:type="spellStart"/>
      <w:r w:rsidR="00247710">
        <w:rPr>
          <w:bCs/>
        </w:rPr>
        <w:t>endif</w:t>
      </w:r>
      <w:proofErr w:type="spellEnd"/>
      <w:r w:rsidR="00247710">
        <w:rPr>
          <w:bCs/>
        </w:rPr>
        <w:t xml:space="preserve"> %}</w:t>
      </w:r>
      <w:r w:rsidR="000E0CD9">
        <w:rPr>
          <w:bCs/>
        </w:rPr>
        <w:t xml:space="preserve"> </w:t>
      </w:r>
      <w:r w:rsidR="000E0CD9">
        <w:t xml:space="preserve">{% </w:t>
      </w:r>
      <w:proofErr w:type="spellStart"/>
      <w:r w:rsidR="000E0CD9">
        <w:t>if</w:t>
      </w:r>
      <w:proofErr w:type="spellEnd"/>
      <w:r w:rsidR="000E0CD9">
        <w:t xml:space="preserve"> ley_27609_Si </w:t>
      </w:r>
      <w:proofErr w:type="spellStart"/>
      <w:r w:rsidR="000E0CD9">
        <w:t>or</w:t>
      </w:r>
      <w:proofErr w:type="spellEnd"/>
      <w:r w:rsidR="000E0CD9">
        <w:t xml:space="preserve"> ley_27541_Si </w:t>
      </w:r>
      <w:proofErr w:type="spellStart"/>
      <w:r w:rsidR="000E0CD9">
        <w:t>or</w:t>
      </w:r>
      <w:proofErr w:type="spellEnd"/>
      <w:r w:rsidR="000E0CD9">
        <w:t xml:space="preserve"> ley_27426_Si %}</w:t>
      </w:r>
    </w:p>
    <w:p w14:paraId="07039703" w14:textId="3613C0A0" w:rsidR="00247710" w:rsidRPr="00DA146B" w:rsidRDefault="00247710" w:rsidP="0076667E">
      <w:pPr>
        <w:autoSpaceDE w:val="0"/>
        <w:autoSpaceDN w:val="0"/>
        <w:adjustRightInd w:val="0"/>
        <w:ind w:firstLine="708"/>
        <w:jc w:val="both"/>
        <w:rPr>
          <w:bCs/>
        </w:rPr>
      </w:pP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w:t>
      </w:r>
      <w:proofErr w:type="gramStart"/>
      <w:r w:rsidRPr="00DA146B">
        <w:rPr>
          <w:bCs/>
        </w:rPr>
        <w:t>ley ,en</w:t>
      </w:r>
      <w:proofErr w:type="gramEnd"/>
      <w:r w:rsidRPr="00DA146B">
        <w:rPr>
          <w:bCs/>
        </w:rPr>
        <w:t xml:space="preserve">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 xml:space="preserve">Es por ello que el </w:t>
      </w:r>
      <w:proofErr w:type="gramStart"/>
      <w:r w:rsidRPr="00DA146B">
        <w:rPr>
          <w:bCs/>
        </w:rPr>
        <w:t>juez ,</w:t>
      </w:r>
      <w:proofErr w:type="gramEnd"/>
      <w:r w:rsidRPr="00DA146B">
        <w:rPr>
          <w:bCs/>
        </w:rPr>
        <w:t xml:space="preserve">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1"/>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2"/>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 xml:space="preserve">no implica la imposibilidad absoluta de resolver nuevas cuestiones que puedan suscitarse entre idénticas partes, sino el sucesivo y reiterado juzgamiento de </w:t>
      </w:r>
      <w:proofErr w:type="gramStart"/>
      <w:r w:rsidRPr="00DA146B">
        <w:rPr>
          <w:b/>
          <w:bCs/>
          <w:i/>
          <w:iCs/>
        </w:rPr>
        <w:t>las mismas</w:t>
      </w:r>
      <w:proofErr w:type="gramEnd"/>
      <w:r w:rsidRPr="00DA146B">
        <w:rPr>
          <w:b/>
          <w:bCs/>
          <w:i/>
          <w:iCs/>
        </w:rPr>
        <w:t>”</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2"/>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CE162BC" w14:textId="3EE5A56C" w:rsidR="00AA6135" w:rsidRPr="003E441D" w:rsidRDefault="00AA6135" w:rsidP="00AA6135">
      <w:pPr>
        <w:autoSpaceDE w:val="0"/>
        <w:autoSpaceDN w:val="0"/>
        <w:adjustRightInd w:val="0"/>
        <w:ind w:firstLine="993"/>
        <w:jc w:val="both"/>
        <w:rPr>
          <w:bCs/>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sidR="000E0CD9">
        <w:rPr>
          <w:bCs/>
          <w:i/>
          <w:iCs/>
        </w:rPr>
        <w:t xml:space="preserve"> </w:t>
      </w:r>
      <w:r w:rsidR="000E0CD9" w:rsidRPr="000E0CD9">
        <w:rPr>
          <w:bCs/>
        </w:rPr>
        <w:t xml:space="preserve">{% </w:t>
      </w:r>
      <w:proofErr w:type="spellStart"/>
      <w:r w:rsidR="000E0CD9" w:rsidRPr="000E0CD9">
        <w:rPr>
          <w:bCs/>
        </w:rPr>
        <w:t>endif</w:t>
      </w:r>
      <w:proofErr w:type="spellEnd"/>
      <w:r w:rsidR="000E0CD9" w:rsidRPr="000E0CD9">
        <w:rPr>
          <w:bCs/>
        </w:rPr>
        <w:t xml:space="preserve"> %}</w:t>
      </w:r>
      <w:r w:rsidR="00F700D6">
        <w:rPr>
          <w:bCs/>
        </w:rPr>
        <w:t xml:space="preserve"> </w:t>
      </w:r>
      <w:r w:rsidR="00F700D6">
        <w:t xml:space="preserve">{% </w:t>
      </w:r>
      <w:proofErr w:type="spellStart"/>
      <w:r w:rsidR="00F700D6">
        <w:t>if</w:t>
      </w:r>
      <w:proofErr w:type="spellEnd"/>
      <w:r w:rsidR="00F700D6">
        <w:t xml:space="preserve"> </w:t>
      </w:r>
      <w:proofErr w:type="spellStart"/>
      <w:r w:rsidR="00F700D6" w:rsidRPr="00B60232">
        <w:t>Honorarios_No</w:t>
      </w:r>
      <w:proofErr w:type="spellEnd"/>
      <w:r w:rsidR="00F700D6">
        <w:t xml:space="preserve"> %}</w:t>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5FC2D04D" w14:textId="02B68B92" w:rsidR="005E397D" w:rsidRDefault="00EC3476" w:rsidP="005E397D">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w:t>
      </w:r>
      <w:proofErr w:type="gramStart"/>
      <w:r>
        <w:t>mandante ,</w:t>
      </w:r>
      <w:proofErr w:type="gramEnd"/>
      <w:r>
        <w:t xml:space="preserve">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xml:space="preserve">, como así también se identifique al funcionario responsable de cumplir con la manda judicial , el cual deberá informar si creo la </w:t>
      </w:r>
      <w:proofErr w:type="spellStart"/>
      <w:r>
        <w:t>secuenta</w:t>
      </w:r>
      <w:proofErr w:type="spellEnd"/>
      <w:r w:rsidR="006F39CF">
        <w:t>.</w:t>
      </w:r>
      <w:r w:rsidR="00F700D6">
        <w:t xml:space="preserve"> {% </w:t>
      </w:r>
      <w:proofErr w:type="spellStart"/>
      <w:r w:rsidR="00F700D6">
        <w:t>endif</w:t>
      </w:r>
      <w:proofErr w:type="spellEnd"/>
      <w:r w:rsidR="00F700D6">
        <w:t xml:space="preserve"> </w:t>
      </w:r>
      <w:proofErr w:type="gramStart"/>
      <w:r w:rsidR="00F700D6">
        <w:t>%}</w:t>
      </w:r>
      <w:r w:rsidR="005E397D">
        <w:rPr>
          <w:bCs/>
        </w:rPr>
        <w:t>{</w:t>
      </w:r>
      <w:proofErr w:type="gramEnd"/>
      <w:r w:rsidR="005E397D">
        <w:rPr>
          <w:bCs/>
        </w:rPr>
        <w:t xml:space="preserve">% </w:t>
      </w:r>
      <w:proofErr w:type="spellStart"/>
      <w:r w:rsidR="005E397D">
        <w:rPr>
          <w:bCs/>
        </w:rPr>
        <w:t>if</w:t>
      </w:r>
      <w:proofErr w:type="spellEnd"/>
      <w:r w:rsidR="005E397D">
        <w:rPr>
          <w:bCs/>
        </w:rPr>
        <w:t xml:space="preserve"> </w:t>
      </w:r>
      <w:proofErr w:type="spellStart"/>
      <w:r w:rsidR="00B66E1C" w:rsidRPr="00B66E1C">
        <w:rPr>
          <w:bCs/>
        </w:rPr>
        <w:t>Tope_Si</w:t>
      </w:r>
      <w:proofErr w:type="spellEnd"/>
      <w:r w:rsidR="00B66E1C">
        <w:rPr>
          <w:bCs/>
        </w:rPr>
        <w:t xml:space="preserve"> </w:t>
      </w:r>
      <w:r w:rsidR="005E397D">
        <w:rPr>
          <w:bCs/>
        </w:rPr>
        <w:t>%}</w:t>
      </w:r>
    </w:p>
    <w:p w14:paraId="63DF2824" w14:textId="77777777" w:rsidR="00CB0C86" w:rsidRPr="003006E8" w:rsidRDefault="00CB0C86" w:rsidP="00CB0C86">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0313C725" w14:textId="77777777" w:rsidR="00CB0C86" w:rsidRPr="00643FB0" w:rsidRDefault="00CB0C86" w:rsidP="00CB0C86">
      <w:pPr>
        <w:jc w:val="both"/>
      </w:pPr>
      <w:r w:rsidRPr="00643FB0">
        <w:t xml:space="preserve">Al liquidar el haber de mi mandante y aplicar la movilidad conforme </w:t>
      </w:r>
      <w:proofErr w:type="spellStart"/>
      <w:r w:rsidRPr="00643FB0">
        <w:t>Caliva</w:t>
      </w:r>
      <w:proofErr w:type="spellEnd"/>
      <w:r w:rsidRPr="00643FB0">
        <w:t xml:space="preserve"> </w:t>
      </w:r>
      <w:r w:rsidRPr="00BB0BC4">
        <w:t>Márquez</w:t>
      </w:r>
      <w:r w:rsidRPr="00643FB0">
        <w:t xml:space="preserve">, se observa que el haber QUE ANTES NO SE ENCONTRABA SUJETO A TOPE DEL HABER MAXIMO, </w:t>
      </w:r>
      <w:r>
        <w:t>ahora</w:t>
      </w:r>
      <w:r w:rsidRPr="00643FB0">
        <w:t xml:space="preserve"> si se encuentra alcanzado.</w:t>
      </w:r>
    </w:p>
    <w:p w14:paraId="28CB96A8" w14:textId="77777777" w:rsidR="00CB0C86" w:rsidRPr="00643FB0" w:rsidRDefault="00CB0C86" w:rsidP="00CB0C86">
      <w:pPr>
        <w:jc w:val="both"/>
      </w:pPr>
      <w:r w:rsidRPr="00643FB0">
        <w:t>Note VS El tope del art 9 inc. 3 de la ley 24463 es a</w:t>
      </w:r>
      <w:r>
        <w:t xml:space="preserve">l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w:t>
      </w:r>
      <w:r>
        <w:rPr>
          <w:b/>
        </w:rPr>
        <w:t xml:space="preserve">$ (Monto del tope </w:t>
      </w:r>
      <w:proofErr w:type="spellStart"/>
      <w:r>
        <w:rPr>
          <w:b/>
        </w:rPr>
        <w:t>Anses</w:t>
      </w:r>
      <w:proofErr w:type="spellEnd"/>
      <w:r>
        <w:rPr>
          <w:b/>
        </w:rPr>
        <w:t xml:space="preserve"> a la Fecha de cierre de intereses)</w:t>
      </w:r>
    </w:p>
    <w:p w14:paraId="255F7810" w14:textId="77777777" w:rsidR="00CB0C86" w:rsidRDefault="00CB0C86" w:rsidP="00CB0C86">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del 82% de la remuneración máxima</w:t>
      </w:r>
      <w:r>
        <w:t xml:space="preserve"> es decir $ </w:t>
      </w:r>
      <w:r>
        <w:rPr>
          <w:b/>
        </w:rPr>
        <w:t xml:space="preserve">(Monto del tope 82% de la rem </w:t>
      </w:r>
      <w:proofErr w:type="spellStart"/>
      <w:r>
        <w:rPr>
          <w:b/>
        </w:rPr>
        <w:t>max</w:t>
      </w:r>
      <w:proofErr w:type="spellEnd"/>
      <w:r>
        <w:rPr>
          <w:b/>
        </w:rPr>
        <w:t xml:space="preserve"> a la Fecha de cierre de intereses)</w:t>
      </w:r>
      <w:r>
        <w:t xml:space="preserve">  un (Porcentaje de diferencia con haber máximo de la 82% de la rem </w:t>
      </w:r>
      <w:proofErr w:type="spellStart"/>
      <w:r>
        <w:t>max</w:t>
      </w:r>
      <w:proofErr w:type="spellEnd"/>
      <w:r>
        <w:t xml:space="preserve">) % </w:t>
      </w:r>
      <w:r w:rsidRPr="00643FB0">
        <w:rPr>
          <w:b/>
        </w:rPr>
        <w:t>más sin movilizar el tope.</w:t>
      </w:r>
    </w:p>
    <w:p w14:paraId="5A8DBDCD" w14:textId="77777777" w:rsidR="00CB0C86" w:rsidRDefault="00CB0C86" w:rsidP="00CB0C86">
      <w:pPr>
        <w:jc w:val="both"/>
        <w:rPr>
          <w:b/>
        </w:rPr>
      </w:pPr>
    </w:p>
    <w:p w14:paraId="0AB73FF6" w14:textId="3695EF71" w:rsidR="00CB0C86" w:rsidRDefault="00CB0C86" w:rsidP="00CB0C86">
      <w:pPr>
        <w:jc w:val="both"/>
        <w:rPr>
          <w:b/>
        </w:rPr>
      </w:pPr>
      <w:r w:rsidRPr="0039784E">
        <w:rPr>
          <w:noProof/>
        </w:rPr>
        <w:drawing>
          <wp:inline distT="0" distB="0" distL="0" distR="0" wp14:anchorId="33E50DF6" wp14:editId="35AFDBF4">
            <wp:extent cx="4945380" cy="4236720"/>
            <wp:effectExtent l="0" t="0" r="7620" b="0"/>
            <wp:docPr id="1999124868"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5380" cy="4236720"/>
                    </a:xfrm>
                    <a:prstGeom prst="rect">
                      <a:avLst/>
                    </a:prstGeom>
                    <a:noFill/>
                    <a:ln>
                      <a:noFill/>
                    </a:ln>
                  </pic:spPr>
                </pic:pic>
              </a:graphicData>
            </a:graphic>
          </wp:inline>
        </w:drawing>
      </w:r>
    </w:p>
    <w:p w14:paraId="331D75B8" w14:textId="77777777" w:rsidR="00CB0C86" w:rsidRDefault="00CB0C86" w:rsidP="00CB0C86">
      <w:pPr>
        <w:jc w:val="both"/>
        <w:rPr>
          <w:b/>
        </w:rPr>
      </w:pPr>
    </w:p>
    <w:p w14:paraId="0C39D3E9" w14:textId="77777777" w:rsidR="00CB0C86" w:rsidRDefault="00CB0C86" w:rsidP="00CB0C86">
      <w:pPr>
        <w:jc w:val="both"/>
        <w:rPr>
          <w:b/>
        </w:rPr>
      </w:pPr>
    </w:p>
    <w:p w14:paraId="218350BD" w14:textId="77777777" w:rsidR="00CB0C86" w:rsidRDefault="00CB0C86" w:rsidP="00CB0C86">
      <w:pPr>
        <w:jc w:val="both"/>
        <w:rPr>
          <w:b/>
        </w:rPr>
      </w:pPr>
    </w:p>
    <w:p w14:paraId="45BD13E3" w14:textId="77777777" w:rsidR="00CB0C86" w:rsidRDefault="00CB0C86" w:rsidP="00CB0C86">
      <w:pPr>
        <w:jc w:val="both"/>
        <w:rPr>
          <w:b/>
        </w:rPr>
      </w:pPr>
    </w:p>
    <w:p w14:paraId="01B0D245" w14:textId="77777777" w:rsidR="00CB0C86" w:rsidRDefault="00CB0C86" w:rsidP="00CB0C86">
      <w:pPr>
        <w:jc w:val="both"/>
        <w:rPr>
          <w:b/>
        </w:rPr>
      </w:pPr>
    </w:p>
    <w:p w14:paraId="777F5CA2" w14:textId="77777777" w:rsidR="00CB0C86" w:rsidRDefault="00CB0C86" w:rsidP="00CB0C86">
      <w:pPr>
        <w:jc w:val="both"/>
        <w:rPr>
          <w:b/>
        </w:rPr>
      </w:pPr>
    </w:p>
    <w:p w14:paraId="6C119C33" w14:textId="77777777" w:rsidR="00CB0C86" w:rsidRDefault="00CB0C86" w:rsidP="00CB0C86">
      <w:pPr>
        <w:jc w:val="both"/>
        <w:rPr>
          <w:b/>
        </w:rPr>
      </w:pPr>
    </w:p>
    <w:p w14:paraId="7AA25047" w14:textId="77777777" w:rsidR="00CB0C86" w:rsidRDefault="00CB0C86" w:rsidP="00CB0C86">
      <w:pPr>
        <w:jc w:val="both"/>
        <w:rPr>
          <w:b/>
        </w:rPr>
      </w:pPr>
    </w:p>
    <w:p w14:paraId="3FEEA875" w14:textId="77777777" w:rsidR="00CB0C86" w:rsidRDefault="00CB0C86" w:rsidP="00CB0C86">
      <w:pPr>
        <w:jc w:val="both"/>
        <w:rPr>
          <w:b/>
        </w:rPr>
      </w:pPr>
    </w:p>
    <w:p w14:paraId="41C1634D" w14:textId="77777777" w:rsidR="00CB0C86" w:rsidRDefault="00CB0C86" w:rsidP="00CB0C86">
      <w:pPr>
        <w:jc w:val="both"/>
        <w:rPr>
          <w:b/>
        </w:rPr>
      </w:pPr>
    </w:p>
    <w:p w14:paraId="330B4FCC" w14:textId="77777777" w:rsidR="00CB0C86" w:rsidRDefault="00CB0C86" w:rsidP="00CB0C86">
      <w:pPr>
        <w:jc w:val="both"/>
        <w:rPr>
          <w:b/>
        </w:rPr>
      </w:pPr>
    </w:p>
    <w:p w14:paraId="5401223F" w14:textId="77777777" w:rsidR="00CB0C86" w:rsidRDefault="00CB0C86" w:rsidP="00CB0C86">
      <w:pPr>
        <w:jc w:val="both"/>
        <w:rPr>
          <w:b/>
        </w:rPr>
      </w:pPr>
    </w:p>
    <w:p w14:paraId="4A8B9C42" w14:textId="77777777" w:rsidR="00CB0C86" w:rsidRDefault="00CB0C86" w:rsidP="00CB0C86">
      <w:pPr>
        <w:jc w:val="both"/>
        <w:rPr>
          <w:b/>
        </w:rPr>
      </w:pPr>
    </w:p>
    <w:p w14:paraId="68F673DB" w14:textId="77777777" w:rsidR="00CB0C86" w:rsidRDefault="00CB0C86" w:rsidP="00CB0C86">
      <w:pPr>
        <w:jc w:val="both"/>
        <w:rPr>
          <w:b/>
        </w:rPr>
      </w:pPr>
    </w:p>
    <w:p w14:paraId="51C77744" w14:textId="77777777" w:rsidR="00CB0C86" w:rsidRPr="00A34D7D" w:rsidRDefault="00CB0C86" w:rsidP="00CB0C86">
      <w:pPr>
        <w:jc w:val="both"/>
        <w:rPr>
          <w:b/>
          <w:u w:val="single"/>
        </w:rPr>
      </w:pPr>
      <w:r w:rsidRPr="00A34D7D">
        <w:rPr>
          <w:b/>
          <w:u w:val="single"/>
        </w:rPr>
        <w:t xml:space="preserve">La quita en el haber de mi mandante es $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 xml:space="preserve">conforme el tope de </w:t>
      </w:r>
      <w:proofErr w:type="spellStart"/>
      <w:r w:rsidRPr="00A34D7D">
        <w:rPr>
          <w:b/>
          <w:u w:val="single"/>
        </w:rPr>
        <w:t>Anses</w:t>
      </w:r>
      <w:proofErr w:type="spellEnd"/>
      <w:r w:rsidRPr="00A34D7D">
        <w:rPr>
          <w:b/>
          <w:u w:val="single"/>
        </w:rPr>
        <w:t xml:space="preserve">, es decir un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w:t>
      </w:r>
    </w:p>
    <w:p w14:paraId="6C375C51" w14:textId="77777777" w:rsidR="00CB0C86" w:rsidRDefault="00CB0C86" w:rsidP="00CB0C86">
      <w:pPr>
        <w:jc w:val="both"/>
      </w:pPr>
    </w:p>
    <w:p w14:paraId="22DD8FDB" w14:textId="14946F08" w:rsidR="00CB0C86" w:rsidRDefault="00CB0C86" w:rsidP="00CB0C86">
      <w:pPr>
        <w:jc w:val="both"/>
      </w:pPr>
      <w:r w:rsidRPr="0039784E">
        <w:rPr>
          <w:noProof/>
        </w:rPr>
        <w:drawing>
          <wp:inline distT="0" distB="0" distL="0" distR="0" wp14:anchorId="7555712D" wp14:editId="52AEBCF9">
            <wp:extent cx="4892040" cy="4907280"/>
            <wp:effectExtent l="0" t="0" r="3810" b="7620"/>
            <wp:docPr id="1227842270" name="Imagen 1" descr="Gráfico en cascada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en cascada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2040" cy="4907280"/>
                    </a:xfrm>
                    <a:prstGeom prst="rect">
                      <a:avLst/>
                    </a:prstGeom>
                    <a:noFill/>
                    <a:ln>
                      <a:noFill/>
                    </a:ln>
                  </pic:spPr>
                </pic:pic>
              </a:graphicData>
            </a:graphic>
          </wp:inline>
        </w:drawing>
      </w:r>
    </w:p>
    <w:p w14:paraId="28E484EC" w14:textId="77777777" w:rsidR="00CB0C86" w:rsidRPr="00643FB0" w:rsidRDefault="00CB0C86" w:rsidP="00CB0C86">
      <w:pPr>
        <w:jc w:val="both"/>
      </w:pPr>
    </w:p>
    <w:p w14:paraId="61CC2CB2" w14:textId="77777777" w:rsidR="00CB0C86" w:rsidRPr="00643FB0" w:rsidRDefault="00CB0C86" w:rsidP="00CB0C86">
      <w:pPr>
        <w:jc w:val="both"/>
      </w:pPr>
      <w:r>
        <w:t>S</w:t>
      </w:r>
      <w:r w:rsidRPr="00643FB0">
        <w:t>i a los $3.100, que eran a 01/2002, lo actualizamos con las mismas pautas de “</w:t>
      </w:r>
      <w:proofErr w:type="spellStart"/>
      <w:r w:rsidRPr="00643FB0">
        <w:t>Badaro</w:t>
      </w:r>
      <w:proofErr w:type="spellEnd"/>
      <w:r w:rsidRPr="00643FB0">
        <w:t>” y aumentos generales de ANSES el tope hoy sería notablemente superior</w:t>
      </w:r>
      <w:r>
        <w:t xml:space="preserve"> $ 2.776.554,87.</w:t>
      </w:r>
    </w:p>
    <w:p w14:paraId="70DB9622" w14:textId="77777777" w:rsidR="00CB0C86" w:rsidRPr="00643FB0" w:rsidRDefault="00CB0C86" w:rsidP="00CB0C86">
      <w:pPr>
        <w:jc w:val="both"/>
      </w:pPr>
      <w:r w:rsidRPr="00643FB0">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643FB0">
        <w:t>Nº</w:t>
      </w:r>
      <w:proofErr w:type="spellEnd"/>
      <w:r w:rsidRPr="00643FB0">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31B7EA7" w14:textId="77777777" w:rsidR="00CB0C86" w:rsidRDefault="00CB0C86" w:rsidP="00CB0C86">
      <w:pPr>
        <w:jc w:val="both"/>
      </w:pPr>
      <w:r w:rsidRPr="00643FB0">
        <w:t>Esta limitación a la percepción del haber resulta lesiva al Art. 17 de la CN</w:t>
      </w:r>
      <w:r>
        <w:t xml:space="preserve"> y así se resolvió en “</w:t>
      </w:r>
      <w:r w:rsidRPr="00643FB0">
        <w:t xml:space="preserve">LEONARDUZZI, ROBERTO ATILIO c/ ANSES s/REAJUSTES POR MOVILIDAD” </w:t>
      </w:r>
      <w:proofErr w:type="spellStart"/>
      <w:r w:rsidRPr="00643FB0">
        <w:t>Expte</w:t>
      </w:r>
      <w:proofErr w:type="spellEnd"/>
      <w:r w:rsidRPr="00643FB0">
        <w:t xml:space="preserve">. </w:t>
      </w:r>
      <w:proofErr w:type="spellStart"/>
      <w:r w:rsidRPr="00643FB0">
        <w:t>N°</w:t>
      </w:r>
      <w:proofErr w:type="spellEnd"/>
      <w:r w:rsidRPr="00643FB0">
        <w:t xml:space="preserve"> FSA 8762/2022</w:t>
      </w:r>
      <w:r>
        <w:t xml:space="preserve"> e </w:t>
      </w:r>
      <w:r w:rsidRPr="00BB0BC4">
        <w:t xml:space="preserve">“INCHAURRONDO, JOSE LUIS c/ ANSES s/ REAJUSTES VARIOS” </w:t>
      </w:r>
      <w:proofErr w:type="spellStart"/>
      <w:r w:rsidRPr="00BB0BC4">
        <w:t>Expte</w:t>
      </w:r>
      <w:proofErr w:type="spellEnd"/>
      <w:r w:rsidRPr="00BB0BC4">
        <w:t xml:space="preserve">. </w:t>
      </w:r>
      <w:proofErr w:type="spellStart"/>
      <w:r w:rsidRPr="00BB0BC4">
        <w:t>Nº</w:t>
      </w:r>
      <w:proofErr w:type="spellEnd"/>
      <w:r w:rsidRPr="00BB0BC4">
        <w:t xml:space="preserve"> FSA 379/2020</w:t>
      </w:r>
      <w:r>
        <w:t xml:space="preserve">, a </w:t>
      </w:r>
      <w:proofErr w:type="gramStart"/>
      <w:r>
        <w:t>cuyo fundamentos</w:t>
      </w:r>
      <w:proofErr w:type="gramEnd"/>
      <w:r>
        <w:t xml:space="preserve"> me remito.</w:t>
      </w:r>
    </w:p>
    <w:p w14:paraId="40D6A083" w14:textId="77777777" w:rsidR="00CB0C86" w:rsidRDefault="00CB0C86" w:rsidP="00CB0C86"/>
    <w:p w14:paraId="04D8A540" w14:textId="77777777" w:rsidR="00CB0C86" w:rsidRDefault="00CB0C86" w:rsidP="00CB0C86">
      <w:pPr>
        <w:pStyle w:val="Prrafodelista"/>
        <w:autoSpaceDE w:val="0"/>
        <w:autoSpaceDN w:val="0"/>
        <w:adjustRightInd w:val="0"/>
        <w:spacing w:line="276" w:lineRule="auto"/>
        <w:ind w:left="1134"/>
        <w:jc w:val="both"/>
        <w:rPr>
          <w:b/>
          <w:bCs/>
        </w:rPr>
      </w:pPr>
    </w:p>
    <w:p w14:paraId="06482BB2" w14:textId="77777777" w:rsidR="00CB0C86" w:rsidRPr="00055921" w:rsidRDefault="00CB0C86" w:rsidP="00CB0C86">
      <w:pPr>
        <w:autoSpaceDE w:val="0"/>
        <w:autoSpaceDN w:val="0"/>
        <w:adjustRightInd w:val="0"/>
        <w:spacing w:line="276" w:lineRule="auto"/>
        <w:ind w:left="1134"/>
        <w:jc w:val="both"/>
      </w:pPr>
      <w:r w:rsidRPr="00055921">
        <w:t xml:space="preserve">{% </w:t>
      </w:r>
      <w:proofErr w:type="spellStart"/>
      <w:r w:rsidRPr="00055921">
        <w:t>endif</w:t>
      </w:r>
      <w:proofErr w:type="spellEnd"/>
      <w:r w:rsidRPr="00055921">
        <w:t xml:space="preserve"> %}</w:t>
      </w:r>
    </w:p>
    <w:p w14:paraId="451F2DDD" w14:textId="731EA954" w:rsidR="00EC3476" w:rsidRDefault="00EC3476" w:rsidP="00EC3476">
      <w:pPr>
        <w:autoSpaceDE w:val="0"/>
        <w:autoSpaceDN w:val="0"/>
        <w:adjustRightInd w:val="0"/>
        <w:spacing w:line="276" w:lineRule="auto"/>
        <w:ind w:firstLine="1134"/>
        <w:jc w:val="both"/>
      </w:pPr>
    </w:p>
    <w:p w14:paraId="23B42A14" w14:textId="77777777" w:rsidR="00543130" w:rsidRDefault="00543130" w:rsidP="00EC3476">
      <w:pPr>
        <w:autoSpaceDE w:val="0"/>
        <w:autoSpaceDN w:val="0"/>
        <w:adjustRightInd w:val="0"/>
        <w:spacing w:line="276" w:lineRule="auto"/>
        <w:ind w:firstLine="1134"/>
        <w:jc w:val="both"/>
      </w:pPr>
    </w:p>
    <w:p w14:paraId="7883630B" w14:textId="77777777" w:rsidR="0021598D" w:rsidRDefault="0021598D" w:rsidP="0021598D">
      <w:pPr>
        <w:pStyle w:val="Prrafodelista"/>
        <w:numPr>
          <w:ilvl w:val="0"/>
          <w:numId w:val="16"/>
        </w:numPr>
        <w:autoSpaceDE w:val="0"/>
        <w:autoSpaceDN w:val="0"/>
        <w:adjustRightInd w:val="0"/>
        <w:ind w:left="1854"/>
        <w:jc w:val="both"/>
      </w:pPr>
      <w:r w:rsidRPr="00512472">
        <w:rPr>
          <w:b/>
          <w:bCs/>
        </w:rPr>
        <w:t>SOLICITO REGULE HONORARIOS</w:t>
      </w:r>
    </w:p>
    <w:p w14:paraId="637B8B37" w14:textId="77777777" w:rsidR="0021598D" w:rsidRDefault="0021598D" w:rsidP="0021598D">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15989E51" w14:textId="77777777" w:rsidR="0021598D" w:rsidRDefault="0021598D" w:rsidP="0021598D">
      <w:pPr>
        <w:autoSpaceDE w:val="0"/>
        <w:autoSpaceDN w:val="0"/>
        <w:adjustRightInd w:val="0"/>
        <w:ind w:firstLine="1134"/>
        <w:jc w:val="both"/>
      </w:pPr>
      <w:r>
        <w:t>Solicito tome como base regulatoria la suma de {{</w:t>
      </w:r>
      <w:proofErr w:type="spellStart"/>
      <w:r w:rsidRPr="00E9369F">
        <w:t>total_liquidacion_en_UMA</w:t>
      </w:r>
      <w:proofErr w:type="spellEnd"/>
      <w:r>
        <w:t>}} UMA,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w:t>
      </w:r>
    </w:p>
    <w:p w14:paraId="1AFE3B08" w14:textId="77777777" w:rsidR="0021598D" w:rsidRPr="005C68DD" w:rsidRDefault="0021598D" w:rsidP="0021598D">
      <w:pPr>
        <w:pStyle w:val="NormalWeb"/>
        <w:ind w:firstLine="1134"/>
        <w:jc w:val="both"/>
        <w:rPr>
          <w:b/>
          <w:bCs/>
        </w:rPr>
      </w:pPr>
      <w:r w:rsidRPr="005C68DD">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262B5ED3" w14:textId="77777777" w:rsidR="0021598D" w:rsidRPr="005C68DD" w:rsidRDefault="0021598D" w:rsidP="0021598D">
      <w:pPr>
        <w:pStyle w:val="NormalWeb"/>
        <w:ind w:firstLine="1134"/>
        <w:jc w:val="both"/>
        <w:rPr>
          <w:b/>
          <w:bCs/>
        </w:rPr>
      </w:pPr>
      <w:r w:rsidRPr="005C68DD">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68E191FA" w14:textId="77777777" w:rsidR="0021598D" w:rsidRPr="005C68DD" w:rsidRDefault="0021598D" w:rsidP="0021598D">
      <w:pPr>
        <w:pStyle w:val="NormalWeb"/>
        <w:ind w:firstLine="1134"/>
        <w:jc w:val="both"/>
        <w:rPr>
          <w:b/>
          <w:bCs/>
        </w:rPr>
      </w:pPr>
      <w:r w:rsidRPr="005C68DD">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08F6776F" w14:textId="49BB5EDA" w:rsidR="006F39CF" w:rsidRDefault="006F39CF" w:rsidP="0021598D">
      <w:pPr>
        <w:autoSpaceDE w:val="0"/>
        <w:autoSpaceDN w:val="0"/>
        <w:adjustRightInd w:val="0"/>
        <w:spacing w:line="276" w:lineRule="auto"/>
        <w:jc w:val="both"/>
      </w:pP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w:t>
      </w:r>
      <w:r w:rsidR="00B05497">
        <w:t xml:space="preserve"> {% </w:t>
      </w:r>
      <w:proofErr w:type="spellStart"/>
      <w:r w:rsidR="00B05497">
        <w:t>if</w:t>
      </w:r>
      <w:proofErr w:type="spellEnd"/>
      <w:r w:rsidR="00B05497">
        <w:t xml:space="preserve"> </w:t>
      </w:r>
      <w:proofErr w:type="spellStart"/>
      <w:r w:rsidR="00B05497" w:rsidRPr="00B05497">
        <w:t>Sancionatorios_Si</w:t>
      </w:r>
      <w:proofErr w:type="spellEnd"/>
      <w:r w:rsidR="00B05497">
        <w:t xml:space="preserve"> %}</w:t>
      </w:r>
    </w:p>
    <w:p w14:paraId="63115E97" w14:textId="77777777" w:rsidR="00EC3476" w:rsidRDefault="00EC3476" w:rsidP="00EC3476">
      <w:pPr>
        <w:autoSpaceDE w:val="0"/>
        <w:autoSpaceDN w:val="0"/>
        <w:adjustRightInd w:val="0"/>
        <w:spacing w:line="276" w:lineRule="auto"/>
        <w:ind w:left="1854"/>
        <w:jc w:val="both"/>
        <w:rPr>
          <w:b/>
          <w:bCs/>
        </w:rPr>
      </w:pPr>
    </w:p>
    <w:bookmarkEnd w:id="0"/>
    <w:p w14:paraId="354A3B3C" w14:textId="5885F091" w:rsidR="00F85F45" w:rsidRPr="00F85F45" w:rsidRDefault="00F85F45" w:rsidP="00F85F45">
      <w:pPr>
        <w:pStyle w:val="Prrafodelista"/>
        <w:numPr>
          <w:ilvl w:val="0"/>
          <w:numId w:val="16"/>
        </w:numPr>
        <w:autoSpaceDE w:val="0"/>
        <w:autoSpaceDN w:val="0"/>
        <w:adjustRightInd w:val="0"/>
        <w:jc w:val="both"/>
        <w:rPr>
          <w:b/>
          <w:bCs/>
          <w:lang w:val="es-AR"/>
        </w:rPr>
      </w:pPr>
      <w:r w:rsidRPr="00F85F45">
        <w:rPr>
          <w:b/>
          <w:bCs/>
          <w:lang w:val="es-AR"/>
        </w:rPr>
        <w:t xml:space="preserve"> SOLICITO FIJAR INTERESES SANCIONATORIOS</w:t>
      </w:r>
    </w:p>
    <w:p w14:paraId="7BCF2BF5" w14:textId="77777777" w:rsidR="00F85F45" w:rsidRPr="00E90E3C" w:rsidRDefault="00F85F45" w:rsidP="00F85F45">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55D65AED" w14:textId="77777777" w:rsidR="00F85F45" w:rsidRPr="00E90E3C" w:rsidRDefault="00F85F45" w:rsidP="00F85F45">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1B6B18EE" w14:textId="77777777" w:rsidR="00F85F45" w:rsidRPr="00E90E3C" w:rsidRDefault="00F85F45" w:rsidP="00F85F45">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76A82C56" w14:textId="77777777" w:rsidR="00F85F45" w:rsidRPr="00E90E3C" w:rsidRDefault="00F85F45" w:rsidP="00F85F45">
      <w:pPr>
        <w:autoSpaceDE w:val="0"/>
        <w:autoSpaceDN w:val="0"/>
        <w:adjustRightInd w:val="0"/>
        <w:ind w:firstLine="1134"/>
        <w:jc w:val="both"/>
        <w:rPr>
          <w:lang w:val="es-AR"/>
        </w:rPr>
      </w:pPr>
      <w:proofErr w:type="gramStart"/>
      <w:r w:rsidRPr="00E90E3C">
        <w:rPr>
          <w:lang w:val="es-AR"/>
        </w:rPr>
        <w:t>Solicito</w:t>
      </w:r>
      <w:proofErr w:type="gramEnd"/>
      <w:r w:rsidRPr="00E90E3C">
        <w:rPr>
          <w:lang w:val="es-AR"/>
        </w:rPr>
        <w:t xml:space="preserve"> además:</w:t>
      </w:r>
    </w:p>
    <w:p w14:paraId="2CB9E331" w14:textId="77777777" w:rsidR="00F85F45" w:rsidRPr="00E90E3C" w:rsidRDefault="00F85F45" w:rsidP="00F85F45">
      <w:pPr>
        <w:numPr>
          <w:ilvl w:val="0"/>
          <w:numId w:val="43"/>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724DA3B1"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sentencia del juez.</w:t>
      </w:r>
    </w:p>
    <w:p w14:paraId="278DB5CA"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cierre de la liquidación.</w:t>
      </w:r>
    </w:p>
    <w:p w14:paraId="0283BCDC"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vencimiento de la sentencia ejecutoria.</w:t>
      </w:r>
    </w:p>
    <w:p w14:paraId="12F0F96C" w14:textId="77777777" w:rsidR="00F85F45" w:rsidRDefault="00F85F45" w:rsidP="00F85F45">
      <w:pPr>
        <w:numPr>
          <w:ilvl w:val="0"/>
          <w:numId w:val="43"/>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419D723D" w14:textId="77777777" w:rsidR="00F85F45" w:rsidRPr="00E90E3C" w:rsidRDefault="00F85F45" w:rsidP="00F85F45">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Pr>
          <w:lang w:val="es-AR"/>
        </w:rPr>
        <w:t xml:space="preserve"> </w:t>
      </w:r>
      <w:r>
        <w:t xml:space="preserve">{% </w:t>
      </w:r>
      <w:proofErr w:type="spellStart"/>
      <w:r>
        <w:t>endif</w:t>
      </w:r>
      <w:proofErr w:type="spellEnd"/>
      <w:r>
        <w:t xml:space="preserve"> %}</w:t>
      </w:r>
    </w:p>
    <w:p w14:paraId="09F20251" w14:textId="77777777" w:rsidR="004D060E" w:rsidRDefault="004D060E" w:rsidP="003833D6">
      <w:pPr>
        <w:autoSpaceDE w:val="0"/>
        <w:autoSpaceDN w:val="0"/>
        <w:adjustRightInd w:val="0"/>
        <w:spacing w:line="276" w:lineRule="auto"/>
        <w:ind w:firstLine="1134"/>
        <w:jc w:val="both"/>
        <w:rPr>
          <w:b/>
        </w:rPr>
      </w:pPr>
    </w:p>
    <w:p w14:paraId="2FB24180" w14:textId="77777777" w:rsidR="00177FA3" w:rsidRDefault="00177FA3" w:rsidP="00177FA3">
      <w:pPr>
        <w:numPr>
          <w:ilvl w:val="0"/>
          <w:numId w:val="16"/>
        </w:numPr>
        <w:autoSpaceDE w:val="0"/>
        <w:autoSpaceDN w:val="0"/>
        <w:adjustRightInd w:val="0"/>
        <w:ind w:left="1854"/>
        <w:jc w:val="both"/>
        <w:rPr>
          <w:lang w:val="es-AR"/>
        </w:rPr>
      </w:pPr>
      <w:r>
        <w:rPr>
          <w:b/>
          <w:bCs/>
        </w:rPr>
        <w:t xml:space="preserve">Actualización monetaria </w:t>
      </w:r>
    </w:p>
    <w:p w14:paraId="64879527" w14:textId="77777777" w:rsidR="00177FA3" w:rsidRPr="00B8106E" w:rsidRDefault="00177FA3" w:rsidP="00177FA3">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4071E836" w14:textId="77777777" w:rsidR="00177FA3" w:rsidRPr="00B8106E" w:rsidRDefault="00177FA3" w:rsidP="00177FA3">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6CE640CC" w14:textId="77777777" w:rsidR="00177FA3" w:rsidRPr="00B8106E" w:rsidRDefault="00177FA3" w:rsidP="00177FA3">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5850C280" w14:textId="77777777" w:rsidR="00177FA3" w:rsidRPr="00B8106E" w:rsidRDefault="00177FA3" w:rsidP="00177FA3">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D429406" w14:textId="77777777" w:rsidR="00177FA3" w:rsidRPr="00B8106E" w:rsidRDefault="00177FA3" w:rsidP="00177FA3">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6E3576C1" w14:textId="77777777" w:rsidR="00177FA3" w:rsidRPr="00B8106E" w:rsidRDefault="00177FA3" w:rsidP="00177FA3">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1419BC62" w14:textId="77777777" w:rsidR="00177FA3" w:rsidRPr="00B8106E" w:rsidRDefault="00177FA3" w:rsidP="00177FA3">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7A7683FC" w14:textId="0323EF39" w:rsidR="00177FA3" w:rsidRPr="00177FA3" w:rsidRDefault="00177FA3" w:rsidP="00177FA3">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Pr="003E0AF8">
        <w:rPr>
          <w:bCs/>
        </w:rPr>
        <w:t>{</w:t>
      </w:r>
      <w:proofErr w:type="gramEnd"/>
      <w:r>
        <w:rPr>
          <w:bCs/>
        </w:rPr>
        <w:t xml:space="preserve">% </w:t>
      </w:r>
      <w:proofErr w:type="spellStart"/>
      <w:r w:rsidRPr="003E0AF8">
        <w:rPr>
          <w:bCs/>
        </w:rPr>
        <w:t>if</w:t>
      </w:r>
      <w:proofErr w:type="spellEnd"/>
      <w:r w:rsidRPr="003E0AF8">
        <w:rPr>
          <w:bCs/>
        </w:rPr>
        <w:t xml:space="preserve"> </w:t>
      </w:r>
      <w:proofErr w:type="spellStart"/>
      <w:r w:rsidRPr="003E0AF8">
        <w:rPr>
          <w:bCs/>
        </w:rPr>
        <w:t>Daños_Si</w:t>
      </w:r>
      <w:proofErr w:type="spellEnd"/>
      <w:r w:rsidRPr="003E0AF8">
        <w:rPr>
          <w:bCs/>
        </w:rPr>
        <w:t xml:space="preserve"> </w:t>
      </w:r>
      <w:r>
        <w:rPr>
          <w:bCs/>
        </w:rPr>
        <w:t>%</w:t>
      </w:r>
      <w:r w:rsidRPr="003E0AF8">
        <w:rPr>
          <w:bCs/>
        </w:rPr>
        <w:t>}</w:t>
      </w:r>
    </w:p>
    <w:p w14:paraId="6964F176" w14:textId="4198DD1B" w:rsidR="00CB2428" w:rsidRPr="00CB2428" w:rsidRDefault="00CB2428" w:rsidP="00CB2428">
      <w:pPr>
        <w:pStyle w:val="Prrafodelista"/>
        <w:numPr>
          <w:ilvl w:val="0"/>
          <w:numId w:val="16"/>
        </w:numPr>
        <w:autoSpaceDE w:val="0"/>
        <w:autoSpaceDN w:val="0"/>
        <w:adjustRightInd w:val="0"/>
        <w:jc w:val="both"/>
        <w:rPr>
          <w:b/>
        </w:rPr>
      </w:pPr>
      <w:bookmarkStart w:id="3" w:name="_Hlk73292622"/>
      <w:r w:rsidRPr="00CB2428">
        <w:rPr>
          <w:b/>
        </w:rPr>
        <w:t>SOLICITO FIJE INDEMNIZACION POR DAÑOS</w:t>
      </w:r>
    </w:p>
    <w:p w14:paraId="609033AD" w14:textId="77777777" w:rsidR="00CB2428" w:rsidRDefault="00CB2428" w:rsidP="00CB2428">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171B5EB3" w14:textId="77777777" w:rsidR="00CB2428" w:rsidRDefault="00CB2428" w:rsidP="00CB2428">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100CAD41" w14:textId="77777777" w:rsidR="00CB2428" w:rsidRDefault="00CB2428" w:rsidP="00CB2428">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515F613E" w14:textId="77777777" w:rsidR="00CB2428" w:rsidRDefault="00CB2428" w:rsidP="00CB2428">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53225E11" w14:textId="77777777" w:rsidR="00CB2428" w:rsidRPr="005C0B8B" w:rsidRDefault="00CB2428" w:rsidP="00CB2428">
      <w:pPr>
        <w:pStyle w:val="NormalWeb"/>
        <w:ind w:firstLine="1276"/>
        <w:jc w:val="both"/>
      </w:pPr>
      <w:r>
        <w:t>Por todo lo expuesto, solicito que se condene a ANSES a abonar una indemnización por los daños ocasionados o, en su defecto, a actualizar y pagar la deuda de manera integral y conforme a derecho.</w:t>
      </w:r>
      <w:r w:rsidRPr="00544398">
        <w:t xml:space="preserve"> </w:t>
      </w:r>
      <w:r>
        <w:t xml:space="preserve">{% </w:t>
      </w:r>
      <w:proofErr w:type="spellStart"/>
      <w:r>
        <w:t>endif</w:t>
      </w:r>
      <w:proofErr w:type="spellEnd"/>
      <w:r>
        <w:t xml:space="preserve"> %}</w:t>
      </w:r>
    </w:p>
    <w:p w14:paraId="2979A87A" w14:textId="77777777" w:rsidR="008F5ED6" w:rsidRDefault="008F5ED6" w:rsidP="003833D6">
      <w:pPr>
        <w:autoSpaceDE w:val="0"/>
        <w:autoSpaceDN w:val="0"/>
        <w:adjustRightInd w:val="0"/>
        <w:spacing w:line="276" w:lineRule="auto"/>
        <w:rPr>
          <w:b/>
        </w:rPr>
      </w:pPr>
    </w:p>
    <w:bookmarkEnd w:id="3"/>
    <w:p w14:paraId="3B410D3D" w14:textId="77777777" w:rsidR="008F5ED6" w:rsidRPr="00241391" w:rsidRDefault="00E8321E" w:rsidP="00CB2428">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CB2428">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4"/>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85217" w14:textId="77777777" w:rsidR="00E7504D" w:rsidRDefault="00E7504D" w:rsidP="00544398">
      <w:r>
        <w:separator/>
      </w:r>
    </w:p>
  </w:endnote>
  <w:endnote w:type="continuationSeparator" w:id="0">
    <w:p w14:paraId="1760CC2C" w14:textId="77777777" w:rsidR="00E7504D" w:rsidRDefault="00E7504D"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CDD8B" w14:textId="77777777" w:rsidR="00E7504D" w:rsidRDefault="00E7504D" w:rsidP="00544398">
      <w:r>
        <w:separator/>
      </w:r>
    </w:p>
  </w:footnote>
  <w:footnote w:type="continuationSeparator" w:id="0">
    <w:p w14:paraId="3B2338F8" w14:textId="77777777" w:rsidR="00E7504D" w:rsidRDefault="00E7504D" w:rsidP="00544398">
      <w:r>
        <w:continuationSeparator/>
      </w:r>
    </w:p>
  </w:footnote>
  <w:footnote w:id="1">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2">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682E57"/>
    <w:multiLevelType w:val="hybridMultilevel"/>
    <w:tmpl w:val="2A380152"/>
    <w:lvl w:ilvl="0" w:tplc="FFFFFFFF">
      <w:start w:val="1"/>
      <w:numFmt w:val="upperRoman"/>
      <w:lvlText w:val="%1."/>
      <w:lvlJc w:val="left"/>
      <w:pPr>
        <w:ind w:left="2138"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4"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7"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8"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30"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3"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4"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6"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4"/>
  </w:num>
  <w:num w:numId="2" w16cid:durableId="1600212071">
    <w:abstractNumId w:val="13"/>
  </w:num>
  <w:num w:numId="3" w16cid:durableId="1342315452">
    <w:abstractNumId w:val="22"/>
  </w:num>
  <w:num w:numId="4" w16cid:durableId="864562971">
    <w:abstractNumId w:val="20"/>
  </w:num>
  <w:num w:numId="5" w16cid:durableId="1284769367">
    <w:abstractNumId w:val="16"/>
  </w:num>
  <w:num w:numId="6" w16cid:durableId="1795365187">
    <w:abstractNumId w:val="17"/>
  </w:num>
  <w:num w:numId="7" w16cid:durableId="1170752928">
    <w:abstractNumId w:val="37"/>
  </w:num>
  <w:num w:numId="8" w16cid:durableId="1367294735">
    <w:abstractNumId w:val="32"/>
  </w:num>
  <w:num w:numId="9" w16cid:durableId="1336300671">
    <w:abstractNumId w:val="4"/>
  </w:num>
  <w:num w:numId="10" w16cid:durableId="1407145883">
    <w:abstractNumId w:val="14"/>
  </w:num>
  <w:num w:numId="11" w16cid:durableId="566721429">
    <w:abstractNumId w:val="21"/>
  </w:num>
  <w:num w:numId="12" w16cid:durableId="1323895501">
    <w:abstractNumId w:val="6"/>
  </w:num>
  <w:num w:numId="13" w16cid:durableId="115294145">
    <w:abstractNumId w:val="34"/>
  </w:num>
  <w:num w:numId="14" w16cid:durableId="159196915">
    <w:abstractNumId w:val="3"/>
  </w:num>
  <w:num w:numId="15" w16cid:durableId="2018654246">
    <w:abstractNumId w:val="0"/>
  </w:num>
  <w:num w:numId="16" w16cid:durableId="1354382975">
    <w:abstractNumId w:val="11"/>
  </w:num>
  <w:num w:numId="17" w16cid:durableId="1093550295">
    <w:abstractNumId w:val="23"/>
  </w:num>
  <w:num w:numId="18" w16cid:durableId="756706749">
    <w:abstractNumId w:val="19"/>
  </w:num>
  <w:num w:numId="19" w16cid:durableId="847016816">
    <w:abstractNumId w:val="10"/>
  </w:num>
  <w:num w:numId="20" w16cid:durableId="1501844448">
    <w:abstractNumId w:val="30"/>
  </w:num>
  <w:num w:numId="21" w16cid:durableId="2004506740">
    <w:abstractNumId w:val="35"/>
  </w:num>
  <w:num w:numId="22" w16cid:durableId="406803876">
    <w:abstractNumId w:val="9"/>
  </w:num>
  <w:num w:numId="23" w16cid:durableId="1217398269">
    <w:abstractNumId w:val="1"/>
  </w:num>
  <w:num w:numId="24" w16cid:durableId="1849785174">
    <w:abstractNumId w:val="15"/>
  </w:num>
  <w:num w:numId="25" w16cid:durableId="1974871344">
    <w:abstractNumId w:val="27"/>
  </w:num>
  <w:num w:numId="26" w16cid:durableId="1270091708">
    <w:abstractNumId w:val="31"/>
  </w:num>
  <w:num w:numId="27" w16cid:durableId="1624530318">
    <w:abstractNumId w:val="25"/>
  </w:num>
  <w:num w:numId="28" w16cid:durableId="1540510589">
    <w:abstractNumId w:val="38"/>
  </w:num>
  <w:num w:numId="29" w16cid:durableId="439647541">
    <w:abstractNumId w:val="36"/>
  </w:num>
  <w:num w:numId="30" w16cid:durableId="665287627">
    <w:abstractNumId w:val="2"/>
  </w:num>
  <w:num w:numId="31" w16cid:durableId="1637177647">
    <w:abstractNumId w:val="8"/>
  </w:num>
  <w:num w:numId="32" w16cid:durableId="582449680">
    <w:abstractNumId w:val="29"/>
  </w:num>
  <w:num w:numId="33" w16cid:durableId="2144149594">
    <w:abstractNumId w:val="12"/>
  </w:num>
  <w:num w:numId="34" w16cid:durableId="1099907425">
    <w:abstractNumId w:val="33"/>
  </w:num>
  <w:num w:numId="35" w16cid:durableId="1533423364">
    <w:abstractNumId w:val="28"/>
  </w:num>
  <w:num w:numId="36" w16cid:durableId="1916936594">
    <w:abstractNumId w:val="5"/>
  </w:num>
  <w:num w:numId="37" w16cid:durableId="238104440">
    <w:abstractNumId w:val="26"/>
  </w:num>
  <w:num w:numId="38" w16cid:durableId="1373535283">
    <w:abstractNumId w:val="25"/>
  </w:num>
  <w:num w:numId="39" w16cid:durableId="183566915">
    <w:abstractNumId w:val="38"/>
  </w:num>
  <w:num w:numId="40" w16cid:durableId="69893606">
    <w:abstractNumId w:val="36"/>
  </w:num>
  <w:num w:numId="41" w16cid:durableId="644896618">
    <w:abstractNumId w:val="31"/>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88201742">
    <w:abstractNumId w:val="18"/>
  </w:num>
  <w:num w:numId="44" w16cid:durableId="20797486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E61"/>
    <w:rsid w:val="00062E38"/>
    <w:rsid w:val="00074B2A"/>
    <w:rsid w:val="000755A2"/>
    <w:rsid w:val="000763A6"/>
    <w:rsid w:val="00076BAB"/>
    <w:rsid w:val="000838FF"/>
    <w:rsid w:val="0008570B"/>
    <w:rsid w:val="00090184"/>
    <w:rsid w:val="00090D64"/>
    <w:rsid w:val="000934BB"/>
    <w:rsid w:val="000A0A1B"/>
    <w:rsid w:val="000A486C"/>
    <w:rsid w:val="000B05C2"/>
    <w:rsid w:val="000B24DF"/>
    <w:rsid w:val="000C0216"/>
    <w:rsid w:val="000C10B7"/>
    <w:rsid w:val="000C3B50"/>
    <w:rsid w:val="000C62AC"/>
    <w:rsid w:val="000D3E80"/>
    <w:rsid w:val="000D4D00"/>
    <w:rsid w:val="000D7C9A"/>
    <w:rsid w:val="000E0CD9"/>
    <w:rsid w:val="000E250F"/>
    <w:rsid w:val="000E2A73"/>
    <w:rsid w:val="000E548B"/>
    <w:rsid w:val="000F16D1"/>
    <w:rsid w:val="000F1F8D"/>
    <w:rsid w:val="00112CAC"/>
    <w:rsid w:val="00112F4F"/>
    <w:rsid w:val="00116073"/>
    <w:rsid w:val="001273E5"/>
    <w:rsid w:val="0013482A"/>
    <w:rsid w:val="00135F1C"/>
    <w:rsid w:val="00141654"/>
    <w:rsid w:val="00141745"/>
    <w:rsid w:val="00146DD4"/>
    <w:rsid w:val="0014761B"/>
    <w:rsid w:val="00147A35"/>
    <w:rsid w:val="00152810"/>
    <w:rsid w:val="00154ADC"/>
    <w:rsid w:val="00164162"/>
    <w:rsid w:val="001742C0"/>
    <w:rsid w:val="00177FA3"/>
    <w:rsid w:val="00181FA5"/>
    <w:rsid w:val="00184728"/>
    <w:rsid w:val="00185189"/>
    <w:rsid w:val="001871C5"/>
    <w:rsid w:val="00190341"/>
    <w:rsid w:val="001A311D"/>
    <w:rsid w:val="001B4137"/>
    <w:rsid w:val="001B447F"/>
    <w:rsid w:val="001C182E"/>
    <w:rsid w:val="001C7BBB"/>
    <w:rsid w:val="001D25B4"/>
    <w:rsid w:val="001D5D6F"/>
    <w:rsid w:val="001D7666"/>
    <w:rsid w:val="001E741B"/>
    <w:rsid w:val="001F09E7"/>
    <w:rsid w:val="00206EB7"/>
    <w:rsid w:val="00210555"/>
    <w:rsid w:val="00211CD5"/>
    <w:rsid w:val="0021350B"/>
    <w:rsid w:val="0021598D"/>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67E7B"/>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7CEE"/>
    <w:rsid w:val="003F4A9A"/>
    <w:rsid w:val="003F4BB6"/>
    <w:rsid w:val="003F660A"/>
    <w:rsid w:val="003F6FC2"/>
    <w:rsid w:val="003F7058"/>
    <w:rsid w:val="0040567A"/>
    <w:rsid w:val="00415B86"/>
    <w:rsid w:val="00421625"/>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865"/>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3130"/>
    <w:rsid w:val="00544398"/>
    <w:rsid w:val="00546760"/>
    <w:rsid w:val="005621F0"/>
    <w:rsid w:val="00573797"/>
    <w:rsid w:val="005757AA"/>
    <w:rsid w:val="00586D8A"/>
    <w:rsid w:val="00591A76"/>
    <w:rsid w:val="00593286"/>
    <w:rsid w:val="005974DD"/>
    <w:rsid w:val="00597F57"/>
    <w:rsid w:val="005B340D"/>
    <w:rsid w:val="005B4972"/>
    <w:rsid w:val="005B52C6"/>
    <w:rsid w:val="005B5B85"/>
    <w:rsid w:val="005C48BE"/>
    <w:rsid w:val="005C68DD"/>
    <w:rsid w:val="005C748E"/>
    <w:rsid w:val="005D0514"/>
    <w:rsid w:val="005E397D"/>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A41E5"/>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AA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212E"/>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45469"/>
    <w:rsid w:val="00B51D41"/>
    <w:rsid w:val="00B55B11"/>
    <w:rsid w:val="00B578C6"/>
    <w:rsid w:val="00B61F4E"/>
    <w:rsid w:val="00B63838"/>
    <w:rsid w:val="00B664E4"/>
    <w:rsid w:val="00B66E1C"/>
    <w:rsid w:val="00B675C6"/>
    <w:rsid w:val="00B67FAA"/>
    <w:rsid w:val="00B7083F"/>
    <w:rsid w:val="00B73753"/>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30C4"/>
    <w:rsid w:val="00C131D6"/>
    <w:rsid w:val="00C20A19"/>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0C86"/>
    <w:rsid w:val="00CB2428"/>
    <w:rsid w:val="00CB26C0"/>
    <w:rsid w:val="00CB50D6"/>
    <w:rsid w:val="00CC0E54"/>
    <w:rsid w:val="00CC1EBB"/>
    <w:rsid w:val="00CC3EB2"/>
    <w:rsid w:val="00CC4E97"/>
    <w:rsid w:val="00CD7A93"/>
    <w:rsid w:val="00CD7E18"/>
    <w:rsid w:val="00CE0E01"/>
    <w:rsid w:val="00CE2D36"/>
    <w:rsid w:val="00CE570C"/>
    <w:rsid w:val="00CE6399"/>
    <w:rsid w:val="00CF0EC7"/>
    <w:rsid w:val="00D17C8B"/>
    <w:rsid w:val="00D51A3A"/>
    <w:rsid w:val="00D55C07"/>
    <w:rsid w:val="00D56466"/>
    <w:rsid w:val="00D605C5"/>
    <w:rsid w:val="00D623F1"/>
    <w:rsid w:val="00D67A8F"/>
    <w:rsid w:val="00D9646F"/>
    <w:rsid w:val="00DB0EB7"/>
    <w:rsid w:val="00DB2AB9"/>
    <w:rsid w:val="00DC3885"/>
    <w:rsid w:val="00DC4E56"/>
    <w:rsid w:val="00DC57B8"/>
    <w:rsid w:val="00DD0142"/>
    <w:rsid w:val="00DD4BC1"/>
    <w:rsid w:val="00DD67BD"/>
    <w:rsid w:val="00DE444A"/>
    <w:rsid w:val="00E105F7"/>
    <w:rsid w:val="00E3089A"/>
    <w:rsid w:val="00E3636E"/>
    <w:rsid w:val="00E55496"/>
    <w:rsid w:val="00E655B4"/>
    <w:rsid w:val="00E70F3F"/>
    <w:rsid w:val="00E7504D"/>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E7477"/>
    <w:rsid w:val="00EF4C5E"/>
    <w:rsid w:val="00F002ED"/>
    <w:rsid w:val="00F00379"/>
    <w:rsid w:val="00F017DD"/>
    <w:rsid w:val="00F038D9"/>
    <w:rsid w:val="00F064F6"/>
    <w:rsid w:val="00F13496"/>
    <w:rsid w:val="00F1712F"/>
    <w:rsid w:val="00F229CE"/>
    <w:rsid w:val="00F23CB2"/>
    <w:rsid w:val="00F35768"/>
    <w:rsid w:val="00F35E42"/>
    <w:rsid w:val="00F36E0D"/>
    <w:rsid w:val="00F40BBD"/>
    <w:rsid w:val="00F41ACD"/>
    <w:rsid w:val="00F46993"/>
    <w:rsid w:val="00F62AEF"/>
    <w:rsid w:val="00F700D6"/>
    <w:rsid w:val="00F729C8"/>
    <w:rsid w:val="00F80218"/>
    <w:rsid w:val="00F80F75"/>
    <w:rsid w:val="00F83DDC"/>
    <w:rsid w:val="00F85DDE"/>
    <w:rsid w:val="00F85F45"/>
    <w:rsid w:val="00F87E2D"/>
    <w:rsid w:val="00FB016B"/>
    <w:rsid w:val="00FC39FE"/>
    <w:rsid w:val="00FC555D"/>
    <w:rsid w:val="00FD078E"/>
    <w:rsid w:val="00FD3CE4"/>
    <w:rsid w:val="00FD53B5"/>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 w:type="paragraph" w:styleId="NormalWeb">
    <w:name w:val="Normal (Web)"/>
    <w:basedOn w:val="Normal"/>
    <w:uiPriority w:val="99"/>
    <w:unhideWhenUsed/>
    <w:rsid w:val="000A486C"/>
    <w:pPr>
      <w:spacing w:before="100" w:beforeAutospacing="1" w:after="100" w:afterAutospacing="1"/>
    </w:pPr>
    <w:rPr>
      <w:lang w:val="es-AR" w:eastAsia="es-AR"/>
    </w:rPr>
  </w:style>
  <w:style w:type="character" w:styleId="nfasis">
    <w:name w:val="Emphasis"/>
    <w:basedOn w:val="Fuentedeprrafopredeter"/>
    <w:uiPriority w:val="20"/>
    <w:qFormat/>
    <w:rsid w:val="000A486C"/>
    <w:rPr>
      <w:rFonts w:cs="Times New Roman"/>
      <w:i/>
      <w:iCs/>
    </w:rPr>
  </w:style>
  <w:style w:type="character" w:styleId="Textoennegrita">
    <w:name w:val="Strong"/>
    <w:basedOn w:val="Fuentedeprrafopredeter"/>
    <w:uiPriority w:val="22"/>
    <w:qFormat/>
    <w:rsid w:val="002159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rvicios.infoleg.gob.ar/infolegInternet/anexos/40000-44999/44974/texact.htm" TargetMode="External"/><Relationship Id="rId13" Type="http://schemas.openxmlformats.org/officeDocument/2006/relationships/hyperlink" Target="https://sjconsulta.csjn.gov.ar/sjconsulta/documentos/verDocumentoByIdLinksJSP.html?idDocumento=5796151"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jconsulta.csjn.gov.ar/sjconsulta/documentos/verDocumentoSumario.html?idDocumentoSumario=24586" TargetMode="External"/><Relationship Id="rId17" Type="http://schemas.openxmlformats.org/officeDocument/2006/relationships/hyperlink" Target="https://sjconsulta.csjn.gov.ar/sjconsulta/documentos/verDocumentoByIdLinksJSP.html?idDocumento=6398361&amp;cache=1628881211401" TargetMode="Externa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7717371"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sjn.gov.ar/homeSJ/notas/nota/22/documento" TargetMode="External"/><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6359051" TargetMode="Externa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onsulta.csjn.gov.ar/sjconsulta/documentos/verDocumentoByIdLinksJSP.html?idDocumento=5838941"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22</Pages>
  <Words>8151</Words>
  <Characters>44579</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52625</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36</cp:revision>
  <cp:lastPrinted>2023-01-02T11:50:00Z</cp:lastPrinted>
  <dcterms:created xsi:type="dcterms:W3CDTF">2024-12-12T03:38:00Z</dcterms:created>
  <dcterms:modified xsi:type="dcterms:W3CDTF">2025-01-12T19:35:00Z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