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E3345" w14:textId="77777777" w:rsidR="00AE45C3" w:rsidRDefault="00AE45C3" w:rsidP="00AE45C3">
      <w:pPr>
        <w:autoSpaceDE w:val="0"/>
        <w:autoSpaceDN w:val="0"/>
        <w:adjustRightInd w:val="0"/>
        <w:spacing w:line="276" w:lineRule="auto"/>
        <w:jc w:val="both"/>
      </w:pPr>
      <w:bookmarkStart w:id="0" w:name="_Hlk536778973"/>
      <w:r>
        <w:rPr>
          <w:b/>
          <w:bCs/>
          <w:u w:val="single"/>
        </w:rPr>
        <w:t>ADJUNTO PLANILLA AMPLIATORIA</w:t>
      </w:r>
    </w:p>
    <w:p w14:paraId="5361B5A8" w14:textId="77777777" w:rsidR="00AE45C3" w:rsidRDefault="00AE45C3" w:rsidP="00AE45C3">
      <w:pPr>
        <w:autoSpaceDE w:val="0"/>
        <w:autoSpaceDN w:val="0"/>
        <w:adjustRightInd w:val="0"/>
        <w:spacing w:line="276" w:lineRule="auto"/>
        <w:jc w:val="both"/>
      </w:pPr>
    </w:p>
    <w:p w14:paraId="6682D4D5" w14:textId="77777777" w:rsidR="00AE45C3" w:rsidRPr="00241391" w:rsidRDefault="00AE45C3" w:rsidP="00AE45C3">
      <w:pPr>
        <w:autoSpaceDE w:val="0"/>
        <w:autoSpaceDN w:val="0"/>
        <w:adjustRightInd w:val="0"/>
        <w:spacing w:line="276" w:lineRule="auto"/>
        <w:jc w:val="both"/>
      </w:pPr>
      <w:r w:rsidRPr="00241391">
        <w:t>Señor Juez:</w:t>
      </w:r>
    </w:p>
    <w:p w14:paraId="442BD14F" w14:textId="77777777" w:rsidR="00AE45C3" w:rsidRDefault="00AE45C3" w:rsidP="00AE45C3">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6009AD0C" w14:textId="77777777" w:rsidR="00AE45C3" w:rsidRDefault="00AE45C3" w:rsidP="00AE45C3">
      <w:pPr>
        <w:autoSpaceDE w:val="0"/>
        <w:autoSpaceDN w:val="0"/>
        <w:adjustRightInd w:val="0"/>
        <w:spacing w:line="276" w:lineRule="auto"/>
        <w:ind w:firstLine="1134"/>
        <w:jc w:val="both"/>
      </w:pPr>
    </w:p>
    <w:p w14:paraId="6E408E08" w14:textId="77777777" w:rsidR="00AE45C3" w:rsidRDefault="00AE45C3" w:rsidP="00AE45C3">
      <w:pPr>
        <w:autoSpaceDE w:val="0"/>
        <w:autoSpaceDN w:val="0"/>
        <w:adjustRightInd w:val="0"/>
        <w:spacing w:line="276" w:lineRule="auto"/>
        <w:ind w:firstLine="1134"/>
        <w:jc w:val="both"/>
      </w:pPr>
    </w:p>
    <w:p w14:paraId="3D95BF98" w14:textId="77777777" w:rsidR="00AE45C3" w:rsidRPr="0045440C" w:rsidRDefault="00AE45C3" w:rsidP="00AE45C3">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34E3F945" w14:textId="77777777" w:rsidR="00AE45C3" w:rsidRDefault="00AE45C3" w:rsidP="00AE45C3">
      <w:pPr>
        <w:numPr>
          <w:ilvl w:val="0"/>
          <w:numId w:val="18"/>
        </w:numPr>
        <w:autoSpaceDE w:val="0"/>
        <w:autoSpaceDN w:val="0"/>
        <w:adjustRightInd w:val="0"/>
        <w:spacing w:line="276" w:lineRule="auto"/>
        <w:jc w:val="both"/>
      </w:pPr>
      <w:r>
        <w:t>Adjunto planilla ampliatoria</w:t>
      </w:r>
    </w:p>
    <w:p w14:paraId="28DE97BF" w14:textId="77777777" w:rsidR="00AE45C3" w:rsidRPr="0045440C" w:rsidRDefault="00AE45C3" w:rsidP="00AE45C3">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7E703F64" w14:textId="77777777" w:rsidR="00AE45C3" w:rsidRPr="0045440C" w:rsidRDefault="00AE45C3" w:rsidP="00AE45C3">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xml:space="preserve">{% </w:t>
      </w:r>
      <w:proofErr w:type="spellStart"/>
      <w:r>
        <w:t>endif</w:t>
      </w:r>
      <w:proofErr w:type="spellEnd"/>
      <w:r>
        <w:t xml:space="preserve"> %}</w:t>
      </w:r>
    </w:p>
    <w:p w14:paraId="333CEAB2" w14:textId="77777777" w:rsidR="00AE45C3" w:rsidRDefault="00AE45C3" w:rsidP="00AE45C3">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430482CF" w14:textId="77777777" w:rsidR="00AE45C3" w:rsidRDefault="00AE45C3" w:rsidP="00AE45C3">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p>
    <w:p w14:paraId="1F1B185E" w14:textId="77777777" w:rsidR="00AE45C3" w:rsidRDefault="00AE45C3" w:rsidP="00AE45C3">
      <w:pPr>
        <w:numPr>
          <w:ilvl w:val="0"/>
          <w:numId w:val="18"/>
        </w:numPr>
        <w:autoSpaceDE w:val="0"/>
        <w:autoSpaceDN w:val="0"/>
        <w:adjustRightInd w:val="0"/>
        <w:spacing w:line="276" w:lineRule="auto"/>
        <w:jc w:val="both"/>
      </w:pPr>
      <w:r>
        <w:t>Dejo planteada la inconstitucionalidad de la ley 27.609.</w:t>
      </w:r>
    </w:p>
    <w:p w14:paraId="6D828777" w14:textId="77777777" w:rsidR="00AE45C3" w:rsidRDefault="00AE45C3" w:rsidP="00AE45C3">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 </w:t>
      </w:r>
      <w:proofErr w:type="spellStart"/>
      <w:r>
        <w:t>if</w:t>
      </w:r>
      <w:proofErr w:type="spellEnd"/>
      <w:r>
        <w:t xml:space="preserve"> </w:t>
      </w:r>
      <w:proofErr w:type="spellStart"/>
      <w:r w:rsidRPr="000F370A">
        <w:t>Edad_Avanzada_Si</w:t>
      </w:r>
      <w:proofErr w:type="spellEnd"/>
      <w:r>
        <w:t xml:space="preserve"> %}</w:t>
      </w:r>
    </w:p>
    <w:p w14:paraId="4393DEB6" w14:textId="77777777" w:rsidR="00AE45C3" w:rsidRDefault="00AE45C3" w:rsidP="00AE45C3">
      <w:pPr>
        <w:numPr>
          <w:ilvl w:val="0"/>
          <w:numId w:val="18"/>
        </w:numPr>
        <w:autoSpaceDE w:val="0"/>
        <w:autoSpaceDN w:val="0"/>
        <w:adjustRightInd w:val="0"/>
        <w:spacing w:line="276" w:lineRule="auto"/>
        <w:jc w:val="both"/>
      </w:pPr>
      <w:r>
        <w:t xml:space="preserve">Solicito prioridad de pago debido a la edad avanzada de mi mandante. {% </w:t>
      </w:r>
      <w:proofErr w:type="spellStart"/>
      <w:r>
        <w:t>endif</w:t>
      </w:r>
      <w:proofErr w:type="spellEnd"/>
      <w:r>
        <w:t xml:space="preserve"> %}</w:t>
      </w:r>
    </w:p>
    <w:p w14:paraId="1AD3B6F9" w14:textId="77777777" w:rsidR="00AE45C3" w:rsidRDefault="00AE45C3" w:rsidP="00AE45C3">
      <w:pPr>
        <w:autoSpaceDE w:val="0"/>
        <w:autoSpaceDN w:val="0"/>
        <w:adjustRightInd w:val="0"/>
        <w:spacing w:line="276" w:lineRule="auto"/>
        <w:ind w:firstLine="1134"/>
        <w:jc w:val="both"/>
      </w:pPr>
    </w:p>
    <w:p w14:paraId="471F338A" w14:textId="77777777" w:rsidR="00AE45C3" w:rsidRDefault="00AE45C3" w:rsidP="00AE45C3">
      <w:pPr>
        <w:numPr>
          <w:ilvl w:val="0"/>
          <w:numId w:val="16"/>
        </w:numPr>
        <w:autoSpaceDE w:val="0"/>
        <w:autoSpaceDN w:val="0"/>
        <w:adjustRightInd w:val="0"/>
        <w:spacing w:line="276" w:lineRule="auto"/>
        <w:jc w:val="both"/>
        <w:rPr>
          <w:b/>
          <w:bCs/>
        </w:rPr>
      </w:pPr>
      <w:r>
        <w:rPr>
          <w:b/>
          <w:bCs/>
        </w:rPr>
        <w:t xml:space="preserve">Amplia liquidación </w:t>
      </w:r>
    </w:p>
    <w:p w14:paraId="1309211C" w14:textId="77777777" w:rsidR="00AE45C3" w:rsidRDefault="00AE45C3" w:rsidP="00AE45C3">
      <w:pPr>
        <w:autoSpaceDE w:val="0"/>
        <w:autoSpaceDN w:val="0"/>
        <w:adjustRightInd w:val="0"/>
        <w:spacing w:line="276" w:lineRule="auto"/>
        <w:ind w:left="1134"/>
        <w:jc w:val="both"/>
      </w:pPr>
      <w:r>
        <w:t>El {{</w:t>
      </w:r>
      <w:r w:rsidRPr="003F7058">
        <w:t xml:space="preserve"> </w:t>
      </w:r>
      <w:proofErr w:type="spellStart"/>
      <w:r w:rsidRPr="003F7058">
        <w:t>fecha_aprobacion_planilla</w:t>
      </w:r>
      <w:proofErr w:type="spellEnd"/>
      <w:r>
        <w:t xml:space="preserve"> }} el juez de grado aprobó la liquidación de esta parte</w:t>
      </w:r>
    </w:p>
    <w:p w14:paraId="6047D8D5" w14:textId="77777777" w:rsidR="00AE45C3" w:rsidRDefault="00AE45C3" w:rsidP="00AE45C3">
      <w:pPr>
        <w:autoSpaceDE w:val="0"/>
        <w:autoSpaceDN w:val="0"/>
        <w:adjustRightInd w:val="0"/>
        <w:spacing w:line="276" w:lineRule="auto"/>
        <w:jc w:val="both"/>
      </w:pPr>
    </w:p>
    <w:p w14:paraId="3F563CEB" w14:textId="77777777" w:rsidR="00AE45C3" w:rsidRPr="003E7CEE" w:rsidRDefault="00AE45C3" w:rsidP="00AE45C3">
      <w:pPr>
        <w:numPr>
          <w:ilvl w:val="0"/>
          <w:numId w:val="16"/>
        </w:numPr>
        <w:autoSpaceDE w:val="0"/>
        <w:autoSpaceDN w:val="0"/>
        <w:adjustRightInd w:val="0"/>
        <w:spacing w:line="276" w:lineRule="auto"/>
        <w:jc w:val="both"/>
        <w:rPr>
          <w:b/>
          <w:bCs/>
        </w:rPr>
      </w:pPr>
      <w:r>
        <w:rPr>
          <w:b/>
          <w:bCs/>
        </w:rPr>
        <w:t>Adjunto liquidación</w:t>
      </w:r>
    </w:p>
    <w:p w14:paraId="6A6BDF88" w14:textId="77777777" w:rsidR="00AE45C3" w:rsidRPr="003F7058" w:rsidRDefault="00AE45C3" w:rsidP="00AE45C3">
      <w:pPr>
        <w:autoSpaceDE w:val="0"/>
        <w:autoSpaceDN w:val="0"/>
        <w:adjustRightInd w:val="0"/>
        <w:spacing w:line="276" w:lineRule="auto"/>
        <w:ind w:firstLine="1134"/>
        <w:jc w:val="both"/>
        <w:rPr>
          <w:bCs/>
          <w:lang w:val="es-AR"/>
        </w:rPr>
      </w:pPr>
      <w:r>
        <w:rPr>
          <w:bCs/>
        </w:rPr>
        <w:t xml:space="preserve">Que vengo iniciar ejecución de sentencia por las diferencias adeudadas, no obstante existir una liquidación aprobada por VS, adjunto </w:t>
      </w:r>
      <w:r>
        <w:rPr>
          <w:bCs/>
        </w:rPr>
        <w:lastRenderedPageBreak/>
        <w:t>retroactivo por todo el período que va desde el {{</w:t>
      </w:r>
      <w:r w:rsidRPr="002C1433">
        <w:rPr>
          <w:b/>
          <w:bCs/>
        </w:rPr>
        <w:t xml:space="preserve"> </w:t>
      </w:r>
      <w:proofErr w:type="spellStart"/>
      <w:r w:rsidRPr="002C1433">
        <w:t>Fecha_Inicial_de_Pago</w:t>
      </w:r>
      <w:proofErr w:type="spellEnd"/>
      <w:r w:rsidRPr="002C1433">
        <w:rPr>
          <w:lang w:val="es-AR"/>
        </w:rPr>
        <w:t xml:space="preserve"> </w:t>
      </w:r>
      <w:r>
        <w:rPr>
          <w:bCs/>
          <w:lang w:val="es-AR"/>
        </w:rPr>
        <w:t>}}</w:t>
      </w:r>
      <w:r w:rsidRPr="00BE3584">
        <w:rPr>
          <w:bCs/>
        </w:rPr>
        <w:t xml:space="preserve"> </w:t>
      </w:r>
      <w:r>
        <w:rPr>
          <w:bCs/>
        </w:rPr>
        <w:t>al</w:t>
      </w:r>
      <w:r w:rsidRPr="00BE3584">
        <w:rPr>
          <w:bCs/>
        </w:rPr>
        <w:t xml:space="preserve"> </w:t>
      </w:r>
      <w:r>
        <w:rPr>
          <w:bCs/>
        </w:rPr>
        <w:t>{{</w:t>
      </w:r>
      <w:r w:rsidRPr="00E845FC">
        <w:rPr>
          <w:b/>
          <w:bCs/>
        </w:rPr>
        <w:t xml:space="preserve"> </w:t>
      </w:r>
      <w:proofErr w:type="spellStart"/>
      <w:r w:rsidRPr="00E845FC">
        <w:t>Fecha_de_cierre_de_liquidación</w:t>
      </w:r>
      <w:proofErr w:type="spellEnd"/>
      <w:r>
        <w:rPr>
          <w:bCs/>
          <w:lang w:val="es-AR"/>
        </w:rPr>
        <w:t xml:space="preserve"> }}</w:t>
      </w:r>
      <w:r>
        <w:rPr>
          <w:bCs/>
        </w:rPr>
        <w:t>.</w:t>
      </w:r>
    </w:p>
    <w:p w14:paraId="476B4E48" w14:textId="77777777" w:rsidR="00AE45C3" w:rsidRDefault="00AE45C3" w:rsidP="00AE45C3">
      <w:pPr>
        <w:autoSpaceDE w:val="0"/>
        <w:autoSpaceDN w:val="0"/>
        <w:adjustRightInd w:val="0"/>
        <w:spacing w:line="276" w:lineRule="auto"/>
        <w:jc w:val="both"/>
      </w:pPr>
    </w:p>
    <w:p w14:paraId="7AA6ECE1" w14:textId="77777777" w:rsidR="00AE45C3" w:rsidRDefault="00AE45C3" w:rsidP="00AE45C3">
      <w:pPr>
        <w:numPr>
          <w:ilvl w:val="0"/>
          <w:numId w:val="16"/>
        </w:numPr>
        <w:autoSpaceDE w:val="0"/>
        <w:autoSpaceDN w:val="0"/>
        <w:adjustRightInd w:val="0"/>
        <w:spacing w:line="276" w:lineRule="auto"/>
        <w:ind w:left="0" w:firstLine="1134"/>
        <w:jc w:val="both"/>
      </w:pP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70DA73F0" w14:textId="77777777" w:rsidR="00AE45C3" w:rsidRDefault="00AE45C3" w:rsidP="00AE45C3">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079EB64D" w14:textId="77777777" w:rsidR="00AE45C3" w:rsidRDefault="00AE45C3" w:rsidP="00AE45C3">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6EC4620A" w14:textId="77777777" w:rsidR="00AE45C3" w:rsidRDefault="00AE45C3" w:rsidP="00AE45C3">
      <w:pPr>
        <w:autoSpaceDE w:val="0"/>
        <w:autoSpaceDN w:val="0"/>
        <w:adjustRightInd w:val="0"/>
        <w:spacing w:line="276" w:lineRule="auto"/>
        <w:ind w:left="1134"/>
        <w:jc w:val="both"/>
      </w:pPr>
      <w:r>
        <w:t>Sentencia de 2 da instancia,  {{</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7EF21111" w14:textId="77777777" w:rsidR="00AE45C3" w:rsidRDefault="00AE45C3" w:rsidP="00AE45C3">
      <w:pPr>
        <w:autoSpaceDE w:val="0"/>
        <w:autoSpaceDN w:val="0"/>
        <w:adjustRightInd w:val="0"/>
        <w:spacing w:line="276" w:lineRule="auto"/>
        <w:ind w:left="1134"/>
        <w:jc w:val="both"/>
      </w:pPr>
      <w:r>
        <w:t>Aprobación de liquidación al {{</w:t>
      </w:r>
      <w:r w:rsidRPr="003F7058">
        <w:t xml:space="preserve"> </w:t>
      </w:r>
      <w:proofErr w:type="spellStart"/>
      <w:r w:rsidRPr="003F7058">
        <w:t>fecha_aprobacion_planilla</w:t>
      </w:r>
      <w:proofErr w:type="spellEnd"/>
      <w:r>
        <w:t xml:space="preserve"> }}.</w:t>
      </w:r>
    </w:p>
    <w:p w14:paraId="2785A7B2" w14:textId="77777777" w:rsidR="00AE45C3" w:rsidRDefault="00AE45C3" w:rsidP="00AE45C3">
      <w:pPr>
        <w:autoSpaceDE w:val="0"/>
        <w:autoSpaceDN w:val="0"/>
        <w:adjustRightInd w:val="0"/>
        <w:spacing w:line="276" w:lineRule="auto"/>
        <w:ind w:firstLine="993"/>
        <w:jc w:val="both"/>
      </w:pPr>
      <w:r>
        <w:t xml:space="preserve"> Adjunto retroactivo.</w:t>
      </w:r>
    </w:p>
    <w:p w14:paraId="4D7F2E81" w14:textId="77777777" w:rsidR="00AE45C3" w:rsidRDefault="00AE45C3" w:rsidP="00AE45C3">
      <w:pPr>
        <w:autoSpaceDE w:val="0"/>
        <w:autoSpaceDN w:val="0"/>
        <w:adjustRightInd w:val="0"/>
        <w:spacing w:line="276" w:lineRule="auto"/>
        <w:jc w:val="both"/>
      </w:pPr>
    </w:p>
    <w:p w14:paraId="2327F8B6" w14:textId="77777777" w:rsidR="00AE45C3" w:rsidRDefault="00AE45C3" w:rsidP="00AE45C3">
      <w:pPr>
        <w:autoSpaceDE w:val="0"/>
        <w:autoSpaceDN w:val="0"/>
        <w:adjustRightInd w:val="0"/>
        <w:spacing w:line="276" w:lineRule="auto"/>
        <w:ind w:firstLine="993"/>
        <w:jc w:val="both"/>
      </w:pPr>
    </w:p>
    <w:p w14:paraId="4F7D1C88" w14:textId="77777777" w:rsidR="00AE45C3" w:rsidRPr="0045440C" w:rsidRDefault="00AE45C3" w:rsidP="00AE45C3">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DBC7303" w14:textId="77777777" w:rsidR="00AE45C3" w:rsidRPr="001004A0" w:rsidRDefault="00AE45C3" w:rsidP="00AE45C3">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1194F942" w14:textId="77777777" w:rsidR="00AE45C3" w:rsidRDefault="00AE45C3" w:rsidP="00AE45C3">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 </w:t>
      </w:r>
      <w:proofErr w:type="spellStart"/>
      <w:r>
        <w:t>if</w:t>
      </w:r>
      <w:proofErr w:type="spellEnd"/>
      <w:r>
        <w:t xml:space="preserve"> </w:t>
      </w:r>
      <w:proofErr w:type="spellStart"/>
      <w:r>
        <w:t>Error_Material_Si</w:t>
      </w:r>
      <w:proofErr w:type="spellEnd"/>
      <w:r>
        <w:t xml:space="preserve"> %}</w:t>
      </w:r>
    </w:p>
    <w:p w14:paraId="1B2B112D" w14:textId="77777777" w:rsidR="00AE45C3" w:rsidRDefault="00AE45C3" w:rsidP="00AE45C3">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r w:rsidRPr="00200403">
        <w:t xml:space="preserve"> </w:t>
      </w:r>
      <w:proofErr w:type="spellStart"/>
      <w:r w:rsidRPr="00200403">
        <w:t>Error_Material_primer_fecha</w:t>
      </w:r>
      <w:proofErr w:type="spellEnd"/>
      <w:r>
        <w:t>}} al {{</w:t>
      </w:r>
      <w:r w:rsidRPr="00200403">
        <w:t xml:space="preserve"> </w:t>
      </w:r>
      <w:proofErr w:type="spellStart"/>
      <w:r w:rsidRPr="00200403">
        <w:t>Error_Material_ultima_fecha</w:t>
      </w:r>
      <w:proofErr w:type="spellEnd"/>
      <w:r>
        <w:t>}},</w:t>
      </w:r>
      <w:r>
        <w:rPr>
          <w:lang w:val="es-AR"/>
        </w:rPr>
        <w:t xml:space="preserve">por cuanto existía un error material.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BF4F68">
        <w:rPr>
          <w:lang w:val="es-AR"/>
        </w:rPr>
        <w:t>Sumas_Si</w:t>
      </w:r>
      <w:proofErr w:type="spellEnd"/>
      <w:r>
        <w:rPr>
          <w:lang w:val="es-AR"/>
        </w:rPr>
        <w:t xml:space="preserve"> %}</w:t>
      </w:r>
    </w:p>
    <w:p w14:paraId="5E3EA7AA" w14:textId="77777777" w:rsidR="00AE45C3" w:rsidRPr="006E4D6C" w:rsidRDefault="00AE45C3" w:rsidP="00AE45C3">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inicial.{%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6B26C8">
        <w:rPr>
          <w:lang w:val="es-AR"/>
        </w:rPr>
        <w:t>PBU_Si</w:t>
      </w:r>
      <w:proofErr w:type="spellEnd"/>
      <w:r>
        <w:rPr>
          <w:lang w:val="es-AR"/>
        </w:rPr>
        <w:t xml:space="preserve"> %}</w:t>
      </w:r>
    </w:p>
    <w:p w14:paraId="24B30711" w14:textId="77777777" w:rsidR="00AE45C3" w:rsidRPr="000F1642" w:rsidRDefault="00AE45C3" w:rsidP="00AE45C3">
      <w:pPr>
        <w:numPr>
          <w:ilvl w:val="0"/>
          <w:numId w:val="24"/>
        </w:numPr>
        <w:autoSpaceDE w:val="0"/>
        <w:autoSpaceDN w:val="0"/>
        <w:adjustRightInd w:val="0"/>
        <w:ind w:left="0" w:firstLine="1058"/>
        <w:jc w:val="both"/>
      </w:pPr>
      <w:r>
        <w:rPr>
          <w:b/>
          <w:bCs/>
        </w:rPr>
        <w:t xml:space="preserve">PBU: </w:t>
      </w:r>
      <w:r>
        <w:t xml:space="preserve">Se reajusto la PBU conforme </w:t>
      </w:r>
      <w:proofErr w:type="spellStart"/>
      <w:r>
        <w:t>Soule</w:t>
      </w:r>
      <w:proofErr w:type="spellEnd"/>
      <w:r>
        <w:t>/Blanco, comparando la confiscatoriedad con el haber reajustado. La confiscatoriedad es del {{</w:t>
      </w:r>
      <w:r w:rsidRPr="00574D0E">
        <w:t xml:space="preserve"> </w:t>
      </w:r>
      <w:proofErr w:type="spellStart"/>
      <w:r w:rsidRPr="00574D0E">
        <w:t>Porcentaje_PBU</w:t>
      </w:r>
      <w:proofErr w:type="spellEnd"/>
      <w:r>
        <w:t>}}%, por lo cual se reajusto la misma y se realizó la quita del 15% según lo ordenado, conformándose una nueva PBU $ {{</w:t>
      </w:r>
      <w:proofErr w:type="spellStart"/>
      <w:r w:rsidRPr="006B26C8">
        <w:t>Monto_PBU</w:t>
      </w:r>
      <w:proofErr w:type="spellEnd"/>
      <w:r>
        <w:t xml:space="preserve">}} {% </w:t>
      </w:r>
      <w:proofErr w:type="spellStart"/>
      <w:r>
        <w:t>endif</w:t>
      </w:r>
      <w:proofErr w:type="spellEnd"/>
      <w:r>
        <w:t xml:space="preserve"> %}</w:t>
      </w:r>
    </w:p>
    <w:p w14:paraId="0322D6A5" w14:textId="77777777" w:rsidR="00AE45C3" w:rsidRDefault="00AE45C3" w:rsidP="00AE45C3">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6A9125A5" w14:textId="77777777" w:rsidR="00AE45C3" w:rsidRPr="00477CCD" w:rsidRDefault="00AE45C3" w:rsidP="00AE45C3">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5D5E2380" w14:textId="77777777" w:rsidR="00AE45C3" w:rsidRPr="00CA5133" w:rsidRDefault="00AE45C3" w:rsidP="00AE45C3">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al {{</w:t>
      </w:r>
      <w:r w:rsidRPr="00211800">
        <w:t xml:space="preserve"> </w:t>
      </w:r>
      <w:proofErr w:type="spellStart"/>
      <w:r w:rsidRPr="00211800">
        <w:rPr>
          <w:lang w:val="es-AR"/>
        </w:rPr>
        <w:t>ultima_fecha_RH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7F84E04E" w14:textId="77777777" w:rsidR="00AE45C3" w:rsidRDefault="00AE45C3" w:rsidP="00AE45C3">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279E0560" w14:textId="77777777" w:rsidR="00AE45C3" w:rsidRPr="00CC1DB3" w:rsidRDefault="00AE45C3" w:rsidP="00AE45C3">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proofErr w:type="spellStart"/>
      <w:r w:rsidRPr="00C27ACD">
        <w:rPr>
          <w:lang w:val="es-AR"/>
        </w:rPr>
        <w:t>primer_fecha_AC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74410339" w14:textId="77777777" w:rsidR="00AE45C3" w:rsidRDefault="00AE45C3" w:rsidP="00AE45C3">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7D258941" w14:textId="77777777" w:rsidR="00AE45C3" w:rsidRPr="00CC1DB3" w:rsidRDefault="00AE45C3" w:rsidP="00AE45C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240F8404" w14:textId="77777777" w:rsidR="00AE45C3" w:rsidRPr="00CC1DB3" w:rsidRDefault="00AE45C3" w:rsidP="00AE45C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p>
    <w:p w14:paraId="02485B9C" w14:textId="77777777" w:rsidR="00AE45C3" w:rsidRDefault="00AE45C3" w:rsidP="00AE45C3">
      <w:pPr>
        <w:numPr>
          <w:ilvl w:val="0"/>
          <w:numId w:val="24"/>
        </w:numPr>
        <w:autoSpaceDE w:val="0"/>
        <w:autoSpaceDN w:val="0"/>
        <w:adjustRightInd w:val="0"/>
        <w:spacing w:line="276" w:lineRule="auto"/>
        <w:ind w:left="0" w:firstLine="1058"/>
        <w:jc w:val="both"/>
      </w:pPr>
      <w:r w:rsidRPr="00C61F24">
        <w:rPr>
          <w:b/>
          <w:bCs/>
        </w:rPr>
        <w:t>Tope</w:t>
      </w:r>
    </w:p>
    <w:p w14:paraId="2CEF0E18" w14:textId="77777777" w:rsidR="00AE45C3" w:rsidRDefault="00AE45C3" w:rsidP="00AE45C3">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9FC7ED1" w14:textId="77777777" w:rsidR="00AE45C3" w:rsidRDefault="00AE45C3" w:rsidP="00AE45C3">
      <w:pPr>
        <w:numPr>
          <w:ilvl w:val="0"/>
          <w:numId w:val="25"/>
        </w:numPr>
        <w:autoSpaceDE w:val="0"/>
        <w:autoSpaceDN w:val="0"/>
        <w:adjustRightInd w:val="0"/>
        <w:spacing w:line="276" w:lineRule="auto"/>
        <w:jc w:val="both"/>
      </w:pPr>
      <w:r>
        <w:t>Se aplico el tope de la PC máxima Art 26.</w:t>
      </w:r>
    </w:p>
    <w:p w14:paraId="169A0F70" w14:textId="77777777" w:rsidR="00AE45C3" w:rsidRDefault="00AE45C3" w:rsidP="00AE45C3">
      <w:pPr>
        <w:numPr>
          <w:ilvl w:val="0"/>
          <w:numId w:val="25"/>
        </w:numPr>
        <w:autoSpaceDE w:val="0"/>
        <w:autoSpaceDN w:val="0"/>
        <w:adjustRightInd w:val="0"/>
        <w:spacing w:line="276" w:lineRule="auto"/>
        <w:jc w:val="both"/>
      </w:pPr>
      <w:r>
        <w:t xml:space="preserve">Se aplico el tope remuneración actualizada </w:t>
      </w:r>
    </w:p>
    <w:p w14:paraId="2F4F0AAA" w14:textId="77777777" w:rsidR="00AE45C3" w:rsidRDefault="00AE45C3" w:rsidP="00AE45C3">
      <w:pPr>
        <w:numPr>
          <w:ilvl w:val="0"/>
          <w:numId w:val="25"/>
        </w:numPr>
        <w:autoSpaceDE w:val="0"/>
        <w:autoSpaceDN w:val="0"/>
        <w:adjustRightInd w:val="0"/>
        <w:spacing w:line="276" w:lineRule="auto"/>
        <w:jc w:val="both"/>
      </w:pPr>
      <w:r>
        <w:t xml:space="preserve">Se aplico tope del art 24 de la ley 24.241. </w:t>
      </w:r>
    </w:p>
    <w:p w14:paraId="0658E079" w14:textId="77777777" w:rsidR="00AE45C3" w:rsidRDefault="00AE45C3" w:rsidP="00AE45C3">
      <w:pPr>
        <w:autoSpaceDE w:val="0"/>
        <w:autoSpaceDN w:val="0"/>
        <w:adjustRightInd w:val="0"/>
        <w:spacing w:line="276" w:lineRule="auto"/>
        <w:ind w:firstLine="1058"/>
        <w:jc w:val="both"/>
      </w:pPr>
    </w:p>
    <w:p w14:paraId="1AA824BA" w14:textId="77777777" w:rsidR="00AE45C3" w:rsidRPr="00C6431A" w:rsidRDefault="00AE45C3" w:rsidP="00AE45C3">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3F95B1D6" w14:textId="77777777" w:rsidR="00AE45C3" w:rsidRPr="000D6B2B" w:rsidRDefault="00AE45C3" w:rsidP="00AE45C3">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6CD43668" w14:textId="77777777" w:rsidR="00AE45C3" w:rsidRPr="008E4D93" w:rsidRDefault="00AE45C3" w:rsidP="00AE45C3">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w:t>
      </w:r>
      <w:proofErr w:type="spellStart"/>
      <w:r w:rsidRPr="00334E53">
        <w:t>Fecha_de_cierre_de_intereses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2438218E" w14:textId="77777777" w:rsidR="00AE45C3" w:rsidRPr="008E4D93" w:rsidRDefault="00AE45C3" w:rsidP="00AE45C3">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186BFC1C" w14:textId="77777777" w:rsidR="00AE45C3" w:rsidRPr="00651855" w:rsidRDefault="00AE45C3" w:rsidP="00AE45C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01B38881" w14:textId="77777777" w:rsidR="00AE45C3" w:rsidRPr="000A6F4D" w:rsidRDefault="00AE45C3" w:rsidP="00AE45C3">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5F887788" w14:textId="77777777" w:rsidR="00AE45C3" w:rsidRDefault="00AE45C3" w:rsidP="00AE45C3">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115E7EDE" w14:textId="77777777" w:rsidR="00AE45C3" w:rsidRDefault="00AE45C3" w:rsidP="00AE45C3">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7135C8B0" w14:textId="77777777" w:rsidR="00AE45C3" w:rsidRDefault="00AE45C3" w:rsidP="00AE45C3">
      <w:pPr>
        <w:autoSpaceDE w:val="0"/>
        <w:autoSpaceDN w:val="0"/>
        <w:adjustRightInd w:val="0"/>
        <w:spacing w:line="276" w:lineRule="auto"/>
        <w:jc w:val="both"/>
        <w:rPr>
          <w:b/>
          <w:bCs/>
        </w:rPr>
      </w:pPr>
    </w:p>
    <w:p w14:paraId="3760F110" w14:textId="77777777" w:rsidR="00AE45C3" w:rsidRDefault="00AE45C3" w:rsidP="00AE45C3">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1D0CC6A9" w14:textId="77777777" w:rsidR="00AE45C3" w:rsidRDefault="00AE45C3" w:rsidP="00AE45C3">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0E2DFEB0" w14:textId="77777777" w:rsidR="00AE45C3" w:rsidRPr="00BA56DB" w:rsidRDefault="00AE45C3" w:rsidP="00AE45C3">
      <w:pPr>
        <w:autoSpaceDE w:val="0"/>
        <w:autoSpaceDN w:val="0"/>
        <w:adjustRightInd w:val="0"/>
        <w:spacing w:line="276" w:lineRule="auto"/>
        <w:jc w:val="both"/>
        <w:rPr>
          <w:b/>
          <w:bCs/>
        </w:rPr>
      </w:pPr>
      <w:r w:rsidRPr="00BA56DB">
        <w:rPr>
          <w:b/>
          <w:bCs/>
        </w:rPr>
        <w:t>Opción 2</w:t>
      </w:r>
    </w:p>
    <w:p w14:paraId="15906FBF" w14:textId="77777777" w:rsidR="00AE45C3" w:rsidRPr="00651855" w:rsidRDefault="00AE45C3" w:rsidP="00AE45C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w:t>
      </w:r>
      <w:proofErr w:type="spellStart"/>
      <w:r w:rsidRPr="008262E0">
        <w:t>Movilidad_Segunda_Liquidacion</w:t>
      </w:r>
      <w:proofErr w:type="spellEnd"/>
      <w:r w:rsidRPr="008262E0">
        <w:t xml:space="preserve"> </w:t>
      </w:r>
      <w:r w:rsidRPr="008E4D93">
        <w:t>}}</w:t>
      </w:r>
    </w:p>
    <w:p w14:paraId="611BA2A4" w14:textId="77777777" w:rsidR="00AE45C3" w:rsidRPr="000A6F4D" w:rsidRDefault="00AE45C3" w:rsidP="00AE45C3">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r w:rsidRPr="004C3545">
        <w:t xml:space="preserve"> </w:t>
      </w:r>
      <w:proofErr w:type="spellStart"/>
      <w:r w:rsidRPr="004C3545">
        <w:t>Haber_de_Alta_Segunda_Liquidacion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7C3B4684" w14:textId="77777777" w:rsidR="00AE45C3" w:rsidRDefault="00AE45C3" w:rsidP="00AE45C3">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090D2719" w14:textId="77777777" w:rsidR="00AE45C3" w:rsidRDefault="00AE45C3" w:rsidP="00AE45C3">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r w:rsidRPr="00BA56DB">
        <w:t xml:space="preserve"> </w:t>
      </w:r>
      <w:proofErr w:type="spellStart"/>
      <w:r w:rsidRPr="00BA56DB">
        <w:t>Capital_Segunda_Liquidacion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58A1A859" w14:textId="77777777" w:rsidR="00AE45C3" w:rsidRDefault="00AE45C3" w:rsidP="00AE45C3">
      <w:pPr>
        <w:autoSpaceDE w:val="0"/>
        <w:autoSpaceDN w:val="0"/>
        <w:adjustRightInd w:val="0"/>
        <w:spacing w:line="276" w:lineRule="auto"/>
        <w:jc w:val="both"/>
        <w:rPr>
          <w:b/>
          <w:bCs/>
        </w:rPr>
      </w:pPr>
    </w:p>
    <w:p w14:paraId="4CC435FF" w14:textId="77777777" w:rsidR="00AE45C3" w:rsidRDefault="00AE45C3" w:rsidP="00AE45C3">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proofErr w:type="spellStart"/>
      <w:r w:rsidRPr="00BA56DB">
        <w:rPr>
          <w:b/>
          <w:bCs/>
        </w:rPr>
        <w:t>Total_Segunda_Liquidacion</w:t>
      </w:r>
      <w:proofErr w:type="spellEnd"/>
      <w:r w:rsidRPr="00BA56DB">
        <w:rPr>
          <w:b/>
          <w:bCs/>
        </w:rPr>
        <w:t xml:space="preserve"> </w:t>
      </w:r>
      <w:r w:rsidRPr="003A264B">
        <w:rPr>
          <w:b/>
          <w:bCs/>
        </w:rPr>
        <w:t>}}</w:t>
      </w:r>
    </w:p>
    <w:p w14:paraId="1E586569" w14:textId="77777777" w:rsidR="00AE45C3" w:rsidRDefault="00AE45C3" w:rsidP="00AE45C3">
      <w:pPr>
        <w:autoSpaceDE w:val="0"/>
        <w:autoSpaceDN w:val="0"/>
        <w:adjustRightInd w:val="0"/>
        <w:spacing w:line="276" w:lineRule="auto"/>
        <w:jc w:val="both"/>
      </w:pPr>
      <w:r>
        <w:t xml:space="preserve">{% </w:t>
      </w:r>
      <w:proofErr w:type="spellStart"/>
      <w:r>
        <w:t>endif</w:t>
      </w:r>
      <w:proofErr w:type="spellEnd"/>
      <w:r>
        <w:t xml:space="preserve"> %}</w:t>
      </w:r>
    </w:p>
    <w:p w14:paraId="40372497" w14:textId="77777777" w:rsidR="00AE45C3" w:rsidRDefault="00AE45C3" w:rsidP="00AE45C3">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1E839E95" w14:textId="77777777" w:rsidR="00AE45C3" w:rsidRPr="00F76497" w:rsidRDefault="00AE45C3" w:rsidP="00AE45C3">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3A6778EB" w14:textId="77777777" w:rsidR="00AE45C3" w:rsidRDefault="00AE45C3" w:rsidP="00AE45C3">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2E96B174" w14:textId="77777777" w:rsidR="00AE45C3" w:rsidRPr="00E46030" w:rsidRDefault="00AE45C3" w:rsidP="00AE45C3">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3A5F10">
        <w:t>Movilidad_Primera_Liquidacion_IPC</w:t>
      </w:r>
      <w:proofErr w:type="spellEnd"/>
      <w:r>
        <w:t xml:space="preserve"> }}</w:t>
      </w:r>
    </w:p>
    <w:p w14:paraId="66228010" w14:textId="77777777" w:rsidR="00AE45C3" w:rsidRPr="00E46030" w:rsidRDefault="00AE45C3" w:rsidP="00AE45C3">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5497C63F" w14:textId="77777777" w:rsidR="00AE45C3" w:rsidRDefault="00AE45C3" w:rsidP="00AE45C3">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AE45C3" w14:paraId="77BF03B4" w14:textId="77777777" w:rsidTr="00256F7D">
        <w:trPr>
          <w:trHeight w:val="255"/>
        </w:trPr>
        <w:tc>
          <w:tcPr>
            <w:tcW w:w="1971" w:type="dxa"/>
            <w:shd w:val="clear" w:color="auto" w:fill="auto"/>
          </w:tcPr>
          <w:p w14:paraId="5D9D2FF5" w14:textId="77777777" w:rsidR="00AE45C3" w:rsidRDefault="00AE45C3" w:rsidP="00256F7D">
            <w:pPr>
              <w:autoSpaceDE w:val="0"/>
              <w:autoSpaceDN w:val="0"/>
              <w:adjustRightInd w:val="0"/>
              <w:jc w:val="both"/>
            </w:pPr>
            <w:r>
              <w:t>Haber con IPC</w:t>
            </w:r>
          </w:p>
        </w:tc>
        <w:tc>
          <w:tcPr>
            <w:tcW w:w="1972" w:type="dxa"/>
            <w:shd w:val="clear" w:color="auto" w:fill="auto"/>
          </w:tcPr>
          <w:p w14:paraId="7245B85F" w14:textId="77777777" w:rsidR="00AE45C3" w:rsidRDefault="00AE45C3" w:rsidP="00256F7D">
            <w:pPr>
              <w:autoSpaceDE w:val="0"/>
              <w:autoSpaceDN w:val="0"/>
              <w:adjustRightInd w:val="0"/>
              <w:jc w:val="both"/>
            </w:pPr>
            <w:r>
              <w:t>{{</w:t>
            </w:r>
            <w:proofErr w:type="spellStart"/>
            <w:r w:rsidRPr="00F34C48">
              <w:t>Haber_de_Alta_Primera_Liquidacion_IPC</w:t>
            </w:r>
            <w:proofErr w:type="spellEnd"/>
            <w:r>
              <w:t>}}</w:t>
            </w:r>
          </w:p>
        </w:tc>
      </w:tr>
      <w:tr w:rsidR="00AE45C3" w14:paraId="2F445D18" w14:textId="77777777" w:rsidTr="00256F7D">
        <w:trPr>
          <w:trHeight w:val="255"/>
        </w:trPr>
        <w:tc>
          <w:tcPr>
            <w:tcW w:w="1971" w:type="dxa"/>
            <w:shd w:val="clear" w:color="auto" w:fill="auto"/>
          </w:tcPr>
          <w:p w14:paraId="75FDFF82" w14:textId="77777777" w:rsidR="00AE45C3" w:rsidRDefault="00AE45C3" w:rsidP="00256F7D">
            <w:pPr>
              <w:autoSpaceDE w:val="0"/>
              <w:autoSpaceDN w:val="0"/>
              <w:adjustRightInd w:val="0"/>
              <w:jc w:val="both"/>
            </w:pPr>
            <w:r>
              <w:t>Haber con 27609</w:t>
            </w:r>
          </w:p>
        </w:tc>
        <w:tc>
          <w:tcPr>
            <w:tcW w:w="1972" w:type="dxa"/>
            <w:shd w:val="clear" w:color="auto" w:fill="auto"/>
          </w:tcPr>
          <w:p w14:paraId="2C400674" w14:textId="77777777" w:rsidR="00AE45C3" w:rsidRDefault="00AE45C3" w:rsidP="00256F7D">
            <w:pPr>
              <w:autoSpaceDE w:val="0"/>
              <w:autoSpaceDN w:val="0"/>
              <w:adjustRightInd w:val="0"/>
              <w:jc w:val="both"/>
            </w:pPr>
            <w:r>
              <w:t>{{</w:t>
            </w:r>
            <w:proofErr w:type="spellStart"/>
            <w:r w:rsidRPr="005A7B53">
              <w:t>Haber_de_Alta</w:t>
            </w:r>
            <w:proofErr w:type="spellEnd"/>
            <w:r>
              <w:t>}}</w:t>
            </w:r>
          </w:p>
        </w:tc>
      </w:tr>
      <w:tr w:rsidR="00AE45C3" w14:paraId="1BEA82B4" w14:textId="77777777" w:rsidTr="00256F7D">
        <w:trPr>
          <w:trHeight w:val="244"/>
        </w:trPr>
        <w:tc>
          <w:tcPr>
            <w:tcW w:w="1971" w:type="dxa"/>
            <w:shd w:val="clear" w:color="auto" w:fill="auto"/>
          </w:tcPr>
          <w:p w14:paraId="6CB42A19" w14:textId="77777777" w:rsidR="00AE45C3" w:rsidRDefault="00AE45C3" w:rsidP="00256F7D">
            <w:pPr>
              <w:autoSpaceDE w:val="0"/>
              <w:autoSpaceDN w:val="0"/>
              <w:adjustRightInd w:val="0"/>
              <w:jc w:val="both"/>
            </w:pPr>
            <w:proofErr w:type="spellStart"/>
            <w:r>
              <w:t>Dif</w:t>
            </w:r>
            <w:proofErr w:type="spellEnd"/>
          </w:p>
        </w:tc>
        <w:tc>
          <w:tcPr>
            <w:tcW w:w="1972" w:type="dxa"/>
            <w:shd w:val="clear" w:color="auto" w:fill="auto"/>
          </w:tcPr>
          <w:p w14:paraId="56BFECC1" w14:textId="77777777" w:rsidR="00AE45C3" w:rsidRDefault="00AE45C3" w:rsidP="00256F7D">
            <w:pPr>
              <w:autoSpaceDE w:val="0"/>
              <w:autoSpaceDN w:val="0"/>
              <w:adjustRightInd w:val="0"/>
              <w:jc w:val="both"/>
            </w:pPr>
            <w:r>
              <w:t>{{</w:t>
            </w:r>
            <w:r w:rsidRPr="005A7B53">
              <w:t>Diferencias</w:t>
            </w:r>
            <w:r>
              <w:t>}}</w:t>
            </w:r>
          </w:p>
        </w:tc>
      </w:tr>
      <w:tr w:rsidR="00AE45C3" w14:paraId="445F8765" w14:textId="77777777" w:rsidTr="00256F7D">
        <w:trPr>
          <w:trHeight w:val="255"/>
        </w:trPr>
        <w:tc>
          <w:tcPr>
            <w:tcW w:w="1971" w:type="dxa"/>
            <w:shd w:val="clear" w:color="auto" w:fill="auto"/>
          </w:tcPr>
          <w:p w14:paraId="0EA4FE06" w14:textId="77777777" w:rsidR="00AE45C3" w:rsidRDefault="00AE45C3" w:rsidP="00256F7D">
            <w:pPr>
              <w:autoSpaceDE w:val="0"/>
              <w:autoSpaceDN w:val="0"/>
              <w:adjustRightInd w:val="0"/>
              <w:jc w:val="both"/>
            </w:pPr>
            <w:r>
              <w:t>Quita</w:t>
            </w:r>
          </w:p>
        </w:tc>
        <w:tc>
          <w:tcPr>
            <w:tcW w:w="1972" w:type="dxa"/>
            <w:shd w:val="clear" w:color="auto" w:fill="auto"/>
          </w:tcPr>
          <w:p w14:paraId="6AB1DC5B" w14:textId="77777777" w:rsidR="00AE45C3" w:rsidRDefault="00AE45C3" w:rsidP="00256F7D">
            <w:pPr>
              <w:autoSpaceDE w:val="0"/>
              <w:autoSpaceDN w:val="0"/>
              <w:adjustRightInd w:val="0"/>
              <w:jc w:val="both"/>
            </w:pPr>
            <w:r>
              <w:t>{{</w:t>
            </w:r>
            <w:r w:rsidRPr="00311313">
              <w:t>Porcentaje</w:t>
            </w:r>
            <w:r>
              <w:t>}}%</w:t>
            </w:r>
          </w:p>
        </w:tc>
      </w:tr>
    </w:tbl>
    <w:p w14:paraId="1FD9FC98" w14:textId="77777777" w:rsidR="00AE45C3" w:rsidRDefault="00AE45C3" w:rsidP="00AE45C3">
      <w:pPr>
        <w:autoSpaceDE w:val="0"/>
        <w:autoSpaceDN w:val="0"/>
        <w:adjustRightInd w:val="0"/>
        <w:jc w:val="both"/>
      </w:pPr>
    </w:p>
    <w:p w14:paraId="08BC10F7" w14:textId="77777777" w:rsidR="00AE45C3" w:rsidRDefault="00AE45C3" w:rsidP="00AE45C3">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31E37A9F" w14:textId="77777777" w:rsidR="00AE45C3" w:rsidRPr="00E46030" w:rsidRDefault="00AE45C3" w:rsidP="00AE45C3">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4F71E9">
        <w:t>Movilidad_Segunda_Liquidacion_IPC</w:t>
      </w:r>
      <w:proofErr w:type="spellEnd"/>
      <w:r>
        <w:t xml:space="preserve"> }}</w:t>
      </w:r>
    </w:p>
    <w:p w14:paraId="7EE3E3A6" w14:textId="77777777" w:rsidR="00AE45C3" w:rsidRPr="00E46030" w:rsidRDefault="00AE45C3" w:rsidP="00AE45C3">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r w:rsidRPr="0061715B">
        <w:t xml:space="preserve"> </w:t>
      </w:r>
      <w:proofErr w:type="spellStart"/>
      <w:r w:rsidRPr="0061715B">
        <w:t>Capital_Segunda_Liquidacion_IPC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07A158DC" w14:textId="77777777" w:rsidR="00AE45C3" w:rsidRDefault="00AE45C3" w:rsidP="00AE45C3">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AE45C3" w14:paraId="6A7B8EAD" w14:textId="77777777" w:rsidTr="00256F7D">
        <w:trPr>
          <w:trHeight w:val="255"/>
        </w:trPr>
        <w:tc>
          <w:tcPr>
            <w:tcW w:w="1971" w:type="dxa"/>
            <w:shd w:val="clear" w:color="auto" w:fill="auto"/>
          </w:tcPr>
          <w:p w14:paraId="53DAA5A5" w14:textId="77777777" w:rsidR="00AE45C3" w:rsidRDefault="00AE45C3" w:rsidP="00256F7D">
            <w:pPr>
              <w:autoSpaceDE w:val="0"/>
              <w:autoSpaceDN w:val="0"/>
              <w:adjustRightInd w:val="0"/>
              <w:jc w:val="both"/>
            </w:pPr>
            <w:r>
              <w:t>Haber con IPC</w:t>
            </w:r>
          </w:p>
        </w:tc>
        <w:tc>
          <w:tcPr>
            <w:tcW w:w="1972" w:type="dxa"/>
            <w:shd w:val="clear" w:color="auto" w:fill="auto"/>
          </w:tcPr>
          <w:p w14:paraId="06118DDA" w14:textId="77777777" w:rsidR="00AE45C3" w:rsidRDefault="00AE45C3" w:rsidP="00256F7D">
            <w:pPr>
              <w:autoSpaceDE w:val="0"/>
              <w:autoSpaceDN w:val="0"/>
              <w:adjustRightInd w:val="0"/>
              <w:jc w:val="both"/>
            </w:pPr>
            <w:r>
              <w:t>{{</w:t>
            </w:r>
            <w:proofErr w:type="spellStart"/>
            <w:r w:rsidRPr="0061715B">
              <w:t>Haber_de_Alta_Segunda_Liquidacion_IPC</w:t>
            </w:r>
            <w:proofErr w:type="spellEnd"/>
            <w:r>
              <w:t>}}</w:t>
            </w:r>
          </w:p>
        </w:tc>
      </w:tr>
      <w:tr w:rsidR="00AE45C3" w14:paraId="0013F9A2" w14:textId="77777777" w:rsidTr="00256F7D">
        <w:trPr>
          <w:trHeight w:val="255"/>
        </w:trPr>
        <w:tc>
          <w:tcPr>
            <w:tcW w:w="1971" w:type="dxa"/>
            <w:shd w:val="clear" w:color="auto" w:fill="auto"/>
          </w:tcPr>
          <w:p w14:paraId="211D82AD" w14:textId="77777777" w:rsidR="00AE45C3" w:rsidRDefault="00AE45C3" w:rsidP="00256F7D">
            <w:pPr>
              <w:autoSpaceDE w:val="0"/>
              <w:autoSpaceDN w:val="0"/>
              <w:adjustRightInd w:val="0"/>
              <w:jc w:val="both"/>
            </w:pPr>
            <w:r>
              <w:t>Haber con 27609</w:t>
            </w:r>
          </w:p>
        </w:tc>
        <w:tc>
          <w:tcPr>
            <w:tcW w:w="1972" w:type="dxa"/>
            <w:shd w:val="clear" w:color="auto" w:fill="auto"/>
          </w:tcPr>
          <w:p w14:paraId="042AFC0C" w14:textId="77777777" w:rsidR="00AE45C3" w:rsidRDefault="00AE45C3" w:rsidP="00256F7D">
            <w:pPr>
              <w:autoSpaceDE w:val="0"/>
              <w:autoSpaceDN w:val="0"/>
              <w:adjustRightInd w:val="0"/>
              <w:jc w:val="both"/>
            </w:pPr>
            <w:r>
              <w:t xml:space="preserve">{{ </w:t>
            </w:r>
            <w:proofErr w:type="spellStart"/>
            <w:r w:rsidRPr="00491C23">
              <w:t>Haber_de_Alta_Segunda_Liquidacion</w:t>
            </w:r>
            <w:proofErr w:type="spellEnd"/>
            <w:r>
              <w:t xml:space="preserve"> }}</w:t>
            </w:r>
          </w:p>
        </w:tc>
      </w:tr>
      <w:tr w:rsidR="00AE45C3" w14:paraId="27C2932A" w14:textId="77777777" w:rsidTr="00256F7D">
        <w:trPr>
          <w:trHeight w:val="244"/>
        </w:trPr>
        <w:tc>
          <w:tcPr>
            <w:tcW w:w="1971" w:type="dxa"/>
            <w:shd w:val="clear" w:color="auto" w:fill="auto"/>
          </w:tcPr>
          <w:p w14:paraId="195C61D8" w14:textId="77777777" w:rsidR="00AE45C3" w:rsidRDefault="00AE45C3" w:rsidP="00256F7D">
            <w:pPr>
              <w:autoSpaceDE w:val="0"/>
              <w:autoSpaceDN w:val="0"/>
              <w:adjustRightInd w:val="0"/>
              <w:jc w:val="both"/>
            </w:pPr>
            <w:proofErr w:type="spellStart"/>
            <w:r>
              <w:t>Dif</w:t>
            </w:r>
            <w:proofErr w:type="spellEnd"/>
          </w:p>
        </w:tc>
        <w:tc>
          <w:tcPr>
            <w:tcW w:w="1972" w:type="dxa"/>
            <w:shd w:val="clear" w:color="auto" w:fill="auto"/>
          </w:tcPr>
          <w:p w14:paraId="08225279" w14:textId="77777777" w:rsidR="00AE45C3" w:rsidRDefault="00AE45C3" w:rsidP="00256F7D">
            <w:pPr>
              <w:autoSpaceDE w:val="0"/>
              <w:autoSpaceDN w:val="0"/>
              <w:adjustRightInd w:val="0"/>
              <w:jc w:val="both"/>
            </w:pPr>
            <w:r>
              <w:t xml:space="preserve">{{ </w:t>
            </w:r>
            <w:r w:rsidRPr="007544B2">
              <w:t>Diferencias_2</w:t>
            </w:r>
            <w:r>
              <w:t>}}</w:t>
            </w:r>
          </w:p>
        </w:tc>
      </w:tr>
      <w:tr w:rsidR="00AE45C3" w14:paraId="49F50BAC" w14:textId="77777777" w:rsidTr="00256F7D">
        <w:trPr>
          <w:trHeight w:val="255"/>
        </w:trPr>
        <w:tc>
          <w:tcPr>
            <w:tcW w:w="1971" w:type="dxa"/>
            <w:shd w:val="clear" w:color="auto" w:fill="auto"/>
          </w:tcPr>
          <w:p w14:paraId="6E94842C" w14:textId="77777777" w:rsidR="00AE45C3" w:rsidRDefault="00AE45C3" w:rsidP="00256F7D">
            <w:pPr>
              <w:autoSpaceDE w:val="0"/>
              <w:autoSpaceDN w:val="0"/>
              <w:adjustRightInd w:val="0"/>
              <w:jc w:val="both"/>
            </w:pPr>
            <w:r>
              <w:t>Quita</w:t>
            </w:r>
          </w:p>
        </w:tc>
        <w:tc>
          <w:tcPr>
            <w:tcW w:w="1972" w:type="dxa"/>
            <w:shd w:val="clear" w:color="auto" w:fill="auto"/>
          </w:tcPr>
          <w:p w14:paraId="529F7269" w14:textId="77777777" w:rsidR="00AE45C3" w:rsidRDefault="00AE45C3" w:rsidP="00256F7D">
            <w:pPr>
              <w:autoSpaceDE w:val="0"/>
              <w:autoSpaceDN w:val="0"/>
              <w:adjustRightInd w:val="0"/>
              <w:jc w:val="both"/>
            </w:pPr>
            <w:r>
              <w:t xml:space="preserve">{{ </w:t>
            </w:r>
            <w:r w:rsidRPr="007544B2">
              <w:t>Porcentaje_2</w:t>
            </w:r>
            <w:r>
              <w:t>}}%</w:t>
            </w:r>
          </w:p>
        </w:tc>
      </w:tr>
    </w:tbl>
    <w:p w14:paraId="58CDA40B" w14:textId="77777777" w:rsidR="00AE45C3" w:rsidRPr="00A206D0" w:rsidRDefault="00AE45C3" w:rsidP="00AE45C3">
      <w:pPr>
        <w:autoSpaceDE w:val="0"/>
        <w:autoSpaceDN w:val="0"/>
        <w:adjustRightInd w:val="0"/>
        <w:jc w:val="both"/>
      </w:pPr>
    </w:p>
    <w:p w14:paraId="641B1CAD" w14:textId="77777777" w:rsidR="00AE45C3" w:rsidRPr="008A737C" w:rsidRDefault="00AE45C3" w:rsidP="00AE45C3">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7F27FB26" w14:textId="77777777" w:rsidR="00AE45C3" w:rsidRDefault="00AE45C3" w:rsidP="00AE45C3">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4FD4CFE1" w14:textId="5A679171" w:rsidR="00FD76F4" w:rsidRPr="00AE45C3" w:rsidRDefault="00AE45C3" w:rsidP="00AE45C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p>
    <w:p w14:paraId="456ECCF4" w14:textId="77777777" w:rsidR="0044098F" w:rsidRDefault="0044098F" w:rsidP="0044098F">
      <w:pPr>
        <w:autoSpaceDE w:val="0"/>
        <w:autoSpaceDN w:val="0"/>
        <w:adjustRightInd w:val="0"/>
        <w:spacing w:line="276" w:lineRule="auto"/>
        <w:ind w:left="1080"/>
        <w:jc w:val="both"/>
        <w:rPr>
          <w:b/>
          <w:bCs/>
        </w:rPr>
      </w:pPr>
    </w:p>
    <w:p w14:paraId="46B9764C" w14:textId="77777777" w:rsidR="00E85D40" w:rsidRDefault="00E85D40" w:rsidP="00E85D40">
      <w:pPr>
        <w:numPr>
          <w:ilvl w:val="0"/>
          <w:numId w:val="16"/>
        </w:numPr>
        <w:autoSpaceDE w:val="0"/>
        <w:autoSpaceDN w:val="0"/>
        <w:adjustRightInd w:val="0"/>
        <w:jc w:val="both"/>
        <w:rPr>
          <w:lang w:val="es-AR"/>
        </w:rPr>
      </w:pPr>
      <w:r w:rsidRPr="0093316C">
        <w:rPr>
          <w:b/>
          <w:bCs/>
        </w:rPr>
        <w:t xml:space="preserve">Actualización monetaria </w:t>
      </w:r>
    </w:p>
    <w:p w14:paraId="53FC0A4A" w14:textId="77777777" w:rsidR="00E85D40" w:rsidRPr="0093316C" w:rsidRDefault="00E85D40" w:rsidP="00E85D40">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07239A12" w14:textId="77777777" w:rsidR="00E85D40" w:rsidRDefault="00E85D40" w:rsidP="00E85D40">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7" w:tgtFrame="_blank" w:history="1">
        <w:r w:rsidRPr="00AD7838">
          <w:rPr>
            <w:i/>
            <w:iCs/>
            <w:color w:val="337AB7"/>
            <w:u w:val="single"/>
            <w:lang w:eastAsia="es-AR"/>
          </w:rPr>
          <w:t>Fallos: 323:1122, “</w:t>
        </w:r>
        <w:proofErr w:type="spellStart"/>
        <w:r w:rsidRPr="00AD7838">
          <w:rPr>
            <w:i/>
            <w:iCs/>
            <w:color w:val="337AB7"/>
            <w:u w:val="single"/>
            <w:lang w:eastAsia="es-AR"/>
          </w:rPr>
          <w:t>Bianculli</w:t>
        </w:r>
        <w:proofErr w:type="spellEnd"/>
        <w:r w:rsidRPr="00AD7838">
          <w:rPr>
            <w:i/>
            <w:iCs/>
            <w:color w:val="337AB7"/>
            <w:u w:val="single"/>
            <w:lang w:eastAsia="es-AR"/>
          </w:rPr>
          <w:t>”</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7BDA4834" w14:textId="77777777" w:rsidR="00E85D40" w:rsidRPr="00AD7838" w:rsidRDefault="00E85D40" w:rsidP="00E85D40">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8" w:history="1">
        <w:r w:rsidRPr="00E85D40">
          <w:rPr>
            <w:rStyle w:val="Hipervnculo"/>
            <w:lang w:val="es-AR" w:eastAsia="es-AR"/>
          </w:rPr>
          <w:t>“</w:t>
        </w:r>
        <w:r w:rsidRPr="00E85D40">
          <w:rPr>
            <w:rStyle w:val="Hipervnculo"/>
            <w:lang w:eastAsia="es-AR"/>
          </w:rPr>
          <w:t xml:space="preserve">Recurso Queja </w:t>
        </w:r>
        <w:proofErr w:type="spellStart"/>
        <w:r w:rsidRPr="00E85D40">
          <w:rPr>
            <w:rStyle w:val="Hipervnculo"/>
            <w:lang w:eastAsia="es-AR"/>
          </w:rPr>
          <w:t>Nº</w:t>
        </w:r>
        <w:proofErr w:type="spellEnd"/>
        <w:r w:rsidRPr="00E85D40">
          <w:rPr>
            <w:rStyle w:val="Hipervnculo"/>
            <w:lang w:eastAsia="es-AR"/>
          </w:rPr>
          <w:t xml:space="preserve"> 5 - G.,S.M. Y OTRO c/ K.,M.E.A. s/ALIMENTOS CIV 083609/2017/5/RH003</w:t>
        </w:r>
        <w:r w:rsidRPr="00E85D40">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9" w:tgtFrame="_blank" w:history="1">
        <w:r w:rsidRPr="00AD7838">
          <w:rPr>
            <w:i/>
            <w:iCs/>
            <w:color w:val="337AB7"/>
            <w:u w:val="single"/>
            <w:lang w:eastAsia="es-AR"/>
          </w:rPr>
          <w:t>Fallos: 328:4013</w:t>
        </w:r>
      </w:hyperlink>
      <w:r w:rsidRPr="00AD7838">
        <w:rPr>
          <w:i/>
          <w:iCs/>
          <w:color w:val="333333"/>
          <w:lang w:eastAsia="es-AR"/>
        </w:rPr>
        <w:t>, “F., L.”, considerandos 11° y 12°).</w:t>
      </w:r>
    </w:p>
    <w:p w14:paraId="0010DE6B" w14:textId="77777777" w:rsidR="00E85D40" w:rsidRPr="00AD7838" w:rsidRDefault="00E85D40" w:rsidP="00E85D40">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22315529" w14:textId="77777777" w:rsidR="00E85D40" w:rsidRPr="009F027D" w:rsidRDefault="00E85D40" w:rsidP="00E85D40">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599CD8C4" w14:textId="77777777" w:rsidR="00E85D40" w:rsidRPr="007A0309" w:rsidRDefault="00E85D40" w:rsidP="00E85D40">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10">
        <w:r w:rsidRPr="00DD6335">
          <w:rPr>
            <w:color w:val="0563C1"/>
            <w:u w:val="single"/>
            <w:lang w:eastAsia="es-AR"/>
          </w:rPr>
          <w:t>“Itzcovich”(</w:t>
        </w:r>
      </w:hyperlink>
      <w:r w:rsidRPr="00DD6335">
        <w:rPr>
          <w:lang w:eastAsia="es-AR"/>
        </w:rPr>
        <w:t>328:566),</w:t>
      </w:r>
      <w:hyperlink r:id="rId11">
        <w:r w:rsidRPr="00DD6335">
          <w:rPr>
            <w:color w:val="0563C1"/>
            <w:u w:val="single"/>
            <w:lang w:eastAsia="es-AR"/>
          </w:rPr>
          <w:t>“Sánchez”</w:t>
        </w:r>
      </w:hyperlink>
      <w:r w:rsidRPr="00DD6335">
        <w:rPr>
          <w:lang w:eastAsia="es-AR"/>
        </w:rPr>
        <w:t>(328:1602),</w:t>
      </w:r>
      <w:hyperlink r:id="rId12">
        <w:r w:rsidRPr="00DD6335">
          <w:rPr>
            <w:color w:val="0563C1"/>
            <w:u w:val="single"/>
            <w:lang w:eastAsia="es-AR"/>
          </w:rPr>
          <w:t>“Blanco”(</w:t>
        </w:r>
      </w:hyperlink>
      <w:r w:rsidRPr="00DD6335">
        <w:rPr>
          <w:lang w:eastAsia="es-AR"/>
        </w:rPr>
        <w:t>341:1924)</w:t>
      </w:r>
      <w:hyperlink r:id="rId13">
        <w:r w:rsidRPr="00DD6335">
          <w:rPr>
            <w:color w:val="0563C1"/>
            <w:u w:val="single"/>
            <w:lang w:eastAsia="es-AR"/>
          </w:rPr>
          <w:t>“Giménez”(</w:t>
        </w:r>
      </w:hyperlink>
      <w:r w:rsidRPr="00DD6335">
        <w:rPr>
          <w:lang w:eastAsia="es-AR"/>
        </w:rPr>
        <w:t>344:1788),“</w:t>
      </w:r>
      <w:hyperlink r:id="rId14">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7134BAA1" w14:textId="77777777" w:rsidR="00E85D40" w:rsidRPr="00DD6335" w:rsidRDefault="00E85D40" w:rsidP="00E85D40">
      <w:pPr>
        <w:spacing w:after="160"/>
        <w:jc w:val="both"/>
      </w:pPr>
      <w:r w:rsidRPr="00DD6335">
        <w:t xml:space="preserve">Es bueno recordar que la </w:t>
      </w:r>
      <w:hyperlink r:id="rId15" w:history="1">
        <w:r w:rsidRPr="00DD6335">
          <w:rPr>
            <w:color w:val="0563C1"/>
            <w:u w:val="single"/>
          </w:rPr>
          <w:t>ley 21.864</w:t>
        </w:r>
      </w:hyperlink>
      <w:r w:rsidRPr="00DD6335">
        <w:t xml:space="preserve"> establece: </w:t>
      </w:r>
    </w:p>
    <w:p w14:paraId="0EE8B41E" w14:textId="77777777" w:rsidR="00E85D40" w:rsidRPr="00DD6335" w:rsidRDefault="00E85D40" w:rsidP="00E85D40">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10529FAB" w14:textId="77777777" w:rsidR="00E85D40" w:rsidRPr="00DD6335" w:rsidRDefault="00E85D40" w:rsidP="00E85D40">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4CC42283" w14:textId="77777777" w:rsidR="00E85D40" w:rsidRPr="00DD6335" w:rsidRDefault="00E85D40" w:rsidP="00E85D40">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1B6CC8B2" w14:textId="77777777" w:rsidR="00E85D40" w:rsidRPr="00DD6335" w:rsidRDefault="00E85D40" w:rsidP="00E85D40">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375C049E" w14:textId="77777777" w:rsidR="00E85D40" w:rsidRPr="00DD6335" w:rsidRDefault="00E85D40" w:rsidP="00E85D40">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602A04D4" w14:textId="77777777" w:rsidR="00E85D40" w:rsidRDefault="00E85D40" w:rsidP="00E85D40">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47081447" w14:textId="77777777" w:rsidR="00E85D40" w:rsidRDefault="00E85D40" w:rsidP="00E85D40">
      <w:pPr>
        <w:ind w:firstLine="709"/>
        <w:jc w:val="both"/>
      </w:pPr>
    </w:p>
    <w:p w14:paraId="1BFECAC7" w14:textId="77777777" w:rsidR="00E85D40" w:rsidRPr="00630043" w:rsidRDefault="00E85D40" w:rsidP="00E85D40">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B5E5C0" w14:textId="77777777" w:rsidR="00E85D40" w:rsidRDefault="00E85D40" w:rsidP="00E85D40">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153BA5BC" w14:textId="77777777" w:rsidR="00E85D40" w:rsidRPr="00630043" w:rsidRDefault="00E85D40" w:rsidP="00E85D40">
      <w:pPr>
        <w:pBdr>
          <w:top w:val="single" w:sz="4" w:space="1" w:color="auto"/>
          <w:left w:val="single" w:sz="4" w:space="4" w:color="auto"/>
          <w:bottom w:val="single" w:sz="4" w:space="1" w:color="auto"/>
          <w:right w:val="single" w:sz="4" w:space="4" w:color="auto"/>
        </w:pBdr>
        <w:ind w:firstLine="709"/>
        <w:jc w:val="both"/>
        <w:rPr>
          <w:b/>
          <w:bCs/>
          <w:lang w:eastAsia="es-AR"/>
        </w:rPr>
      </w:pPr>
    </w:p>
    <w:p w14:paraId="2C51CC81" w14:textId="77777777" w:rsidR="00E85D40" w:rsidRDefault="00E85D40" w:rsidP="00E85D40">
      <w:pPr>
        <w:shd w:val="clear" w:color="auto" w:fill="FFFFFF"/>
        <w:jc w:val="both"/>
        <w:rPr>
          <w:color w:val="333333"/>
          <w:lang w:eastAsia="es-AR"/>
        </w:rPr>
      </w:pPr>
    </w:p>
    <w:p w14:paraId="591F34F9" w14:textId="77777777" w:rsidR="00E85D40" w:rsidRDefault="00E85D40" w:rsidP="00E85D40">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1D401292" w14:textId="77777777" w:rsidR="00E85D40" w:rsidRDefault="00E85D40" w:rsidP="00E85D40">
      <w:pPr>
        <w:shd w:val="clear" w:color="auto" w:fill="FFFFFF"/>
        <w:ind w:firstLine="480"/>
        <w:jc w:val="both"/>
        <w:rPr>
          <w:color w:val="333333"/>
          <w:lang w:eastAsia="es-AR"/>
        </w:rPr>
      </w:pPr>
    </w:p>
    <w:p w14:paraId="3E1523E9" w14:textId="77777777" w:rsidR="00E85D40" w:rsidRDefault="00E85D40" w:rsidP="00E85D40">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C0F7650" w14:textId="77777777" w:rsidR="00E85D40" w:rsidRDefault="00E85D40" w:rsidP="00E85D40">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083ABEA5" w14:textId="77777777" w:rsidR="00E85D40" w:rsidRDefault="00E85D40" w:rsidP="00E85D40">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50B082C7" w14:textId="77777777" w:rsidR="00E85D40" w:rsidRDefault="00E85D40" w:rsidP="00E85D40"/>
    <w:p w14:paraId="1E95E709" w14:textId="77777777" w:rsidR="00AA0624" w:rsidRDefault="00AA0624" w:rsidP="00E85D40"/>
    <w:p w14:paraId="77CCF678" w14:textId="77777777" w:rsidR="00AA0624" w:rsidRDefault="00AA0624" w:rsidP="00E85D40"/>
    <w:p w14:paraId="0D184E43" w14:textId="77777777" w:rsidR="00AA0624" w:rsidRDefault="00AA0624" w:rsidP="00E85D40"/>
    <w:p w14:paraId="787F0CC5" w14:textId="77777777" w:rsidR="00E85D40" w:rsidRDefault="00E85D40" w:rsidP="00E85D40">
      <w:pPr>
        <w:autoSpaceDE w:val="0"/>
        <w:autoSpaceDN w:val="0"/>
        <w:adjustRightInd w:val="0"/>
        <w:spacing w:line="276" w:lineRule="auto"/>
        <w:ind w:left="1854"/>
        <w:jc w:val="both"/>
        <w:rPr>
          <w:b/>
          <w:bCs/>
        </w:rPr>
      </w:pPr>
    </w:p>
    <w:p w14:paraId="3D19D6C1" w14:textId="77777777" w:rsidR="00153866" w:rsidRDefault="00153866" w:rsidP="0044098F">
      <w:pPr>
        <w:numPr>
          <w:ilvl w:val="0"/>
          <w:numId w:val="16"/>
        </w:numPr>
        <w:autoSpaceDE w:val="0"/>
        <w:autoSpaceDN w:val="0"/>
        <w:adjustRightInd w:val="0"/>
        <w:spacing w:line="276" w:lineRule="auto"/>
        <w:jc w:val="both"/>
        <w:rPr>
          <w:b/>
          <w:bCs/>
        </w:rPr>
      </w:pPr>
      <w:r>
        <w:rPr>
          <w:b/>
          <w:bCs/>
        </w:rPr>
        <w:t>DE LA INCONSITUCIONALIDAD DE LA LEY 27.609</w:t>
      </w:r>
    </w:p>
    <w:p w14:paraId="23508740" w14:textId="77777777" w:rsidR="00153866" w:rsidRDefault="00153866" w:rsidP="00153866">
      <w:pPr>
        <w:autoSpaceDE w:val="0"/>
        <w:autoSpaceDN w:val="0"/>
        <w:adjustRightInd w:val="0"/>
        <w:spacing w:line="276" w:lineRule="auto"/>
        <w:ind w:left="1134"/>
        <w:jc w:val="both"/>
        <w:rPr>
          <w:b/>
          <w:bCs/>
        </w:rPr>
      </w:pPr>
    </w:p>
    <w:p w14:paraId="6361739F" w14:textId="77777777" w:rsidR="00153866" w:rsidRPr="00345944" w:rsidRDefault="00153866" w:rsidP="00153866">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2C9D7EA5" w14:textId="77777777" w:rsidR="00153866" w:rsidRPr="00345944" w:rsidRDefault="00153866" w:rsidP="00153866">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3110384A" w14:textId="77777777" w:rsidR="00153866" w:rsidRPr="00345944" w:rsidRDefault="00153866" w:rsidP="00153866">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27609 , al momento de presentar esta liquidación el daño que produjo la ley de movilidad en los haberes de los jubilados es tangible y de público y notorio y ha sido reconocida por el gobierno nacional en el </w:t>
      </w:r>
      <w:hyperlink r:id="rId16"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564C3923" w14:textId="021AEC90" w:rsidR="00153866" w:rsidRPr="00345944" w:rsidRDefault="00AE45C3" w:rsidP="00153866">
      <w:pPr>
        <w:spacing w:after="200"/>
        <w:ind w:firstLine="426"/>
        <w:contextualSpacing/>
        <w:jc w:val="both"/>
        <w:rPr>
          <w:rFonts w:eastAsia="Calibri"/>
          <w:lang w:eastAsia="es-MX"/>
        </w:rPr>
      </w:pPr>
      <w:r>
        <w:rPr>
          <w:noProof/>
        </w:rPr>
        <w:pict w14:anchorId="1177C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8" type="#_x0000_t75" alt="Texto" style="position:absolute;left:0;text-align:left;margin-left:-.15pt;margin-top:10.05pt;width:425.2pt;height:195.5pt;z-index:-251658240;visibility:visible" wrapcoords="-38 0 -38 21517 21600 21517 21600 0 -38 0">
            <v:imagedata r:id="rId17" o:title="Texto"/>
            <w10:wrap type="tight"/>
          </v:shape>
        </w:pict>
      </w:r>
    </w:p>
    <w:p w14:paraId="4538CDC7" w14:textId="77777777" w:rsidR="00153866" w:rsidRPr="00345944" w:rsidRDefault="00153866" w:rsidP="00153866">
      <w:pPr>
        <w:spacing w:after="200"/>
        <w:ind w:firstLine="709"/>
        <w:contextualSpacing/>
        <w:jc w:val="both"/>
        <w:rPr>
          <w:rFonts w:eastAsia="Calibri"/>
          <w:lang w:eastAsia="es-MX"/>
        </w:rPr>
      </w:pPr>
      <w:r w:rsidRPr="00345944">
        <w:rPr>
          <w:rFonts w:eastAsia="Calibri"/>
          <w:lang w:eastAsia="es-MX"/>
        </w:rPr>
        <w:t>No hay mucho más para decir, por cuanto el propio estado reconoció las falencias e insuficiencia de la fórmula y el daño que le ocasiona a los adultos mayores , al grado tal que justifica la necesidad del decreto de emergencia en la realidad .</w:t>
      </w:r>
    </w:p>
    <w:p w14:paraId="2F3B31DF" w14:textId="77777777" w:rsidR="00153866" w:rsidRPr="00345944" w:rsidRDefault="00153866" w:rsidP="00153866">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0CF5050B" w14:textId="77777777" w:rsidR="00153866" w:rsidRPr="00345944" w:rsidRDefault="00153866" w:rsidP="00153866">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2ECF1FFC" w14:textId="77777777" w:rsidR="00153866" w:rsidRPr="00345944" w:rsidRDefault="00AE45C3" w:rsidP="00153866">
      <w:pPr>
        <w:spacing w:after="200"/>
        <w:ind w:firstLine="709"/>
        <w:contextualSpacing/>
        <w:jc w:val="both"/>
        <w:rPr>
          <w:rFonts w:eastAsia="Calibri"/>
          <w:lang w:eastAsia="es-MX"/>
        </w:rPr>
      </w:pPr>
      <w:r>
        <w:rPr>
          <w:rFonts w:eastAsia="Calibri"/>
          <w:noProof/>
          <w:lang w:eastAsia="es-MX"/>
        </w:rPr>
        <w:pict w14:anchorId="1DCAA23C">
          <v:shape id="Imagen 4" o:spid="_x0000_i1026" type="#_x0000_t75" alt="Interfaz de usuario gráfica&#10;&#10;Descripción generada automáticamente" style="width:244.8pt;height:86.75pt;visibility:visible">
            <v:imagedata r:id="rId18" o:title="Interfaz de usuario gráfica&#10;&#10;Descripción generada automáticamente"/>
          </v:shape>
        </w:pict>
      </w:r>
    </w:p>
    <w:p w14:paraId="5B0AC7BC" w14:textId="77777777" w:rsidR="00153866" w:rsidRPr="00345944" w:rsidRDefault="00153866" w:rsidP="00153866">
      <w:pPr>
        <w:spacing w:after="200"/>
        <w:ind w:firstLine="709"/>
        <w:contextualSpacing/>
        <w:jc w:val="both"/>
        <w:rPr>
          <w:rFonts w:eastAsia="Calibri"/>
          <w:lang w:eastAsia="es-MX"/>
        </w:rPr>
      </w:pPr>
    </w:p>
    <w:p w14:paraId="479D522F" w14:textId="77777777" w:rsidR="00153866" w:rsidRPr="00345944" w:rsidRDefault="00153866" w:rsidP="00153866">
      <w:pPr>
        <w:spacing w:after="200"/>
        <w:ind w:firstLine="709"/>
        <w:contextualSpacing/>
        <w:jc w:val="both"/>
        <w:rPr>
          <w:rFonts w:eastAsia="Calibri"/>
          <w:lang w:eastAsia="es-MX"/>
        </w:rPr>
      </w:pPr>
      <w:r w:rsidRPr="00345944">
        <w:rPr>
          <w:rFonts w:eastAsia="Calibri"/>
          <w:lang w:eastAsia="es-MX"/>
        </w:rPr>
        <w:t xml:space="preserve">A  3 años del dictado de la nueva ley, el daño sido probado , se ha demostrado que  los aumentos son insuficientes </w:t>
      </w:r>
      <w:bookmarkStart w:id="1" w:name="_Int_3ZCRcYp4"/>
      <w:r w:rsidRPr="00345944">
        <w:rPr>
          <w:rFonts w:eastAsia="Calibri"/>
          <w:lang w:eastAsia="es-MX"/>
        </w:rPr>
        <w:t>, lo cual fue reconocida por el poder ejecutivo que quien tiene a su cargo el pago de los haberes previsionales.</w:t>
      </w:r>
      <w:bookmarkEnd w:id="1"/>
      <w:r w:rsidRPr="00345944">
        <w:rPr>
          <w:rFonts w:eastAsia="Calibri"/>
          <w:lang w:eastAsia="es-MX"/>
        </w:rPr>
        <w:t xml:space="preserve"> El gobierno lo reconoció públicamente y otorgó 23 bonos en 34 meses, solo en 11 meses no se dieron bonos y se siguen dando bonos .</w:t>
      </w:r>
    </w:p>
    <w:p w14:paraId="7966BB93" w14:textId="77777777" w:rsidR="00153866" w:rsidRPr="00345944" w:rsidRDefault="00AE45C3" w:rsidP="00153866">
      <w:pPr>
        <w:ind w:firstLine="1134"/>
        <w:jc w:val="center"/>
        <w:rPr>
          <w:rFonts w:eastAsia="Calibri"/>
          <w:lang w:eastAsia="es-MX"/>
        </w:rPr>
      </w:pPr>
      <w:r>
        <w:rPr>
          <w:rFonts w:eastAsia="Calibri"/>
          <w:noProof/>
          <w:lang w:eastAsia="es-MX"/>
        </w:rPr>
        <w:pict w14:anchorId="01BE8C53">
          <v:shape id="Imagen 3" o:spid="_x0000_i1027" type="#_x0000_t75" alt="Interfaz de usuario gráfica, Texto, Aplicación, Chat o mensaje de texto&#10;&#10;Descripción generada automáticamente" style="width:212.1pt;height:114.5pt;visibility:visible">
            <v:imagedata r:id="rId19" o:title="Interfaz de usuario gráfica, Texto, Aplicación, Chat o mensaje de texto&#10;&#10;Descripción generada automáticamente"/>
          </v:shape>
        </w:pict>
      </w:r>
    </w:p>
    <w:p w14:paraId="7536E2D2" w14:textId="77777777" w:rsidR="00153866" w:rsidRPr="00345944" w:rsidRDefault="00153866" w:rsidP="00153866">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55A88C32" w14:textId="77777777" w:rsidR="00153866" w:rsidRPr="00345944" w:rsidRDefault="00153866" w:rsidP="00153866">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20">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3E174862" w14:textId="77777777" w:rsidR="00153866" w:rsidRPr="00345944" w:rsidRDefault="00153866" w:rsidP="00153866">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2" w:name="_Int_Rwghe7Tz"/>
      <w:r w:rsidRPr="00345944">
        <w:rPr>
          <w:rFonts w:eastAsia="Calibri"/>
          <w:lang w:eastAsia="es-MX"/>
        </w:rPr>
        <w:t>Su haber jubilatorio no refleja el esfuerzo contributivo realizado a lo largo de su vida, y en consecuencia no resulta sustitutivo del salario.</w:t>
      </w:r>
      <w:bookmarkEnd w:id="2"/>
      <w:r w:rsidRPr="00345944">
        <w:rPr>
          <w:rFonts w:eastAsia="Calibri"/>
          <w:lang w:eastAsia="es-MX"/>
        </w:rPr>
        <w:t xml:space="preserve"> </w:t>
      </w:r>
    </w:p>
    <w:p w14:paraId="1E40B8DC" w14:textId="77777777" w:rsidR="00153866" w:rsidRPr="00345944" w:rsidRDefault="00153866" w:rsidP="00153866">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21">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22">
        <w:r w:rsidRPr="00345944">
          <w:rPr>
            <w:rFonts w:eastAsia="Calibri"/>
            <w:color w:val="0563C1"/>
            <w:u w:val="single"/>
            <w:lang w:eastAsia="es-MX"/>
          </w:rPr>
          <w:t>SMVM</w:t>
        </w:r>
      </w:hyperlink>
      <w:r w:rsidRPr="00345944">
        <w:rPr>
          <w:rFonts w:eastAsia="Calibri"/>
          <w:lang w:eastAsia="es-MX"/>
        </w:rPr>
        <w:t xml:space="preserve"> $ 156.000 al 12.23 y del </w:t>
      </w:r>
      <w:hyperlink r:id="rId23">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24">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pasado , pese a haber admitido el fracaso de la fórmula de movilidad jubilatoria , la pérdida que significo para los jubilados, y la situación de emergencia en que los colocó. </w:t>
      </w:r>
    </w:p>
    <w:p w14:paraId="3400A0EC" w14:textId="77777777" w:rsidR="00153866" w:rsidRPr="00345944" w:rsidRDefault="00153866" w:rsidP="00153866">
      <w:pPr>
        <w:jc w:val="both"/>
        <w:rPr>
          <w:rFonts w:eastAsia="Calibri"/>
          <w:lang w:eastAsia="es-MX"/>
        </w:rPr>
      </w:pPr>
    </w:p>
    <w:p w14:paraId="172A3EC6" w14:textId="77777777" w:rsidR="00153866" w:rsidRPr="00345944" w:rsidRDefault="00153866" w:rsidP="00153866">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25" w:history="1">
        <w:r w:rsidRPr="00345944">
          <w:rPr>
            <w:bCs/>
            <w:color w:val="0563C1"/>
            <w:u w:val="single"/>
            <w:lang w:eastAsia="es-MX"/>
          </w:rPr>
          <w:t>Fallos 301:317</w:t>
        </w:r>
      </w:hyperlink>
      <w:r w:rsidRPr="00345944">
        <w:rPr>
          <w:bCs/>
          <w:lang w:eastAsia="es-MX"/>
        </w:rPr>
        <w:t>).(el subrayado me pertenece)</w:t>
      </w:r>
    </w:p>
    <w:p w14:paraId="4AB6FEE1" w14:textId="77777777" w:rsidR="00153866" w:rsidRPr="00345944" w:rsidRDefault="00153866" w:rsidP="00153866">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695CEC7B" w14:textId="77777777" w:rsidR="00153866" w:rsidRPr="00345944" w:rsidRDefault="00153866" w:rsidP="00153866">
      <w:pPr>
        <w:ind w:firstLine="1134"/>
        <w:jc w:val="both"/>
        <w:rPr>
          <w:rFonts w:eastAsia="Calibri"/>
          <w:lang w:eastAsia="es-MX"/>
        </w:rPr>
      </w:pPr>
      <w:r w:rsidRPr="00345944">
        <w:rPr>
          <w:lang w:eastAsia="es-MX"/>
        </w:rPr>
        <w:t xml:space="preserve">Dependerá el índice que se elija para comparar los aumentos que dio la </w:t>
      </w:r>
      <w:proofErr w:type="spellStart"/>
      <w:r w:rsidRPr="00345944">
        <w:rPr>
          <w:lang w:eastAsia="es-MX"/>
        </w:rPr>
        <w:t>Anses</w:t>
      </w:r>
      <w:proofErr w:type="spellEnd"/>
      <w:r w:rsidRPr="00345944">
        <w:rPr>
          <w:lang w:eastAsia="es-MX"/>
        </w:rPr>
        <w:t xml:space="preserve"> a los jubilados para ver la pérdida que tuvo el haber. Con cualquier índice que se elija pierde, pero con la inflación más, índice que se </w:t>
      </w:r>
      <w:proofErr w:type="spellStart"/>
      <w:r w:rsidRPr="00345944">
        <w:rPr>
          <w:lang w:eastAsia="es-MX"/>
        </w:rPr>
        <w:t>utlizará</w:t>
      </w:r>
      <w:proofErr w:type="spellEnd"/>
      <w:r w:rsidRPr="00345944">
        <w:rPr>
          <w:lang w:eastAsia="es-MX"/>
        </w:rPr>
        <w:t xml:space="preserve"> para la movilidad jubilatoria desde abril de 2024. 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2CE9165B" w14:textId="77777777" w:rsidR="00153866" w:rsidRPr="00345944" w:rsidRDefault="00153866" w:rsidP="00153866">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050B7B93" w14:textId="77777777" w:rsidR="00153866" w:rsidRPr="00345944" w:rsidRDefault="00153866" w:rsidP="00153866">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24907A11" w14:textId="77777777" w:rsidR="00153866" w:rsidRPr="00345944" w:rsidRDefault="00AE45C3" w:rsidP="00153866">
      <w:pPr>
        <w:spacing w:after="200"/>
        <w:ind w:firstLine="426"/>
        <w:contextualSpacing/>
        <w:jc w:val="both"/>
        <w:rPr>
          <w:bCs/>
          <w:lang w:eastAsia="es-MX"/>
        </w:rPr>
      </w:pPr>
      <w:r>
        <w:rPr>
          <w:rFonts w:ascii="Calibri" w:eastAsia="Calibri" w:hAnsi="Calibri"/>
          <w:noProof/>
        </w:rPr>
        <w:pict w14:anchorId="061A0C4B">
          <v:shape id="Imagen 2" o:spid="_x0000_i1028" type="#_x0000_t75" style="width:424.9pt;height:116.15pt;visibility:visible">
            <v:imagedata r:id="rId26" o:title=""/>
          </v:shape>
        </w:pict>
      </w:r>
    </w:p>
    <w:p w14:paraId="55A7927A" w14:textId="77777777" w:rsidR="00153866" w:rsidRPr="00345944" w:rsidRDefault="00153866" w:rsidP="00153866">
      <w:pPr>
        <w:ind w:firstLine="1560"/>
        <w:jc w:val="both"/>
        <w:rPr>
          <w:rFonts w:eastAsia="Calibri"/>
        </w:rPr>
      </w:pPr>
      <w:r w:rsidRPr="00345944">
        <w:rPr>
          <w:lang w:eastAsia="es-MX"/>
        </w:rPr>
        <w:t xml:space="preserve">Los  bonos otorgados a las jubilaciones mínimas, a diciembre de 2023,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27">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18AB23EC" w14:textId="77777777" w:rsidR="00153866" w:rsidRPr="00345944" w:rsidRDefault="00AE45C3" w:rsidP="00153866">
      <w:pPr>
        <w:ind w:firstLine="1560"/>
        <w:jc w:val="both"/>
        <w:rPr>
          <w:lang w:eastAsia="es-MX"/>
        </w:rPr>
      </w:pPr>
      <w:r>
        <w:rPr>
          <w:noProof/>
          <w:lang w:eastAsia="es-MX"/>
        </w:rPr>
        <w:pict w14:anchorId="30565F4F">
          <v:shape id="_x0000_i1029" type="#_x0000_t75" alt="Gráfico, Gráfico de barras&#10;&#10;Descripción generada automáticamente" style="width:252pt;height:171.7pt;visibility:visible">
            <v:imagedata r:id="rId28" o:title="Gráfico, Gráfico de barras&#10;&#10;Descripción generada automáticamente"/>
          </v:shape>
        </w:pict>
      </w:r>
    </w:p>
    <w:p w14:paraId="788DC0CA" w14:textId="77777777" w:rsidR="00153866" w:rsidRPr="00345944" w:rsidRDefault="00153866" w:rsidP="00153866">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9"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30"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31" w:history="1">
        <w:r w:rsidRPr="00345944">
          <w:rPr>
            <w:rFonts w:eastAsia="Calibri"/>
            <w:color w:val="0563C1"/>
            <w:u w:val="single"/>
            <w:lang w:eastAsia="es-AR"/>
          </w:rPr>
          <w:t>“Itzcovich”(</w:t>
        </w:r>
      </w:hyperlink>
      <w:r w:rsidRPr="00345944">
        <w:rPr>
          <w:rFonts w:eastAsia="Calibri"/>
          <w:lang w:eastAsia="es-AR"/>
        </w:rPr>
        <w:t>328:566),</w:t>
      </w:r>
      <w:hyperlink r:id="rId32" w:history="1">
        <w:r w:rsidRPr="00345944">
          <w:rPr>
            <w:rFonts w:eastAsia="Calibri"/>
            <w:color w:val="0563C1"/>
            <w:u w:val="single"/>
            <w:lang w:eastAsia="es-AR"/>
          </w:rPr>
          <w:t>“Sánchez”</w:t>
        </w:r>
      </w:hyperlink>
      <w:r w:rsidRPr="00345944">
        <w:rPr>
          <w:rFonts w:eastAsia="Calibri"/>
          <w:lang w:eastAsia="es-AR"/>
        </w:rPr>
        <w:t>(328:1602),</w:t>
      </w:r>
      <w:hyperlink r:id="rId33" w:history="1">
        <w:r w:rsidRPr="00345944">
          <w:rPr>
            <w:rFonts w:eastAsia="Calibri"/>
            <w:color w:val="0563C1"/>
            <w:u w:val="single"/>
            <w:lang w:eastAsia="es-AR"/>
          </w:rPr>
          <w:t>“Badaro”(</w:t>
        </w:r>
      </w:hyperlink>
      <w:r w:rsidRPr="00345944">
        <w:rPr>
          <w:rFonts w:eastAsia="Calibri"/>
          <w:lang w:eastAsia="es-AR"/>
        </w:rPr>
        <w:t>330:4866),</w:t>
      </w:r>
      <w:bookmarkStart w:id="3"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3"/>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34" w:history="1">
        <w:r w:rsidRPr="00345944">
          <w:rPr>
            <w:rFonts w:eastAsia="Calibri"/>
            <w:color w:val="0563C1"/>
            <w:u w:val="single"/>
            <w:lang w:eastAsia="es-AR"/>
          </w:rPr>
          <w:t>Garay Corina</w:t>
        </w:r>
      </w:hyperlink>
      <w:r w:rsidRPr="00345944">
        <w:rPr>
          <w:rFonts w:eastAsia="Calibri"/>
          <w:lang w:eastAsia="es-AR"/>
        </w:rPr>
        <w:t>” (344:3567) entre otros.</w:t>
      </w:r>
    </w:p>
    <w:p w14:paraId="7129FE17" w14:textId="77777777" w:rsidR="00153866" w:rsidRPr="00345944" w:rsidRDefault="00153866" w:rsidP="00153866">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35"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7305AA2B" w14:textId="77777777" w:rsidR="00153866" w:rsidRPr="00345944" w:rsidRDefault="00153866" w:rsidP="00153866">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w:t>
      </w:r>
      <w:proofErr w:type="spellStart"/>
      <w:r w:rsidRPr="00345944">
        <w:rPr>
          <w:rFonts w:eastAsia="Calibri"/>
          <w:color w:val="000000"/>
          <w:lang w:eastAsia="es-AR"/>
        </w:rPr>
        <w:t>Cassagne</w:t>
      </w:r>
      <w:proofErr w:type="spellEnd"/>
      <w:r w:rsidRPr="00345944">
        <w:rPr>
          <w:rFonts w:eastAsia="Calibri"/>
          <w:color w:val="000000"/>
          <w:lang w:eastAsia="es-AR"/>
        </w:rPr>
        <w:t xml:space="preserv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3B5E3087" w14:textId="77777777" w:rsidR="00153866" w:rsidRPr="00345944" w:rsidRDefault="00153866" w:rsidP="00153866">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27787D17" w14:textId="77777777" w:rsidR="00153866" w:rsidRPr="00345944" w:rsidRDefault="00153866" w:rsidP="00153866">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5463B139" w14:textId="77777777" w:rsidR="00153866" w:rsidRPr="00345944" w:rsidRDefault="00153866" w:rsidP="00153866">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0F92B7B2" w14:textId="77777777" w:rsidR="00153866" w:rsidRPr="00345944" w:rsidRDefault="00153866" w:rsidP="00153866">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0A9DCEEE" w14:textId="77777777" w:rsidR="00153866" w:rsidRPr="00345944" w:rsidRDefault="00153866" w:rsidP="00153866">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36">
        <w:r w:rsidRPr="00345944">
          <w:rPr>
            <w:rFonts w:eastAsia="Calibri"/>
            <w:i/>
            <w:iCs/>
            <w:color w:val="0563C1"/>
            <w:u w:val="single"/>
            <w:lang w:eastAsia="es-AR"/>
          </w:rPr>
          <w:t>Fallos 341:1924</w:t>
        </w:r>
      </w:hyperlink>
      <w:r w:rsidRPr="00345944">
        <w:rPr>
          <w:rFonts w:eastAsia="Calibri"/>
          <w:i/>
          <w:iCs/>
          <w:color w:val="000000"/>
          <w:lang w:eastAsia="es-AR"/>
        </w:rPr>
        <w:t>).</w:t>
      </w:r>
    </w:p>
    <w:p w14:paraId="63183AD4" w14:textId="77777777" w:rsidR="00153866" w:rsidRPr="00345944" w:rsidRDefault="00153866" w:rsidP="00153866">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w:t>
      </w:r>
      <w:proofErr w:type="spellStart"/>
      <w:r w:rsidRPr="00345944">
        <w:rPr>
          <w:rFonts w:eastAsia="Calibri"/>
          <w:i/>
          <w:iCs/>
          <w:color w:val="000000"/>
          <w:lang w:eastAsia="es-AR"/>
        </w:rPr>
        <w:t>sustitutividad</w:t>
      </w:r>
      <w:proofErr w:type="spellEnd"/>
      <w:r w:rsidRPr="00345944">
        <w:rPr>
          <w:rFonts w:eastAsia="Calibri"/>
          <w:i/>
          <w:iCs/>
          <w:color w:val="000000"/>
          <w:lang w:eastAsia="es-AR"/>
        </w:rPr>
        <w:t>,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p>
    <w:p w14:paraId="3395C3F6" w14:textId="77777777" w:rsidR="00153866" w:rsidRDefault="00153866" w:rsidP="00153866">
      <w:pPr>
        <w:autoSpaceDE w:val="0"/>
        <w:autoSpaceDN w:val="0"/>
        <w:adjustRightInd w:val="0"/>
        <w:spacing w:line="276" w:lineRule="auto"/>
        <w:ind w:left="1134"/>
        <w:jc w:val="both"/>
        <w:rPr>
          <w:b/>
          <w:bCs/>
        </w:rPr>
      </w:pPr>
    </w:p>
    <w:p w14:paraId="138B9241" w14:textId="77777777"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C7691F1" w14:textId="77777777" w:rsidR="003A4887" w:rsidRDefault="003A4887" w:rsidP="003A4887">
      <w:pPr>
        <w:autoSpaceDE w:val="0"/>
        <w:autoSpaceDN w:val="0"/>
        <w:adjustRightInd w:val="0"/>
        <w:ind w:firstLine="993"/>
        <w:jc w:val="both"/>
      </w:pPr>
      <w:r>
        <w:rPr>
          <w:lang w:val="es-AR"/>
        </w:rPr>
        <w:t xml:space="preserve">Habiendo venció del plazo para que la demandada </w:t>
      </w:r>
      <w:proofErr w:type="spellStart"/>
      <w:r>
        <w:rPr>
          <w:lang w:val="es-AR"/>
        </w:rPr>
        <w:t>Anses</w:t>
      </w:r>
      <w:proofErr w:type="spellEnd"/>
      <w:r>
        <w:rPr>
          <w:lang w:val="es-AR"/>
        </w:rPr>
        <w:t xml:space="preserve"> cumpla de manera correcta con la sentencia recaída en autos y teniendo en consideración su reiterada conducta de mostrarse reticente en el cumplimento integral de la manda judicial, aun cuando denuncia pagos que no se corresponden con lo ordenado,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1BC9AB96" w14:textId="77777777" w:rsidR="003A4887" w:rsidRDefault="003A4887" w:rsidP="003A4887">
      <w:pPr>
        <w:autoSpaceDE w:val="0"/>
        <w:autoSpaceDN w:val="0"/>
        <w:adjustRightInd w:val="0"/>
        <w:ind w:firstLine="993"/>
        <w:jc w:val="both"/>
        <w:rPr>
          <w:b/>
          <w:bCs/>
        </w:rPr>
      </w:pPr>
    </w:p>
    <w:p w14:paraId="22C855A9"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7A8B08C3"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42DC0EE9"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F34D40B" w14:textId="77777777" w:rsidR="003A4887" w:rsidRDefault="003A4887" w:rsidP="003A4887">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78B763D6" w14:textId="77777777" w:rsidR="003A4887" w:rsidRDefault="003A4887" w:rsidP="003A4887">
      <w:pPr>
        <w:numPr>
          <w:ilvl w:val="0"/>
          <w:numId w:val="38"/>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2E7E11A3"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35776EA9"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41DD181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59F139BD"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1640E147" w14:textId="77777777" w:rsidR="003A4887" w:rsidRDefault="003A4887" w:rsidP="003A4887">
      <w:pPr>
        <w:autoSpaceDE w:val="0"/>
        <w:autoSpaceDN w:val="0"/>
        <w:adjustRightInd w:val="0"/>
        <w:ind w:firstLine="1134"/>
        <w:jc w:val="both"/>
        <w:rPr>
          <w:lang w:val="es-MX"/>
        </w:rPr>
      </w:pPr>
    </w:p>
    <w:p w14:paraId="520F1D8F" w14:textId="77777777" w:rsidR="003A4887" w:rsidRDefault="003A4887" w:rsidP="003A4887">
      <w:pPr>
        <w:numPr>
          <w:ilvl w:val="0"/>
          <w:numId w:val="40"/>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28EDDCB4" w14:textId="77777777" w:rsidR="003A4887" w:rsidRDefault="003A4887" w:rsidP="003A4887">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4838B27E" w14:textId="77777777" w:rsidR="003A4887" w:rsidRDefault="003A4887" w:rsidP="003A4887">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42246217" w14:textId="77777777" w:rsidR="003A4887" w:rsidRDefault="003A4887" w:rsidP="003A4887">
      <w:pPr>
        <w:numPr>
          <w:ilvl w:val="0"/>
          <w:numId w:val="41"/>
        </w:numPr>
        <w:autoSpaceDE w:val="0"/>
        <w:autoSpaceDN w:val="0"/>
        <w:adjustRightInd w:val="0"/>
        <w:spacing w:line="276" w:lineRule="auto"/>
        <w:jc w:val="both"/>
        <w:rPr>
          <w:lang w:val="es-MX"/>
        </w:rPr>
      </w:pPr>
      <w:r>
        <w:rPr>
          <w:lang w:val="es-MX"/>
        </w:rPr>
        <w:t xml:space="preserve">Tasa Pasiva del Banco de la Nación Argentina TNA 167.38% </w:t>
      </w:r>
    </w:p>
    <w:p w14:paraId="08D3EFCA" w14:textId="77777777" w:rsidR="003A4887" w:rsidRDefault="003A4887" w:rsidP="003A4887">
      <w:pPr>
        <w:numPr>
          <w:ilvl w:val="0"/>
          <w:numId w:val="41"/>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45A2CD48" w14:textId="77777777" w:rsidR="003A4887" w:rsidRDefault="003A4887" w:rsidP="003A4887">
      <w:pPr>
        <w:numPr>
          <w:ilvl w:val="0"/>
          <w:numId w:val="41"/>
        </w:numPr>
        <w:autoSpaceDE w:val="0"/>
        <w:autoSpaceDN w:val="0"/>
        <w:adjustRightInd w:val="0"/>
        <w:spacing w:line="276" w:lineRule="auto"/>
        <w:jc w:val="both"/>
        <w:rPr>
          <w:lang w:val="es-MX"/>
        </w:rPr>
      </w:pPr>
      <w:r>
        <w:rPr>
          <w:lang w:val="es-MX"/>
        </w:rPr>
        <w:t>Tuvo que endeudarse con tarjetas de créditos TNA 147.63%, siendo su CFTEA 302,81%</w:t>
      </w:r>
    </w:p>
    <w:p w14:paraId="11AA2624" w14:textId="77777777" w:rsidR="003A4887" w:rsidRDefault="003A4887" w:rsidP="003A4887">
      <w:pPr>
        <w:numPr>
          <w:ilvl w:val="0"/>
          <w:numId w:val="41"/>
        </w:numPr>
        <w:autoSpaceDE w:val="0"/>
        <w:autoSpaceDN w:val="0"/>
        <w:adjustRightInd w:val="0"/>
        <w:spacing w:line="276" w:lineRule="auto"/>
        <w:jc w:val="both"/>
        <w:rPr>
          <w:lang w:val="es-MX"/>
        </w:rPr>
      </w:pPr>
      <w:r>
        <w:rPr>
          <w:lang w:val="es-MX"/>
        </w:rPr>
        <w:t>Solicitar préstamos personales en Banco Nación, TNA 177,87%. CFT 425,20%</w:t>
      </w:r>
    </w:p>
    <w:p w14:paraId="4785E488" w14:textId="77777777" w:rsidR="003A4887" w:rsidRDefault="003A4887" w:rsidP="003A4887">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769D0ABF" w14:textId="77777777" w:rsidR="003A4887" w:rsidRDefault="003A4887" w:rsidP="003A4887">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01B23D52" w14:textId="77777777" w:rsidR="003A4887" w:rsidRDefault="003A4887" w:rsidP="003A4887">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3A4887" w14:paraId="30AB0B67" w14:textId="77777777" w:rsidTr="00185189">
        <w:trPr>
          <w:trHeight w:val="300"/>
          <w:jc w:val="center"/>
        </w:trPr>
        <w:tc>
          <w:tcPr>
            <w:tcW w:w="1843" w:type="dxa"/>
            <w:noWrap/>
            <w:vAlign w:val="bottom"/>
            <w:hideMark/>
          </w:tcPr>
          <w:p w14:paraId="2DE7370D" w14:textId="77777777" w:rsidR="003A4887" w:rsidRDefault="003A4887" w:rsidP="00185189">
            <w:pPr>
              <w:rPr>
                <w:lang w:val="es-MX"/>
              </w:rPr>
            </w:pPr>
          </w:p>
        </w:tc>
        <w:tc>
          <w:tcPr>
            <w:tcW w:w="1559" w:type="dxa"/>
            <w:noWrap/>
            <w:vAlign w:val="bottom"/>
            <w:hideMark/>
          </w:tcPr>
          <w:p w14:paraId="1A37B369" w14:textId="77777777" w:rsidR="003A4887" w:rsidRDefault="003A4887" w:rsidP="00185189">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65EA8AC6" w14:textId="77777777" w:rsidR="003A4887" w:rsidRDefault="003A4887" w:rsidP="00185189">
            <w:pPr>
              <w:rPr>
                <w:rFonts w:ascii="Calibri" w:hAnsi="Calibri" w:cs="Calibri"/>
                <w:b/>
                <w:bCs/>
                <w:color w:val="000000"/>
                <w:sz w:val="22"/>
                <w:szCs w:val="22"/>
              </w:rPr>
            </w:pPr>
          </w:p>
        </w:tc>
        <w:tc>
          <w:tcPr>
            <w:tcW w:w="1420" w:type="dxa"/>
            <w:noWrap/>
            <w:vAlign w:val="bottom"/>
            <w:hideMark/>
          </w:tcPr>
          <w:p w14:paraId="71DAC0A4" w14:textId="77777777" w:rsidR="003A4887" w:rsidRDefault="003A4887" w:rsidP="00185189">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701D574D" w14:textId="77777777" w:rsidR="003A4887" w:rsidRDefault="003A4887" w:rsidP="00185189">
            <w:pPr>
              <w:rPr>
                <w:rFonts w:ascii="Calibri" w:hAnsi="Calibri" w:cs="Calibri"/>
                <w:color w:val="000000"/>
                <w:sz w:val="22"/>
                <w:szCs w:val="22"/>
              </w:rPr>
            </w:pPr>
          </w:p>
        </w:tc>
      </w:tr>
      <w:tr w:rsidR="003A4887" w14:paraId="0BA3476B" w14:textId="77777777" w:rsidTr="00185189">
        <w:trPr>
          <w:trHeight w:val="300"/>
          <w:jc w:val="center"/>
        </w:trPr>
        <w:tc>
          <w:tcPr>
            <w:tcW w:w="1843" w:type="dxa"/>
            <w:noWrap/>
            <w:vAlign w:val="bottom"/>
            <w:hideMark/>
          </w:tcPr>
          <w:p w14:paraId="2CE12D96" w14:textId="77777777" w:rsidR="003A4887" w:rsidRDefault="003A4887" w:rsidP="00185189">
            <w:pPr>
              <w:rPr>
                <w:sz w:val="20"/>
                <w:szCs w:val="20"/>
                <w:lang w:val="es-AR" w:eastAsia="es-AR"/>
              </w:rPr>
            </w:pPr>
          </w:p>
        </w:tc>
        <w:tc>
          <w:tcPr>
            <w:tcW w:w="1559" w:type="dxa"/>
            <w:noWrap/>
            <w:vAlign w:val="bottom"/>
            <w:hideMark/>
          </w:tcPr>
          <w:p w14:paraId="559E8BB0" w14:textId="77777777" w:rsidR="003A4887" w:rsidRDefault="003A4887" w:rsidP="00185189">
            <w:pPr>
              <w:rPr>
                <w:sz w:val="20"/>
                <w:szCs w:val="20"/>
                <w:lang w:val="es-AR" w:eastAsia="es-AR"/>
              </w:rPr>
            </w:pPr>
          </w:p>
        </w:tc>
        <w:tc>
          <w:tcPr>
            <w:tcW w:w="1108" w:type="dxa"/>
            <w:noWrap/>
            <w:vAlign w:val="bottom"/>
            <w:hideMark/>
          </w:tcPr>
          <w:p w14:paraId="3E61C19E" w14:textId="77777777" w:rsidR="003A4887" w:rsidRDefault="003A4887" w:rsidP="00185189">
            <w:pPr>
              <w:rPr>
                <w:sz w:val="20"/>
                <w:szCs w:val="20"/>
                <w:lang w:val="es-AR" w:eastAsia="es-AR"/>
              </w:rPr>
            </w:pPr>
          </w:p>
        </w:tc>
        <w:tc>
          <w:tcPr>
            <w:tcW w:w="1420" w:type="dxa"/>
            <w:noWrap/>
            <w:vAlign w:val="bottom"/>
            <w:hideMark/>
          </w:tcPr>
          <w:p w14:paraId="474DACB4" w14:textId="77777777" w:rsidR="003A4887" w:rsidRDefault="003A4887" w:rsidP="00185189">
            <w:pPr>
              <w:rPr>
                <w:sz w:val="20"/>
                <w:szCs w:val="20"/>
                <w:lang w:val="es-AR" w:eastAsia="es-AR"/>
              </w:rPr>
            </w:pPr>
          </w:p>
        </w:tc>
        <w:tc>
          <w:tcPr>
            <w:tcW w:w="1420" w:type="dxa"/>
            <w:noWrap/>
            <w:vAlign w:val="bottom"/>
            <w:hideMark/>
          </w:tcPr>
          <w:p w14:paraId="09E75B39" w14:textId="77777777" w:rsidR="003A4887" w:rsidRDefault="003A4887" w:rsidP="00185189">
            <w:pPr>
              <w:rPr>
                <w:sz w:val="20"/>
                <w:szCs w:val="20"/>
                <w:lang w:val="es-AR" w:eastAsia="es-AR"/>
              </w:rPr>
            </w:pPr>
          </w:p>
        </w:tc>
      </w:tr>
      <w:tr w:rsidR="003A4887" w14:paraId="05AEB5C3" w14:textId="77777777" w:rsidTr="00185189">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11F77FB5" w14:textId="77777777" w:rsidR="003A4887" w:rsidRDefault="003A4887" w:rsidP="00185189">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5EEB0032"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787355E7"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7BB373A7"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2E68CDDF"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3A4887" w14:paraId="21A5A1DB" w14:textId="77777777" w:rsidTr="00185189">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1A7FB3D6" w14:textId="77777777" w:rsidR="003A4887" w:rsidRDefault="003A4887" w:rsidP="00185189">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3022E2D9"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45656AF6"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5EC527D2"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4C9595EE" w14:textId="77777777" w:rsidR="003A4887" w:rsidRDefault="003A4887" w:rsidP="00185189">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3A4887" w14:paraId="2A9535A9" w14:textId="77777777" w:rsidTr="00185189">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6A3F1297" w14:textId="77777777" w:rsidR="003A4887" w:rsidRDefault="003A4887" w:rsidP="00185189">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10B9285D"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2A4E34C7"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154B8A97"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0E108399"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177,87%</w:t>
            </w:r>
          </w:p>
        </w:tc>
      </w:tr>
      <w:tr w:rsidR="003A4887" w14:paraId="4324ACC5" w14:textId="77777777" w:rsidTr="00185189">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39386D43" w14:textId="77777777" w:rsidR="003A4887" w:rsidRDefault="003A4887" w:rsidP="00185189">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44C46726"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3DB60568"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0AFA3024"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3B1581E3"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1.778.700</w:t>
            </w:r>
          </w:p>
        </w:tc>
      </w:tr>
      <w:tr w:rsidR="003A4887" w14:paraId="47B1651A" w14:textId="77777777" w:rsidTr="00185189">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7104CA18" w14:textId="77777777" w:rsidR="003A4887" w:rsidRDefault="003A4887" w:rsidP="00185189">
            <w:pPr>
              <w:jc w:val="right"/>
              <w:rPr>
                <w:rFonts w:ascii="Calibri" w:hAnsi="Calibri" w:cs="Calibri"/>
                <w:color w:val="000000"/>
                <w:sz w:val="22"/>
                <w:szCs w:val="22"/>
              </w:rPr>
            </w:pPr>
            <w:r>
              <w:rPr>
                <w:rFonts w:ascii="Calibri" w:hAnsi="Calibri" w:cs="Calibri"/>
                <w:color w:val="000000"/>
                <w:sz w:val="22"/>
                <w:szCs w:val="22"/>
              </w:rPr>
              <w:t>Total de la Deuda</w:t>
            </w:r>
          </w:p>
        </w:tc>
        <w:tc>
          <w:tcPr>
            <w:tcW w:w="1559" w:type="dxa"/>
            <w:tcBorders>
              <w:top w:val="nil"/>
              <w:left w:val="nil"/>
              <w:bottom w:val="single" w:sz="4" w:space="0" w:color="auto"/>
              <w:right w:val="single" w:sz="4" w:space="0" w:color="auto"/>
            </w:tcBorders>
            <w:noWrap/>
            <w:vAlign w:val="bottom"/>
            <w:hideMark/>
          </w:tcPr>
          <w:p w14:paraId="5FC9F453"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61AF0CDC"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138D45AB"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2DB65A42" w14:textId="77777777" w:rsidR="003A4887" w:rsidRDefault="003A4887" w:rsidP="00185189">
            <w:pPr>
              <w:jc w:val="center"/>
              <w:rPr>
                <w:rFonts w:ascii="Calibri" w:hAnsi="Calibri" w:cs="Calibri"/>
                <w:color w:val="000000"/>
                <w:sz w:val="22"/>
                <w:szCs w:val="22"/>
              </w:rPr>
            </w:pPr>
            <w:r>
              <w:rPr>
                <w:rFonts w:ascii="Calibri" w:hAnsi="Calibri" w:cs="Calibri"/>
                <w:color w:val="000000"/>
                <w:sz w:val="22"/>
                <w:szCs w:val="22"/>
              </w:rPr>
              <w:t>2.778.700</w:t>
            </w:r>
          </w:p>
        </w:tc>
      </w:tr>
    </w:tbl>
    <w:p w14:paraId="7B806917" w14:textId="77777777" w:rsidR="003A4887" w:rsidRDefault="003A4887" w:rsidP="003A4887">
      <w:pPr>
        <w:autoSpaceDE w:val="0"/>
        <w:autoSpaceDN w:val="0"/>
        <w:adjustRightInd w:val="0"/>
        <w:ind w:firstLine="1134"/>
        <w:jc w:val="both"/>
        <w:rPr>
          <w:lang w:val="es-MX"/>
        </w:rPr>
      </w:pPr>
    </w:p>
    <w:p w14:paraId="084C7E9C" w14:textId="77777777" w:rsidR="003A4887" w:rsidRDefault="003A4887" w:rsidP="003A4887">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79A1E5D5" w14:textId="77777777" w:rsidR="00672366" w:rsidRDefault="00672366" w:rsidP="003833D6">
      <w:pPr>
        <w:autoSpaceDE w:val="0"/>
        <w:autoSpaceDN w:val="0"/>
        <w:adjustRightInd w:val="0"/>
        <w:spacing w:line="276" w:lineRule="auto"/>
        <w:ind w:firstLine="1134"/>
        <w:jc w:val="both"/>
        <w:rPr>
          <w:b/>
          <w:color w:val="000000"/>
        </w:rPr>
      </w:pPr>
    </w:p>
    <w:bookmarkEnd w:id="0"/>
    <w:p w14:paraId="52FB214D" w14:textId="77777777" w:rsidR="00586D8A" w:rsidRPr="00586D8A" w:rsidRDefault="00586D8A" w:rsidP="0044098F">
      <w:pPr>
        <w:numPr>
          <w:ilvl w:val="0"/>
          <w:numId w:val="16"/>
        </w:numPr>
        <w:autoSpaceDE w:val="0"/>
        <w:autoSpaceDN w:val="0"/>
        <w:adjustRightInd w:val="0"/>
        <w:spacing w:line="276" w:lineRule="auto"/>
        <w:jc w:val="both"/>
        <w:rPr>
          <w:b/>
          <w:bCs/>
        </w:rPr>
      </w:pPr>
      <w:r w:rsidRPr="00586D8A">
        <w:rPr>
          <w:b/>
          <w:bCs/>
        </w:rPr>
        <w:t>Astreintes</w:t>
      </w:r>
    </w:p>
    <w:p w14:paraId="073969CF" w14:textId="77777777" w:rsidR="00544398" w:rsidRDefault="008D15B9" w:rsidP="003833D6">
      <w:pPr>
        <w:autoSpaceDE w:val="0"/>
        <w:autoSpaceDN w:val="0"/>
        <w:adjustRightInd w:val="0"/>
        <w:spacing w:line="276" w:lineRule="auto"/>
        <w:ind w:firstLine="1134"/>
        <w:jc w:val="both"/>
      </w:pPr>
      <w:r w:rsidRPr="008D15B9">
        <w:t>S</w:t>
      </w:r>
      <w:r w:rsidR="0094495C" w:rsidRPr="008D15B9">
        <w:t>olicit</w:t>
      </w:r>
      <w:r w:rsidRPr="008D15B9">
        <w:t>o</w:t>
      </w:r>
      <w:r w:rsidR="0094495C" w:rsidRPr="008D15B9">
        <w:t xml:space="preserve"> se intime al organismo previsional</w:t>
      </w:r>
      <w:r w:rsidR="00AB62F5">
        <w:t xml:space="preserve"> a que proceda a reajustar el haber de mi mandante </w:t>
      </w:r>
      <w:r w:rsidR="0094495C" w:rsidRPr="008D15B9">
        <w:t>bajo apercibimiento de aplicar astreintes</w:t>
      </w:r>
      <w:r w:rsidR="004D060E">
        <w:t xml:space="preserve"> ejemplificativas</w:t>
      </w:r>
      <w:r w:rsidR="0094495C" w:rsidRPr="008D15B9">
        <w:t xml:space="preserve"> por cada día de demora en efectivizar la medida ordenada</w:t>
      </w:r>
      <w:r w:rsidR="00AB62F5">
        <w:t xml:space="preserve">, como así también </w:t>
      </w:r>
      <w:r w:rsidR="00672366">
        <w:t>se identifique</w:t>
      </w:r>
      <w:r w:rsidR="00586D8A">
        <w:t xml:space="preserve"> al funcionario </w:t>
      </w:r>
      <w:r w:rsidR="00AB62F5">
        <w:t xml:space="preserve">responsable de cumplir con </w:t>
      </w:r>
      <w:r w:rsidR="00672366">
        <w:t>la manda</w:t>
      </w:r>
      <w:r w:rsidR="00586D8A">
        <w:t xml:space="preserve"> judicial</w:t>
      </w:r>
      <w:r w:rsidR="00AB62F5">
        <w:t>.</w:t>
      </w:r>
    </w:p>
    <w:p w14:paraId="409CCDB7" w14:textId="77777777" w:rsidR="004D060E" w:rsidRDefault="004D060E" w:rsidP="003833D6">
      <w:pPr>
        <w:autoSpaceDE w:val="0"/>
        <w:autoSpaceDN w:val="0"/>
        <w:adjustRightInd w:val="0"/>
        <w:spacing w:line="276" w:lineRule="auto"/>
        <w:ind w:firstLine="1134"/>
        <w:jc w:val="both"/>
        <w:rPr>
          <w:b/>
        </w:rPr>
      </w:pPr>
    </w:p>
    <w:p w14:paraId="5A8CC311"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652437FE"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3984FCCA"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3DE2B257"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3CE08F18"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0DDE5D3E"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26ABDEFA"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2A95F34A"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3"/>
      </w:r>
    </w:p>
    <w:p w14:paraId="55A328E3" w14:textId="77777777" w:rsidR="008B4C8E" w:rsidRDefault="00544398" w:rsidP="003833D6">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4"/>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6F645F7C" w14:textId="77777777" w:rsidR="00802E04" w:rsidRDefault="00802E04" w:rsidP="003833D6">
      <w:pPr>
        <w:autoSpaceDE w:val="0"/>
        <w:autoSpaceDN w:val="0"/>
        <w:adjustRightInd w:val="0"/>
        <w:spacing w:line="276" w:lineRule="auto"/>
        <w:ind w:firstLine="1134"/>
        <w:jc w:val="both"/>
        <w:rPr>
          <w:lang w:val="es-AR"/>
        </w:rPr>
      </w:pPr>
    </w:p>
    <w:p w14:paraId="78AFFBC6" w14:textId="77777777" w:rsidR="00802E04" w:rsidRPr="00DA146B" w:rsidRDefault="00802E04" w:rsidP="00802E04">
      <w:pPr>
        <w:numPr>
          <w:ilvl w:val="0"/>
          <w:numId w:val="16"/>
        </w:numPr>
        <w:autoSpaceDE w:val="0"/>
        <w:autoSpaceDN w:val="0"/>
        <w:adjustRightInd w:val="0"/>
        <w:jc w:val="both"/>
        <w:rPr>
          <w:b/>
          <w:u w:val="single"/>
        </w:rPr>
      </w:pPr>
      <w:r w:rsidRPr="00DA146B">
        <w:rPr>
          <w:b/>
          <w:u w:val="single"/>
        </w:rPr>
        <w:t>De la Inconstitucionalidad del Régimen de Movilidad Argentino.</w:t>
      </w:r>
    </w:p>
    <w:p w14:paraId="125AD225" w14:textId="77777777" w:rsidR="00802E04" w:rsidRDefault="00802E04" w:rsidP="00802E04">
      <w:pPr>
        <w:spacing w:after="7"/>
        <w:ind w:right="49" w:firstLine="1701"/>
        <w:jc w:val="both"/>
        <w:rPr>
          <w:color w:val="000000"/>
          <w:lang w:eastAsia="es-AR"/>
        </w:rPr>
      </w:pPr>
      <w:r w:rsidRPr="00DA146B">
        <w:rPr>
          <w:color w:val="000000"/>
          <w:lang w:eastAsia="es-AR"/>
        </w:rPr>
        <w:t xml:space="preserve">Si de algo carece el jubilado Argentino es de la falta de previsibilidad y de seguridad jurídica respecto de su futuro como Jubilado, pero lo que es claro es que siempre pierde, lo cual va en contra de los principios que emanan de la Constitución Nacional, de la integralidad, </w:t>
      </w:r>
      <w:proofErr w:type="spellStart"/>
      <w:r w:rsidRPr="00DA146B">
        <w:rPr>
          <w:color w:val="000000"/>
          <w:lang w:eastAsia="es-AR"/>
        </w:rPr>
        <w:t>sustitutividad</w:t>
      </w:r>
      <w:proofErr w:type="spellEnd"/>
      <w:r w:rsidRPr="00DA146B">
        <w:rPr>
          <w:color w:val="000000"/>
          <w:lang w:eastAsia="es-AR"/>
        </w:rPr>
        <w:t xml:space="preserve"> , proporcionalidad, y solidaridad ( la correcta : intergeneracional) afectando con sus modificaciones constantes el principio de progresividad y en clara contradicción con los tratados internacionales de derechos humanos suscriptos por Argentina y con Jerarquía constitucional y que son acordes a la jurisprudencia del máximo tribunal en cuanto a la protección de los derechos de los adultos mayores por su particular situación de vulnerabilidad. </w:t>
      </w:r>
    </w:p>
    <w:p w14:paraId="413C889E" w14:textId="77777777" w:rsidR="00802E04" w:rsidRDefault="00802E04" w:rsidP="00802E04">
      <w:pPr>
        <w:spacing w:after="7"/>
        <w:ind w:right="49" w:firstLine="1701"/>
        <w:jc w:val="both"/>
        <w:rPr>
          <w:color w:val="000000"/>
          <w:lang w:eastAsia="es-AR"/>
        </w:rPr>
      </w:pPr>
      <w:r w:rsidRPr="00DA146B">
        <w:rPr>
          <w:color w:val="000000"/>
          <w:lang w:eastAsia="es-AR"/>
        </w:rPr>
        <w:t xml:space="preserve">Todas las modificaciones introducidas desde 1995 a la fecha en el régimen de movilidad, tiene un neto carácter regresivo, por cuanto la afectación de la movilidad dispuesta por las leyes anteriores se traduce siempre en un perjuicio económico confiscatorio para el beneficiario, reduciendo en forma retroactiva el monto del haber que le hubiese correspondido. </w:t>
      </w:r>
    </w:p>
    <w:p w14:paraId="4A51F18F" w14:textId="77777777" w:rsidR="00802E04" w:rsidRDefault="00802E04" w:rsidP="00802E04">
      <w:pPr>
        <w:spacing w:after="7"/>
        <w:ind w:right="49" w:firstLine="1701"/>
        <w:jc w:val="both"/>
        <w:rPr>
          <w:color w:val="000000"/>
          <w:lang w:eastAsia="es-AR"/>
        </w:rPr>
      </w:pPr>
      <w:r w:rsidRPr="00DA146B">
        <w:rPr>
          <w:color w:val="000000"/>
          <w:lang w:eastAsia="es-AR"/>
        </w:rPr>
        <w:t xml:space="preserve">Las modificaciones en la fórmula de cálculo de la movilidad previsional, no puede proyectarse en perjuicio de los jubilados y pensionados, debiendo adoptarse la solución que mejor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(Fallos 331:250). </w:t>
      </w:r>
    </w:p>
    <w:p w14:paraId="44ACE4D3" w14:textId="77777777" w:rsidR="00802E04" w:rsidRDefault="00802E04" w:rsidP="00802E04">
      <w:pPr>
        <w:spacing w:after="7"/>
        <w:ind w:right="49" w:firstLine="1701"/>
        <w:jc w:val="both"/>
        <w:rPr>
          <w:color w:val="000000"/>
          <w:lang w:eastAsia="es-AR"/>
        </w:rPr>
      </w:pPr>
      <w:r w:rsidRPr="00DA146B">
        <w:rPr>
          <w:color w:val="000000"/>
          <w:lang w:eastAsia="es-AR"/>
        </w:rPr>
        <w:t>El análisis de la constitucionalidad de la movilidad jubilatoria, debería ser analizado a través del prisma de los principios basales sentados en “</w:t>
      </w:r>
      <w:proofErr w:type="spellStart"/>
      <w:r w:rsidRPr="00DA146B">
        <w:rPr>
          <w:color w:val="000000"/>
          <w:lang w:eastAsia="es-AR"/>
        </w:rPr>
        <w:t>Caliva</w:t>
      </w:r>
      <w:proofErr w:type="spellEnd"/>
      <w:r w:rsidRPr="00DA146B">
        <w:rPr>
          <w:color w:val="000000"/>
          <w:lang w:eastAsia="es-AR"/>
        </w:rPr>
        <w:t xml:space="preserve">”, pero para el </w:t>
      </w:r>
      <w:r w:rsidRPr="00DA146B">
        <w:rPr>
          <w:color w:val="000000"/>
          <w:u w:val="single" w:color="000000"/>
          <w:lang w:eastAsia="es-AR"/>
        </w:rPr>
        <w:t>periodo 2018 a 202</w:t>
      </w:r>
      <w:r>
        <w:rPr>
          <w:color w:val="000000"/>
          <w:u w:val="single" w:color="000000"/>
          <w:lang w:eastAsia="es-AR"/>
        </w:rPr>
        <w:t>3</w:t>
      </w:r>
      <w:r w:rsidRPr="00DA146B">
        <w:rPr>
          <w:color w:val="000000"/>
          <w:lang w:eastAsia="es-AR"/>
        </w:rPr>
        <w:t xml:space="preserve">, donde la jubilación </w:t>
      </w:r>
      <w:r w:rsidRPr="00DA146B">
        <w:rPr>
          <w:b/>
          <w:color w:val="000000"/>
          <w:lang w:eastAsia="es-AR"/>
        </w:rPr>
        <w:t xml:space="preserve">perdió contra el </w:t>
      </w:r>
      <w:proofErr w:type="spellStart"/>
      <w:r w:rsidRPr="00DA146B">
        <w:rPr>
          <w:b/>
          <w:color w:val="000000"/>
          <w:lang w:eastAsia="es-AR"/>
        </w:rPr>
        <w:t>ripte</w:t>
      </w:r>
      <w:proofErr w:type="spellEnd"/>
      <w:r w:rsidRPr="00DA146B">
        <w:rPr>
          <w:b/>
          <w:color w:val="000000"/>
          <w:lang w:eastAsia="es-AR"/>
        </w:rPr>
        <w:t xml:space="preserve"> </w:t>
      </w:r>
      <w:r w:rsidRPr="00DA146B">
        <w:rPr>
          <w:b/>
          <w:bCs/>
          <w:color w:val="000000"/>
          <w:lang w:eastAsia="es-AR"/>
        </w:rPr>
        <w:t>mal medido:</w:t>
      </w:r>
      <w:r w:rsidRPr="00DA146B">
        <w:rPr>
          <w:color w:val="000000"/>
          <w:lang w:eastAsia="es-AR"/>
        </w:rPr>
        <w:t xml:space="preserve"> en cuanto al rezago en el impacto de los salarios y por cuanto no se imputan la sumas no remunerativas abonadas en los salarios de los activos– y </w:t>
      </w:r>
      <w:r w:rsidRPr="00DA146B">
        <w:rPr>
          <w:b/>
          <w:color w:val="000000"/>
          <w:lang w:eastAsia="es-AR"/>
        </w:rPr>
        <w:t>contra la inflación</w:t>
      </w:r>
      <w:r w:rsidRPr="00DA146B">
        <w:rPr>
          <w:color w:val="000000"/>
          <w:lang w:eastAsia="es-AR"/>
        </w:rPr>
        <w:t xml:space="preserve"> y </w:t>
      </w:r>
      <w:r w:rsidRPr="00DA146B">
        <w:rPr>
          <w:b/>
          <w:color w:val="000000"/>
          <w:lang w:eastAsia="es-AR"/>
        </w:rPr>
        <w:t>no logró mantener el nivel adquisitivo,</w:t>
      </w:r>
      <w:r w:rsidRPr="00DA146B">
        <w:rPr>
          <w:color w:val="000000"/>
          <w:lang w:eastAsia="es-AR"/>
        </w:rPr>
        <w:t xml:space="preserve"> por cuanto en cada una de las sucesivas reformas hubo una quita en los haberes de los jubilados.  </w:t>
      </w:r>
    </w:p>
    <w:p w14:paraId="37D33F61" w14:textId="77777777" w:rsidR="00802E04" w:rsidRDefault="00802E04" w:rsidP="00802E04">
      <w:pPr>
        <w:spacing w:after="7"/>
        <w:ind w:right="49" w:firstLine="1701"/>
        <w:jc w:val="both"/>
        <w:rPr>
          <w:color w:val="000000"/>
          <w:lang w:eastAsia="es-AR"/>
        </w:rPr>
      </w:pPr>
      <w:r w:rsidRPr="00DA146B">
        <w:rPr>
          <w:color w:val="000000"/>
          <w:lang w:eastAsia="es-AR"/>
        </w:rPr>
        <w:t xml:space="preserve">Noten VSS que </w:t>
      </w:r>
      <w:r>
        <w:rPr>
          <w:color w:val="000000"/>
          <w:lang w:eastAsia="es-AR"/>
        </w:rPr>
        <w:t>d</w:t>
      </w:r>
      <w:r w:rsidRPr="00DA146B">
        <w:rPr>
          <w:color w:val="000000"/>
          <w:lang w:eastAsia="es-AR"/>
        </w:rPr>
        <w:t xml:space="preserve">esde la vigencia de la ley 27.609, es decir en los años 2021 y 2023, se van otorgando, </w:t>
      </w:r>
      <w:r>
        <w:rPr>
          <w:color w:val="000000"/>
          <w:lang w:eastAsia="es-AR"/>
        </w:rPr>
        <w:t>25</w:t>
      </w:r>
      <w:r w:rsidRPr="00DA146B">
        <w:rPr>
          <w:color w:val="000000"/>
          <w:lang w:eastAsia="es-AR"/>
        </w:rPr>
        <w:t xml:space="preserve"> bonos para los jubilados de la mínima, lo que demuestra la insuficiencia del sistema previsto en la norma citada apenas sancionada.  </w:t>
      </w:r>
    </w:p>
    <w:p w14:paraId="3E334614" w14:textId="77777777" w:rsidR="00802E04" w:rsidRDefault="00802E04" w:rsidP="00802E04">
      <w:pPr>
        <w:spacing w:after="7"/>
        <w:ind w:right="49" w:firstLine="1701"/>
        <w:jc w:val="both"/>
        <w:rPr>
          <w:color w:val="000000"/>
          <w:lang w:eastAsia="es-AR"/>
        </w:rPr>
      </w:pPr>
      <w:r w:rsidRPr="00DA146B">
        <w:rPr>
          <w:color w:val="000000"/>
          <w:lang w:eastAsia="es-AR"/>
        </w:rPr>
        <w:t xml:space="preserve">A ello cabe agregarle y resaltar que los mencionados bonos </w:t>
      </w:r>
      <w:r w:rsidRPr="00DA146B">
        <w:rPr>
          <w:b/>
          <w:color w:val="000000"/>
          <w:u w:val="single" w:color="000000"/>
          <w:lang w:eastAsia="es-AR"/>
        </w:rPr>
        <w:t>solo fueron</w:t>
      </w:r>
      <w:r w:rsidRPr="00DA146B">
        <w:rPr>
          <w:b/>
          <w:color w:val="000000"/>
          <w:lang w:eastAsia="es-AR"/>
        </w:rPr>
        <w:t xml:space="preserve"> </w:t>
      </w:r>
      <w:r w:rsidRPr="00DA146B">
        <w:rPr>
          <w:b/>
          <w:color w:val="000000"/>
          <w:u w:val="single" w:color="000000"/>
          <w:lang w:eastAsia="es-AR"/>
        </w:rPr>
        <w:t>otorgados para los jubilados de la mínima</w:t>
      </w:r>
      <w:r w:rsidRPr="00DA146B">
        <w:rPr>
          <w:color w:val="000000"/>
          <w:lang w:eastAsia="es-AR"/>
        </w:rPr>
        <w:t xml:space="preserve">, cuando la afectación al poder adquisitivo impactó sobre un universo mucho mayor de personas que, precisamente por su carácter de jubilados/pensionados, pertenecen –salvo muy escasas excepciones– a un </w:t>
      </w:r>
      <w:r w:rsidRPr="00DA146B">
        <w:rPr>
          <w:b/>
          <w:color w:val="000000"/>
          <w:lang w:eastAsia="es-AR"/>
        </w:rPr>
        <w:t>colectivo particularmente vulnerable</w:t>
      </w:r>
      <w:r w:rsidRPr="00DA146B">
        <w:rPr>
          <w:color w:val="000000"/>
          <w:lang w:eastAsia="es-AR"/>
        </w:rPr>
        <w:t xml:space="preserve"> que, tal como lo ha sostenido la Corte Suprema de Justicia de la Nación, goza de una especial protección constitucional y convencional, especialmente luego de la reforma constitucional de 1994. </w:t>
      </w:r>
    </w:p>
    <w:p w14:paraId="50143EF0" w14:textId="77777777" w:rsidR="00802E04" w:rsidRPr="00DA146B" w:rsidRDefault="00802E04" w:rsidP="00802E04">
      <w:pPr>
        <w:spacing w:after="7"/>
        <w:ind w:right="49" w:firstLine="1701"/>
        <w:jc w:val="both"/>
        <w:rPr>
          <w:color w:val="000000"/>
          <w:lang w:eastAsia="es-AR"/>
        </w:rPr>
      </w:pPr>
      <w:r w:rsidRPr="00DA146B">
        <w:rPr>
          <w:bCs/>
          <w:color w:val="000000"/>
          <w:lang w:eastAsia="es-AR"/>
        </w:rPr>
        <w:t xml:space="preserve">Los aumentos que recibieron la jubilación mínima, media y máxima, comparado con  ciertas variable lógicas,  cuya consideración es necesaria a los fines cumplir con el mandato constitucional de movilidad jubilatoria, completado por basta jurisprudencia del máximo tribunal,  que tiene como objetivo analizar si realmente la jubilación es sustitutiva respecto del haber en actividad e integral en los términos del art. 14 bis de la CN, surge que en el mencionado período las jubilaciones </w:t>
      </w:r>
      <w:r w:rsidRPr="00DA146B">
        <w:rPr>
          <w:b/>
          <w:bCs/>
          <w:color w:val="000000"/>
          <w:lang w:eastAsia="es-AR"/>
        </w:rPr>
        <w:t xml:space="preserve">perdieron </w:t>
      </w:r>
      <w:r w:rsidRPr="00DA146B">
        <w:rPr>
          <w:bCs/>
          <w:color w:val="000000"/>
          <w:lang w:eastAsia="es-AR"/>
        </w:rPr>
        <w:t>contra: la</w:t>
      </w:r>
      <w:r w:rsidRPr="00DA146B">
        <w:rPr>
          <w:b/>
          <w:bCs/>
          <w:color w:val="000000"/>
          <w:lang w:eastAsia="es-AR"/>
        </w:rPr>
        <w:t xml:space="preserve"> inflación (IPC)</w:t>
      </w:r>
      <w:r w:rsidRPr="00DA146B">
        <w:rPr>
          <w:bCs/>
          <w:color w:val="000000"/>
          <w:lang w:eastAsia="es-AR"/>
        </w:rPr>
        <w:t xml:space="preserve"> -que mide el costo de vida-; el </w:t>
      </w:r>
      <w:r w:rsidRPr="00DA146B">
        <w:rPr>
          <w:b/>
          <w:bCs/>
          <w:color w:val="000000"/>
          <w:lang w:eastAsia="es-AR"/>
        </w:rPr>
        <w:t>RIPTE</w:t>
      </w:r>
      <w:r w:rsidRPr="00DA146B">
        <w:rPr>
          <w:bCs/>
          <w:color w:val="000000"/>
          <w:lang w:eastAsia="es-AR"/>
        </w:rPr>
        <w:t xml:space="preserve"> -que mide la variación de los salarios (con la salvedad de que se cuestiona su medición, toda vez que no incluye las sumas no remunerativas abonadas en los salarios en actividad y previstas en la mayoría de Acuerdos Salariales, por lo que no refleja el aumento real de los salarios, y los salarios siempre van muy detrás de la inflación ); y contra los aumentos dispuestos por la CSJN  para los </w:t>
      </w:r>
      <w:r w:rsidRPr="00DA146B">
        <w:rPr>
          <w:b/>
          <w:color w:val="000000"/>
          <w:lang w:eastAsia="es-AR"/>
        </w:rPr>
        <w:t>funcionarios judiciales</w:t>
      </w:r>
      <w:r w:rsidRPr="00DA146B">
        <w:rPr>
          <w:bCs/>
          <w:color w:val="000000"/>
          <w:lang w:eastAsia="es-AR"/>
        </w:rPr>
        <w:t xml:space="preserve"> y que también se utiliza para fijar el monto de los  </w:t>
      </w:r>
      <w:r w:rsidRPr="00DA146B">
        <w:rPr>
          <w:b/>
          <w:bCs/>
          <w:color w:val="000000"/>
          <w:lang w:eastAsia="es-AR"/>
        </w:rPr>
        <w:t>UMA</w:t>
      </w:r>
      <w:r w:rsidRPr="00DA146B">
        <w:rPr>
          <w:bCs/>
          <w:color w:val="000000"/>
          <w:lang w:eastAsia="es-AR"/>
        </w:rPr>
        <w:t xml:space="preserve"> a saber:</w:t>
      </w:r>
    </w:p>
    <w:p w14:paraId="33BF5694" w14:textId="77777777" w:rsidR="00802E04" w:rsidRPr="00DA146B" w:rsidRDefault="00AE45C3" w:rsidP="00802E04">
      <w:pPr>
        <w:spacing w:after="7"/>
        <w:ind w:right="49"/>
        <w:jc w:val="center"/>
        <w:rPr>
          <w:bCs/>
          <w:color w:val="000000"/>
          <w:lang w:eastAsia="es-AR"/>
        </w:rPr>
      </w:pPr>
      <w:r>
        <w:rPr>
          <w:noProof/>
        </w:rPr>
        <w:pict w14:anchorId="7C931DCC">
          <v:shape id="Imagen 6" o:spid="_x0000_i1030" type="#_x0000_t75" style="width:391.75pt;height:99.75pt;visibility:visible">
            <v:imagedata r:id="rId37" o:title=""/>
          </v:shape>
        </w:pict>
      </w:r>
    </w:p>
    <w:p w14:paraId="4E6939FD" w14:textId="77777777" w:rsidR="00802E04" w:rsidRPr="00DA146B" w:rsidRDefault="00802E04" w:rsidP="00802E04">
      <w:pPr>
        <w:spacing w:after="7"/>
        <w:ind w:right="49"/>
        <w:jc w:val="both"/>
        <w:rPr>
          <w:bCs/>
          <w:color w:val="000000"/>
          <w:lang w:eastAsia="es-AR"/>
        </w:rPr>
      </w:pPr>
    </w:p>
    <w:p w14:paraId="35E29107" w14:textId="77777777" w:rsidR="00802E04" w:rsidRPr="00DA146B" w:rsidRDefault="00802E04" w:rsidP="00802E04">
      <w:pPr>
        <w:tabs>
          <w:tab w:val="left" w:pos="1134"/>
        </w:tabs>
        <w:spacing w:after="7"/>
        <w:ind w:right="49" w:firstLine="1134"/>
        <w:jc w:val="both"/>
        <w:rPr>
          <w:bCs/>
          <w:color w:val="000000"/>
          <w:lang w:eastAsia="es-AR"/>
        </w:rPr>
      </w:pPr>
      <w:r w:rsidRPr="00DA146B">
        <w:rPr>
          <w:bCs/>
          <w:color w:val="000000"/>
          <w:lang w:eastAsia="es-AR"/>
        </w:rPr>
        <w:t xml:space="preserve">En este sentido, se observa que en el año </w:t>
      </w:r>
      <w:r w:rsidRPr="00DA146B">
        <w:rPr>
          <w:b/>
          <w:bCs/>
          <w:color w:val="000000"/>
          <w:lang w:eastAsia="es-AR"/>
        </w:rPr>
        <w:t>2018</w:t>
      </w:r>
      <w:r w:rsidRPr="00DA146B">
        <w:rPr>
          <w:bCs/>
          <w:color w:val="000000"/>
          <w:lang w:eastAsia="es-AR"/>
        </w:rPr>
        <w:t xml:space="preserve"> los jubilados de la mínima, media y máxima perdieron con respecto a la inflación un 19,14% y en el año </w:t>
      </w:r>
      <w:r w:rsidRPr="00DA146B">
        <w:rPr>
          <w:b/>
          <w:bCs/>
          <w:color w:val="000000"/>
          <w:lang w:eastAsia="es-AR"/>
        </w:rPr>
        <w:t>2019</w:t>
      </w:r>
      <w:r w:rsidRPr="00DA146B">
        <w:rPr>
          <w:bCs/>
          <w:color w:val="000000"/>
          <w:lang w:eastAsia="es-AR"/>
        </w:rPr>
        <w:t xml:space="preserve"> un 2,68%. </w:t>
      </w:r>
    </w:p>
    <w:p w14:paraId="4FE28585" w14:textId="77777777" w:rsidR="00802E04" w:rsidRPr="00DA146B" w:rsidRDefault="00802E04" w:rsidP="00802E04">
      <w:pPr>
        <w:tabs>
          <w:tab w:val="left" w:pos="1134"/>
        </w:tabs>
        <w:spacing w:after="7"/>
        <w:ind w:right="49" w:firstLine="1134"/>
        <w:jc w:val="both"/>
        <w:rPr>
          <w:bCs/>
          <w:color w:val="000000"/>
          <w:lang w:eastAsia="es-AR"/>
        </w:rPr>
      </w:pPr>
      <w:r w:rsidRPr="00DA146B">
        <w:rPr>
          <w:bCs/>
          <w:color w:val="000000"/>
          <w:lang w:eastAsia="es-AR"/>
        </w:rPr>
        <w:t xml:space="preserve">En el año </w:t>
      </w:r>
      <w:r w:rsidRPr="00DA146B">
        <w:rPr>
          <w:b/>
          <w:bCs/>
          <w:color w:val="000000"/>
          <w:lang w:eastAsia="es-AR"/>
        </w:rPr>
        <w:t>2020</w:t>
      </w:r>
      <w:r w:rsidRPr="00DA146B">
        <w:rPr>
          <w:bCs/>
          <w:color w:val="000000"/>
          <w:lang w:eastAsia="es-AR"/>
        </w:rPr>
        <w:t xml:space="preserve">, de haber continuado vigente la ley 27.426 hubiera arrojado desde marzo a diciembre del mencionado año, un </w:t>
      </w:r>
      <w:r w:rsidRPr="00DA146B">
        <w:rPr>
          <w:b/>
          <w:bCs/>
          <w:color w:val="000000"/>
          <w:lang w:eastAsia="es-AR"/>
        </w:rPr>
        <w:t>aumento acumulado de 52,74% (el cual hubiera reflejado los aumentos del 7.2019 al 06.2020</w:t>
      </w:r>
      <w:r w:rsidRPr="00DA146B">
        <w:rPr>
          <w:bCs/>
          <w:color w:val="000000"/>
          <w:lang w:eastAsia="es-AR"/>
        </w:rPr>
        <w:t>) sin embargo, el aumento otorgado por Decretos N°163, 495, 692 y 899 fue de 35,31% para la mínima, 25,61% para la media y 24,28% para la máxima.</w:t>
      </w:r>
    </w:p>
    <w:p w14:paraId="40292033" w14:textId="77777777" w:rsidR="00802E04" w:rsidRPr="00DA146B" w:rsidRDefault="00802E04" w:rsidP="00802E04">
      <w:pPr>
        <w:tabs>
          <w:tab w:val="left" w:pos="1134"/>
        </w:tabs>
        <w:spacing w:after="7"/>
        <w:ind w:right="49" w:firstLine="1134"/>
        <w:jc w:val="both"/>
        <w:rPr>
          <w:bCs/>
          <w:color w:val="000000"/>
          <w:lang w:eastAsia="es-AR"/>
        </w:rPr>
      </w:pPr>
      <w:r w:rsidRPr="00DA146B">
        <w:rPr>
          <w:bCs/>
          <w:color w:val="000000"/>
          <w:lang w:eastAsia="es-AR"/>
        </w:rPr>
        <w:t xml:space="preserve">En el año </w:t>
      </w:r>
      <w:r w:rsidRPr="00DA146B">
        <w:rPr>
          <w:b/>
          <w:bCs/>
          <w:color w:val="000000"/>
          <w:lang w:eastAsia="es-AR"/>
        </w:rPr>
        <w:t>2021</w:t>
      </w:r>
      <w:r w:rsidRPr="00DA146B">
        <w:rPr>
          <w:bCs/>
          <w:color w:val="000000"/>
          <w:lang w:eastAsia="es-AR"/>
        </w:rPr>
        <w:t>, la nueva ley de movilidad 27.609 parte de un haber mal movilizado, por cuanto ya se habían devengado dos trimestres al momento de la publicación de la ley, de modo que la falta de un empalme adecuado ha producido una pérdida significativa en el haber de mi mandante por cuanto no tomo en consideración el trimestre 07.2020 al 09.2020, por cuanto el primer aumento parte desde la variación 10.2020 a 12.2020 para aplicar en marzo de 2021, perpetuando así la emergencia en el tiempo, el cual fue analizado por la Sala II de esta Cámara Federal de Salta, en los autos “Márquez” donde fijo el contenido de dicho trimestre, logrando así el empalme de movilidad , que la ley omitió.</w:t>
      </w:r>
    </w:p>
    <w:p w14:paraId="04C5190D" w14:textId="77777777" w:rsidR="00802E04" w:rsidRPr="00DA146B" w:rsidRDefault="00802E04" w:rsidP="00802E04">
      <w:pPr>
        <w:tabs>
          <w:tab w:val="left" w:pos="1134"/>
        </w:tabs>
        <w:spacing w:after="7"/>
        <w:ind w:right="49" w:firstLine="1134"/>
        <w:jc w:val="both"/>
        <w:rPr>
          <w:bCs/>
          <w:color w:val="000000"/>
          <w:lang w:eastAsia="es-AR"/>
        </w:rPr>
      </w:pPr>
      <w:r w:rsidRPr="00DA146B">
        <w:rPr>
          <w:bCs/>
          <w:color w:val="000000"/>
          <w:lang w:eastAsia="es-AR"/>
        </w:rPr>
        <w:t xml:space="preserve">Por su parte, en el año </w:t>
      </w:r>
      <w:r w:rsidRPr="00DA146B">
        <w:rPr>
          <w:b/>
          <w:bCs/>
          <w:color w:val="000000"/>
          <w:lang w:eastAsia="es-AR"/>
        </w:rPr>
        <w:t>2022</w:t>
      </w:r>
      <w:r w:rsidRPr="00DA146B">
        <w:rPr>
          <w:bCs/>
          <w:color w:val="000000"/>
          <w:lang w:eastAsia="es-AR"/>
        </w:rPr>
        <w:t xml:space="preserve">, la pérdida sufrida por las jubilaciones con respecto a la inflación fue de </w:t>
      </w:r>
      <w:r w:rsidRPr="00DA146B">
        <w:rPr>
          <w:b/>
          <w:color w:val="000000"/>
          <w:lang w:eastAsia="es-AR"/>
        </w:rPr>
        <w:t>22,32%.</w:t>
      </w:r>
    </w:p>
    <w:p w14:paraId="185EB701" w14:textId="77777777" w:rsidR="00802E04" w:rsidRPr="00DA146B" w:rsidRDefault="00802E04" w:rsidP="00802E04">
      <w:pPr>
        <w:tabs>
          <w:tab w:val="left" w:pos="1134"/>
        </w:tabs>
        <w:spacing w:after="7"/>
        <w:ind w:right="49" w:firstLine="1134"/>
        <w:jc w:val="both"/>
        <w:rPr>
          <w:b/>
          <w:bCs/>
          <w:color w:val="000000"/>
          <w:lang w:eastAsia="es-AR"/>
        </w:rPr>
      </w:pPr>
      <w:r w:rsidRPr="00DA146B">
        <w:rPr>
          <w:bCs/>
          <w:color w:val="000000"/>
          <w:lang w:eastAsia="es-AR"/>
        </w:rPr>
        <w:t xml:space="preserve">Considerando los aumentos acumulados desde el año </w:t>
      </w:r>
      <w:r w:rsidRPr="00DA146B">
        <w:rPr>
          <w:b/>
          <w:bCs/>
          <w:color w:val="000000"/>
          <w:u w:val="single"/>
          <w:lang w:eastAsia="es-AR"/>
        </w:rPr>
        <w:t>2018 a 10.2023</w:t>
      </w:r>
      <w:r w:rsidRPr="00DA146B">
        <w:rPr>
          <w:bCs/>
          <w:color w:val="000000"/>
          <w:lang w:eastAsia="es-AR"/>
        </w:rPr>
        <w:t xml:space="preserve">, la </w:t>
      </w:r>
      <w:r w:rsidRPr="00DA146B">
        <w:rPr>
          <w:b/>
          <w:bCs/>
          <w:color w:val="000000"/>
          <w:lang w:eastAsia="es-AR"/>
        </w:rPr>
        <w:t>INFLACION</w:t>
      </w:r>
      <w:r w:rsidRPr="00DA146B">
        <w:rPr>
          <w:bCs/>
          <w:color w:val="000000"/>
          <w:lang w:eastAsia="es-AR"/>
        </w:rPr>
        <w:t xml:space="preserve"> registra un incremento de </w:t>
      </w:r>
      <w:r w:rsidRPr="00DA146B">
        <w:rPr>
          <w:b/>
          <w:bCs/>
          <w:color w:val="000000"/>
          <w:lang w:eastAsia="es-AR"/>
        </w:rPr>
        <w:t>1900,29%</w:t>
      </w:r>
      <w:r w:rsidRPr="00DA146B">
        <w:rPr>
          <w:bCs/>
          <w:color w:val="000000"/>
          <w:lang w:eastAsia="es-AR"/>
        </w:rPr>
        <w:t xml:space="preserve">; el </w:t>
      </w:r>
      <w:r w:rsidRPr="00DA146B">
        <w:rPr>
          <w:b/>
          <w:bCs/>
          <w:color w:val="000000"/>
          <w:lang w:eastAsia="es-AR"/>
        </w:rPr>
        <w:t>RIPTE</w:t>
      </w:r>
      <w:r w:rsidRPr="00DA146B">
        <w:rPr>
          <w:bCs/>
          <w:color w:val="000000"/>
          <w:lang w:eastAsia="es-AR"/>
        </w:rPr>
        <w:t xml:space="preserve"> </w:t>
      </w:r>
      <w:r w:rsidRPr="00DA146B">
        <w:rPr>
          <w:b/>
          <w:bCs/>
          <w:color w:val="000000"/>
          <w:lang w:eastAsia="es-AR"/>
        </w:rPr>
        <w:t xml:space="preserve">1499,91% </w:t>
      </w:r>
      <w:r w:rsidRPr="00DA146B">
        <w:rPr>
          <w:bCs/>
          <w:color w:val="000000"/>
          <w:lang w:eastAsia="es-AR"/>
        </w:rPr>
        <w:t xml:space="preserve">y el </w:t>
      </w:r>
      <w:r w:rsidRPr="00DA146B">
        <w:rPr>
          <w:b/>
          <w:bCs/>
          <w:color w:val="000000"/>
          <w:lang w:eastAsia="es-AR"/>
        </w:rPr>
        <w:t>UMA/Magistrados Federales</w:t>
      </w:r>
      <w:r w:rsidRPr="00DA146B">
        <w:rPr>
          <w:bCs/>
          <w:color w:val="000000"/>
          <w:lang w:eastAsia="es-AR"/>
        </w:rPr>
        <w:t xml:space="preserve"> </w:t>
      </w:r>
      <w:r w:rsidRPr="00DA146B">
        <w:rPr>
          <w:b/>
          <w:bCs/>
          <w:color w:val="000000"/>
          <w:lang w:eastAsia="es-AR"/>
        </w:rPr>
        <w:t>1958,07% y el haber movilizado con bonos 1712,54</w:t>
      </w:r>
    </w:p>
    <w:p w14:paraId="049F6C72" w14:textId="77777777" w:rsidR="00802E04" w:rsidRPr="00DA146B" w:rsidRDefault="00802E04" w:rsidP="00802E04">
      <w:pPr>
        <w:tabs>
          <w:tab w:val="left" w:pos="1134"/>
        </w:tabs>
        <w:spacing w:after="7"/>
        <w:ind w:right="49" w:firstLine="1134"/>
        <w:jc w:val="both"/>
        <w:rPr>
          <w:b/>
          <w:bCs/>
          <w:color w:val="000000"/>
          <w:lang w:eastAsia="es-AR"/>
        </w:rPr>
      </w:pPr>
      <w:r w:rsidRPr="00DA146B">
        <w:rPr>
          <w:bCs/>
          <w:color w:val="000000"/>
          <w:lang w:eastAsia="es-AR"/>
        </w:rPr>
        <w:t xml:space="preserve"> Por su parte, se observa que los incrementos de las jubilaciones acumulados en el mencionado período se encuentran </w:t>
      </w:r>
      <w:r w:rsidRPr="00DA146B">
        <w:rPr>
          <w:b/>
          <w:color w:val="000000"/>
          <w:u w:val="single"/>
          <w:lang w:eastAsia="es-AR"/>
        </w:rPr>
        <w:t>muy por debajo</w:t>
      </w:r>
      <w:r w:rsidRPr="00DA146B">
        <w:rPr>
          <w:bCs/>
          <w:color w:val="000000"/>
          <w:lang w:eastAsia="es-AR"/>
        </w:rPr>
        <w:t xml:space="preserve">, toda vez que la </w:t>
      </w:r>
      <w:r w:rsidRPr="00DA146B">
        <w:rPr>
          <w:b/>
          <w:bCs/>
          <w:color w:val="000000"/>
          <w:lang w:eastAsia="es-AR"/>
        </w:rPr>
        <w:t>jubilación mínima</w:t>
      </w:r>
      <w:r w:rsidRPr="00DA146B">
        <w:rPr>
          <w:bCs/>
          <w:color w:val="000000"/>
          <w:lang w:eastAsia="es-AR"/>
        </w:rPr>
        <w:t xml:space="preserve"> aumentó un </w:t>
      </w:r>
      <w:r w:rsidRPr="00DA146B">
        <w:rPr>
          <w:b/>
          <w:bCs/>
          <w:color w:val="000000"/>
          <w:lang w:eastAsia="es-AR"/>
        </w:rPr>
        <w:t>1106,79%(sin bonos, con bonos 1712,54%)</w:t>
      </w:r>
      <w:r w:rsidRPr="00DA146B">
        <w:rPr>
          <w:bCs/>
          <w:color w:val="000000"/>
          <w:lang w:eastAsia="es-AR"/>
        </w:rPr>
        <w:t xml:space="preserve">, la </w:t>
      </w:r>
      <w:r w:rsidRPr="00DA146B">
        <w:rPr>
          <w:b/>
          <w:bCs/>
          <w:color w:val="000000"/>
          <w:lang w:eastAsia="es-AR"/>
        </w:rPr>
        <w:t xml:space="preserve">media </w:t>
      </w:r>
      <w:r w:rsidRPr="00DA146B">
        <w:rPr>
          <w:bCs/>
          <w:color w:val="000000"/>
          <w:lang w:eastAsia="es-AR"/>
        </w:rPr>
        <w:t xml:space="preserve">un </w:t>
      </w:r>
      <w:r w:rsidRPr="00DA146B">
        <w:rPr>
          <w:b/>
          <w:bCs/>
          <w:color w:val="000000"/>
          <w:lang w:eastAsia="es-AR"/>
        </w:rPr>
        <w:t>1020,28%</w:t>
      </w:r>
      <w:r w:rsidRPr="00DA146B">
        <w:rPr>
          <w:bCs/>
          <w:color w:val="000000"/>
          <w:lang w:eastAsia="es-AR"/>
        </w:rPr>
        <w:t xml:space="preserve"> y la </w:t>
      </w:r>
      <w:r w:rsidRPr="00DA146B">
        <w:rPr>
          <w:b/>
          <w:bCs/>
          <w:color w:val="000000"/>
          <w:lang w:eastAsia="es-AR"/>
        </w:rPr>
        <w:t>máxima</w:t>
      </w:r>
      <w:r w:rsidRPr="00DA146B">
        <w:rPr>
          <w:bCs/>
          <w:color w:val="000000"/>
          <w:lang w:eastAsia="es-AR"/>
        </w:rPr>
        <w:t xml:space="preserve"> un </w:t>
      </w:r>
      <w:r w:rsidRPr="00DA146B">
        <w:rPr>
          <w:b/>
          <w:bCs/>
          <w:color w:val="000000"/>
          <w:lang w:eastAsia="es-AR"/>
        </w:rPr>
        <w:t>1008,42 %.</w:t>
      </w:r>
    </w:p>
    <w:p w14:paraId="73100509" w14:textId="77777777" w:rsidR="00802E04" w:rsidRPr="00DA146B" w:rsidRDefault="00802E04" w:rsidP="00802E04">
      <w:pPr>
        <w:tabs>
          <w:tab w:val="left" w:pos="1134"/>
        </w:tabs>
        <w:spacing w:after="7"/>
        <w:ind w:right="49" w:firstLine="1134"/>
        <w:jc w:val="both"/>
        <w:rPr>
          <w:b/>
          <w:color w:val="000000"/>
          <w:lang w:eastAsia="es-AR"/>
        </w:rPr>
      </w:pPr>
      <w:r w:rsidRPr="00DA146B">
        <w:rPr>
          <w:bCs/>
          <w:color w:val="000000"/>
          <w:lang w:eastAsia="es-AR"/>
        </w:rPr>
        <w:t xml:space="preserve">A todo ello, se le suma que la actual ley 27.609 ha demostrado </w:t>
      </w:r>
      <w:r w:rsidRPr="00DA146B">
        <w:rPr>
          <w:b/>
          <w:color w:val="000000"/>
          <w:lang w:eastAsia="es-AR"/>
        </w:rPr>
        <w:t>no ser superadora</w:t>
      </w:r>
      <w:r w:rsidRPr="00DA146B">
        <w:rPr>
          <w:bCs/>
          <w:color w:val="000000"/>
          <w:lang w:eastAsia="es-AR"/>
        </w:rPr>
        <w:t xml:space="preserve"> de la ley que vino a reemplazar por cuanto no solo no pudo mantener el poder adquisitivo de los haberes jubilatorios, sino que fue tal el desfasaje producido que, desde su sanción a la fecha de interposición del presente recurso, va dando 25 bonos para los jubilados de la mínima, mostrando claramente la </w:t>
      </w:r>
      <w:r w:rsidRPr="00DA146B">
        <w:rPr>
          <w:b/>
          <w:color w:val="000000"/>
          <w:lang w:eastAsia="es-AR"/>
        </w:rPr>
        <w:t>insuficiencia de esta.</w:t>
      </w:r>
    </w:p>
    <w:p w14:paraId="489E303E" w14:textId="77777777" w:rsidR="00802E04" w:rsidRPr="00DA146B" w:rsidRDefault="00802E04" w:rsidP="00802E04">
      <w:pPr>
        <w:spacing w:after="7"/>
        <w:ind w:right="49"/>
        <w:jc w:val="both"/>
        <w:rPr>
          <w:color w:val="000000"/>
          <w:lang w:eastAsia="es-AR"/>
        </w:rPr>
      </w:pPr>
    </w:p>
    <w:p w14:paraId="77AD8BAB" w14:textId="77777777" w:rsidR="00802E04" w:rsidRPr="00DA146B" w:rsidRDefault="00802E04" w:rsidP="00802E04">
      <w:pPr>
        <w:spacing w:after="7"/>
        <w:ind w:right="49"/>
        <w:jc w:val="both"/>
        <w:rPr>
          <w:color w:val="000000"/>
          <w:lang w:eastAsia="es-AR"/>
        </w:rPr>
      </w:pPr>
    </w:p>
    <w:p w14:paraId="57D41475" w14:textId="77777777" w:rsidR="00802E04" w:rsidRPr="00DA146B" w:rsidRDefault="00AE45C3" w:rsidP="00802E04">
      <w:pPr>
        <w:spacing w:after="7"/>
        <w:ind w:right="49"/>
        <w:jc w:val="both"/>
        <w:rPr>
          <w:b/>
          <w:color w:val="000000"/>
          <w:lang w:eastAsia="es-AR"/>
        </w:rPr>
      </w:pPr>
      <w:r>
        <w:rPr>
          <w:noProof/>
        </w:rPr>
        <w:pict w14:anchorId="32EB1056">
          <v:shape id="Imagen 5" o:spid="_x0000_i1031" type="#_x0000_t75" style="width:389pt;height:247.35pt;visibility:visible">
            <v:imagedata r:id="rId38" o:title=""/>
          </v:shape>
        </w:pict>
      </w:r>
    </w:p>
    <w:p w14:paraId="7E21B7B9" w14:textId="77777777" w:rsidR="00802E04" w:rsidRPr="00DA146B" w:rsidRDefault="00802E04" w:rsidP="00802E04">
      <w:pPr>
        <w:spacing w:after="7"/>
        <w:ind w:right="49" w:firstLine="1276"/>
        <w:jc w:val="both"/>
        <w:rPr>
          <w:bCs/>
          <w:color w:val="000000"/>
          <w:lang w:eastAsia="es-AR"/>
        </w:rPr>
      </w:pPr>
      <w:r w:rsidRPr="00DA146B">
        <w:rPr>
          <w:bCs/>
          <w:color w:val="000000"/>
          <w:lang w:eastAsia="es-AR"/>
        </w:rPr>
        <w:t>Si a eso le sumamos los 25 Bonos que otorgo el gobierno en la vigencia de la ley 27.609, solo a las jubilaciones mínimas, para el mismo sector, nos da la pauta de la insuficiencia de la fórmula de movilidad, por lo tanto, la “nueva ley” no supera el test de no regresividad.</w:t>
      </w:r>
    </w:p>
    <w:p w14:paraId="6E9231A2" w14:textId="77777777" w:rsidR="00802E04" w:rsidRPr="00DA146B" w:rsidRDefault="00802E04" w:rsidP="00802E04">
      <w:pPr>
        <w:spacing w:after="7"/>
        <w:ind w:right="49" w:firstLine="1276"/>
        <w:jc w:val="both"/>
        <w:rPr>
          <w:bCs/>
          <w:color w:val="000000"/>
          <w:lang w:eastAsia="es-AR"/>
        </w:rPr>
      </w:pPr>
      <w:r w:rsidRPr="00DA146B">
        <w:rPr>
          <w:bCs/>
          <w:color w:val="000000"/>
          <w:lang w:eastAsia="es-AR"/>
        </w:rPr>
        <w:t xml:space="preserve">Cuadros elaborados con </w:t>
      </w:r>
    </w:p>
    <w:p w14:paraId="798716C0" w14:textId="77777777" w:rsidR="00802E04" w:rsidRPr="00DA146B" w:rsidRDefault="00802E04" w:rsidP="00802E04">
      <w:pPr>
        <w:spacing w:after="7"/>
        <w:ind w:right="49" w:firstLine="1276"/>
        <w:jc w:val="both"/>
        <w:rPr>
          <w:bCs/>
          <w:color w:val="000000"/>
          <w:lang w:eastAsia="es-AR"/>
        </w:rPr>
      </w:pPr>
      <w:proofErr w:type="spellStart"/>
      <w:r w:rsidRPr="00DA146B">
        <w:rPr>
          <w:bCs/>
          <w:color w:val="000000"/>
          <w:lang w:eastAsia="es-AR"/>
        </w:rPr>
        <w:t>Ripte</w:t>
      </w:r>
      <w:proofErr w:type="spellEnd"/>
      <w:r w:rsidRPr="00DA146B">
        <w:rPr>
          <w:bCs/>
          <w:color w:val="000000"/>
          <w:lang w:eastAsia="es-AR"/>
        </w:rPr>
        <w:t xml:space="preserve">: </w:t>
      </w:r>
      <w:hyperlink r:id="rId39" w:history="1">
        <w:r w:rsidRPr="00DA146B">
          <w:rPr>
            <w:bCs/>
            <w:color w:val="0000FF"/>
            <w:u w:val="single"/>
            <w:lang w:eastAsia="es-AR"/>
          </w:rPr>
          <w:t>https://www.argentina.gob.ar/trabajo/seguridadsocial/ripte</w:t>
        </w:r>
      </w:hyperlink>
    </w:p>
    <w:p w14:paraId="4E80AA2D" w14:textId="77777777" w:rsidR="00802E04" w:rsidRPr="00DA146B" w:rsidRDefault="00802E04" w:rsidP="00802E04">
      <w:pPr>
        <w:spacing w:after="7"/>
        <w:ind w:right="49" w:firstLine="1276"/>
        <w:jc w:val="both"/>
        <w:rPr>
          <w:color w:val="000000"/>
          <w:lang w:eastAsia="es-AR"/>
        </w:rPr>
      </w:pPr>
      <w:r w:rsidRPr="00DA146B">
        <w:rPr>
          <w:bCs/>
          <w:color w:val="000000"/>
          <w:lang w:eastAsia="es-AR"/>
        </w:rPr>
        <w:t>IPC:</w:t>
      </w:r>
      <w:r w:rsidRPr="00DA146B">
        <w:rPr>
          <w:color w:val="000000"/>
          <w:lang w:eastAsia="es-AR"/>
        </w:rPr>
        <w:t xml:space="preserve"> </w:t>
      </w:r>
      <w:hyperlink r:id="rId40" w:history="1">
        <w:r w:rsidRPr="00DA146B">
          <w:rPr>
            <w:bCs/>
            <w:color w:val="0000FF"/>
            <w:u w:val="single"/>
            <w:lang w:eastAsia="es-AR"/>
          </w:rPr>
          <w:t>https://www.indec.gob.ar/uploads/informesdeprensa/ipc_04_23411BFA2B5E.pdf</w:t>
        </w:r>
      </w:hyperlink>
      <w:r w:rsidRPr="00DA146B">
        <w:rPr>
          <w:bCs/>
          <w:color w:val="000000"/>
          <w:lang w:eastAsia="es-AR"/>
        </w:rPr>
        <w:t xml:space="preserve"> </w:t>
      </w:r>
    </w:p>
    <w:p w14:paraId="390D65E0" w14:textId="77777777" w:rsidR="00802E04" w:rsidRPr="00DA146B" w:rsidRDefault="00802E04" w:rsidP="00802E04">
      <w:pPr>
        <w:spacing w:after="7"/>
        <w:ind w:right="49" w:firstLine="1276"/>
        <w:jc w:val="both"/>
        <w:rPr>
          <w:color w:val="000000"/>
          <w:lang w:eastAsia="es-AR"/>
        </w:rPr>
      </w:pPr>
    </w:p>
    <w:p w14:paraId="520A20EF" w14:textId="77777777" w:rsidR="00802E04" w:rsidRDefault="00802E04" w:rsidP="00802E04">
      <w:pPr>
        <w:keepNext/>
        <w:keepLines/>
        <w:numPr>
          <w:ilvl w:val="0"/>
          <w:numId w:val="42"/>
        </w:numPr>
        <w:spacing w:after="9"/>
        <w:ind w:firstLine="1276"/>
        <w:contextualSpacing/>
        <w:outlineLvl w:val="0"/>
        <w:rPr>
          <w:b/>
          <w:color w:val="000000"/>
          <w:lang w:eastAsia="es-AR"/>
        </w:rPr>
      </w:pPr>
      <w:r w:rsidRPr="00DA146B">
        <w:rPr>
          <w:b/>
          <w:color w:val="000000"/>
          <w:lang w:eastAsia="es-AR"/>
        </w:rPr>
        <w:t>Es por ello por lo que esta parte solicita expresamente:</w:t>
      </w:r>
    </w:p>
    <w:p w14:paraId="699E5381" w14:textId="77777777" w:rsidR="00802E04" w:rsidRPr="00DA146B" w:rsidRDefault="00802E04" w:rsidP="00802E04">
      <w:pPr>
        <w:numPr>
          <w:ilvl w:val="0"/>
          <w:numId w:val="9"/>
        </w:numPr>
        <w:autoSpaceDE w:val="0"/>
        <w:autoSpaceDN w:val="0"/>
        <w:adjustRightInd w:val="0"/>
        <w:jc w:val="both"/>
        <w:rPr>
          <w:b/>
        </w:rPr>
      </w:pPr>
      <w:r w:rsidRPr="00DA146B">
        <w:rPr>
          <w:b/>
        </w:rPr>
        <w:t>Inconstitucionalidad del artículo 2° de la ley 27.426</w:t>
      </w:r>
    </w:p>
    <w:p w14:paraId="79F65E2A" w14:textId="77777777" w:rsidR="00802E04" w:rsidRPr="00DA146B" w:rsidRDefault="00802E04" w:rsidP="00802E04">
      <w:pPr>
        <w:autoSpaceDE w:val="0"/>
        <w:autoSpaceDN w:val="0"/>
        <w:adjustRightInd w:val="0"/>
        <w:ind w:firstLine="709"/>
        <w:jc w:val="both"/>
        <w:rPr>
          <w:bCs/>
          <w:i/>
          <w:iCs/>
        </w:rPr>
      </w:pPr>
      <w:r w:rsidRPr="00DA146B">
        <w:rPr>
          <w:bCs/>
        </w:rPr>
        <w:t>Esta parte solicita la inconstitucionalidad del art 2 de la ley 27.426: “</w:t>
      </w:r>
      <w:r w:rsidRPr="00DA146B">
        <w:rPr>
          <w:bCs/>
          <w:i/>
          <w:iCs/>
        </w:rPr>
        <w:t xml:space="preserve"> la primera actualización en base a la nueva movilidad dispuesta se haría efectiva a partir del 1° de marzo de 2018.</w:t>
      </w:r>
      <w:r w:rsidRPr="00DA146B">
        <w:rPr>
          <w:bCs/>
        </w:rPr>
        <w:t>”</w:t>
      </w:r>
    </w:p>
    <w:p w14:paraId="7B877D72" w14:textId="77777777" w:rsidR="00802E04" w:rsidRPr="00DA146B" w:rsidRDefault="00802E04" w:rsidP="00802E04">
      <w:pPr>
        <w:autoSpaceDE w:val="0"/>
        <w:autoSpaceDN w:val="0"/>
        <w:adjustRightInd w:val="0"/>
        <w:ind w:firstLine="709"/>
        <w:jc w:val="both"/>
        <w:rPr>
          <w:bCs/>
        </w:rPr>
      </w:pPr>
      <w:r w:rsidRPr="00DA146B">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17E478ED" w14:textId="77777777" w:rsidR="00802E04" w:rsidRPr="00DA146B" w:rsidRDefault="00802E04" w:rsidP="00802E04">
      <w:pPr>
        <w:autoSpaceDE w:val="0"/>
        <w:autoSpaceDN w:val="0"/>
        <w:adjustRightInd w:val="0"/>
        <w:ind w:firstLine="709"/>
        <w:jc w:val="both"/>
        <w:rPr>
          <w:bCs/>
        </w:rPr>
      </w:pPr>
      <w:r w:rsidRPr="00DA146B">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2FFCEFA" w14:textId="77777777" w:rsidR="00802E04" w:rsidRPr="00DA146B" w:rsidRDefault="00802E04" w:rsidP="00802E04">
      <w:pPr>
        <w:autoSpaceDE w:val="0"/>
        <w:autoSpaceDN w:val="0"/>
        <w:adjustRightInd w:val="0"/>
        <w:ind w:firstLine="709"/>
        <w:jc w:val="both"/>
        <w:rPr>
          <w:bCs/>
        </w:rPr>
      </w:pPr>
      <w:r w:rsidRPr="00DA146B">
        <w:rPr>
          <w:bCs/>
        </w:rPr>
        <w:t xml:space="preserve">El art 7 Código Civil y Comercial de la Nación establece respecto de la eficacia temporal de las normas que </w:t>
      </w:r>
      <w:r w:rsidRPr="00DA146B">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1AB40D1D" w14:textId="77777777" w:rsidR="00802E04" w:rsidRPr="00DA146B" w:rsidRDefault="00802E04" w:rsidP="00802E04">
      <w:pPr>
        <w:autoSpaceDE w:val="0"/>
        <w:autoSpaceDN w:val="0"/>
        <w:adjustRightInd w:val="0"/>
        <w:ind w:firstLine="709"/>
        <w:jc w:val="both"/>
        <w:rPr>
          <w:bCs/>
        </w:rPr>
      </w:pPr>
      <w:r w:rsidRPr="00DA146B">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867BF2C" w14:textId="77777777" w:rsidR="00802E04" w:rsidRPr="00DA146B" w:rsidRDefault="00802E04" w:rsidP="00802E04">
      <w:pPr>
        <w:autoSpaceDE w:val="0"/>
        <w:autoSpaceDN w:val="0"/>
        <w:adjustRightInd w:val="0"/>
        <w:ind w:firstLine="709"/>
        <w:jc w:val="both"/>
        <w:rPr>
          <w:bCs/>
        </w:rPr>
      </w:pPr>
      <w:r w:rsidRPr="00DA146B">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0F1D9FDA" w14:textId="77777777" w:rsidR="00802E04" w:rsidRPr="00DA146B" w:rsidRDefault="00802E04" w:rsidP="00802E04">
      <w:pPr>
        <w:autoSpaceDE w:val="0"/>
        <w:autoSpaceDN w:val="0"/>
        <w:adjustRightInd w:val="0"/>
        <w:ind w:firstLine="709"/>
        <w:jc w:val="both"/>
        <w:rPr>
          <w:bCs/>
        </w:rPr>
      </w:pPr>
      <w:r w:rsidRPr="00DA146B">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7E8A2FC1" w14:textId="77777777" w:rsidR="00802E04" w:rsidRPr="00DA146B" w:rsidRDefault="00802E04" w:rsidP="00802E04">
      <w:pPr>
        <w:autoSpaceDE w:val="0"/>
        <w:autoSpaceDN w:val="0"/>
        <w:adjustRightInd w:val="0"/>
        <w:ind w:firstLine="709"/>
        <w:jc w:val="both"/>
        <w:rPr>
          <w:bCs/>
        </w:rPr>
      </w:pPr>
      <w:r w:rsidRPr="00DA146B">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656FCD9" w14:textId="77777777" w:rsidR="00802E04" w:rsidRPr="00DA146B" w:rsidRDefault="00802E04" w:rsidP="00802E04">
      <w:pPr>
        <w:autoSpaceDE w:val="0"/>
        <w:autoSpaceDN w:val="0"/>
        <w:adjustRightInd w:val="0"/>
        <w:ind w:firstLine="709"/>
        <w:jc w:val="both"/>
        <w:rPr>
          <w:bCs/>
        </w:rPr>
      </w:pPr>
      <w:r w:rsidRPr="00DA146B">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222EBC84" w14:textId="77777777" w:rsidR="00802E04" w:rsidRPr="00DA146B" w:rsidRDefault="00802E04" w:rsidP="00802E04">
      <w:pPr>
        <w:autoSpaceDE w:val="0"/>
        <w:autoSpaceDN w:val="0"/>
        <w:adjustRightInd w:val="0"/>
        <w:ind w:firstLine="709"/>
        <w:jc w:val="both"/>
        <w:rPr>
          <w:bCs/>
        </w:rPr>
      </w:pPr>
      <w:r w:rsidRPr="00DA146B">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7602E9D1" w14:textId="77777777" w:rsidR="00802E04" w:rsidRPr="00DA146B" w:rsidRDefault="00802E04" w:rsidP="00802E04">
      <w:pPr>
        <w:autoSpaceDE w:val="0"/>
        <w:autoSpaceDN w:val="0"/>
        <w:adjustRightInd w:val="0"/>
        <w:ind w:firstLine="709"/>
        <w:jc w:val="both"/>
        <w:rPr>
          <w:bCs/>
        </w:rPr>
      </w:pPr>
      <w:r w:rsidRPr="00DA146B">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68D0FD45" w14:textId="77777777" w:rsidR="00802E04" w:rsidRPr="00DA146B" w:rsidRDefault="00802E04" w:rsidP="00802E04">
      <w:pPr>
        <w:autoSpaceDE w:val="0"/>
        <w:autoSpaceDN w:val="0"/>
        <w:adjustRightInd w:val="0"/>
        <w:ind w:firstLine="709"/>
        <w:jc w:val="both"/>
        <w:rPr>
          <w:bCs/>
        </w:rPr>
      </w:pPr>
      <w:r w:rsidRPr="00DA146B">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34913422" w14:textId="77777777" w:rsidR="00802E04" w:rsidRPr="00DA146B" w:rsidRDefault="00802E04" w:rsidP="00802E04">
      <w:pPr>
        <w:autoSpaceDE w:val="0"/>
        <w:autoSpaceDN w:val="0"/>
        <w:adjustRightInd w:val="0"/>
        <w:ind w:firstLine="709"/>
        <w:jc w:val="both"/>
        <w:rPr>
          <w:bCs/>
        </w:rPr>
      </w:pPr>
      <w:r w:rsidRPr="00DA146B">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p>
    <w:p w14:paraId="4189BDB0" w14:textId="77777777" w:rsidR="00802E04" w:rsidRPr="00DA146B" w:rsidRDefault="00802E04" w:rsidP="00802E04">
      <w:pPr>
        <w:keepNext/>
        <w:keepLines/>
        <w:spacing w:after="9"/>
        <w:contextualSpacing/>
        <w:outlineLvl w:val="0"/>
        <w:rPr>
          <w:b/>
          <w:color w:val="000000"/>
          <w:lang w:eastAsia="es-AR"/>
        </w:rPr>
      </w:pPr>
    </w:p>
    <w:p w14:paraId="5C3EF1C3" w14:textId="77777777" w:rsidR="00802E04" w:rsidRPr="00DA146B" w:rsidRDefault="00802E04" w:rsidP="00802E04">
      <w:pPr>
        <w:pStyle w:val="Prrafodelista"/>
        <w:keepNext/>
        <w:keepLines/>
        <w:numPr>
          <w:ilvl w:val="0"/>
          <w:numId w:val="37"/>
        </w:numPr>
        <w:spacing w:after="9"/>
        <w:contextualSpacing/>
        <w:outlineLvl w:val="0"/>
        <w:rPr>
          <w:b/>
          <w:color w:val="000000"/>
          <w:szCs w:val="22"/>
          <w:lang w:val="es-AR" w:eastAsia="es-AR"/>
        </w:rPr>
      </w:pPr>
      <w:r w:rsidRPr="00DA146B">
        <w:rPr>
          <w:b/>
          <w:color w:val="000000"/>
          <w:lang w:eastAsia="es-AR"/>
        </w:rPr>
        <w:t xml:space="preserve">De la inconstitucionalidad de la suspensión de la fórmula de movilidad por la ley 27.541 </w:t>
      </w:r>
    </w:p>
    <w:p w14:paraId="75CDA419" w14:textId="77777777" w:rsidR="00802E04" w:rsidRPr="00DA146B" w:rsidRDefault="00802E04" w:rsidP="00802E04">
      <w:pPr>
        <w:keepNext/>
        <w:keepLines/>
        <w:spacing w:after="9"/>
        <w:ind w:firstLine="1276"/>
        <w:jc w:val="both"/>
        <w:outlineLvl w:val="0"/>
        <w:rPr>
          <w:b/>
          <w:color w:val="000000"/>
          <w:lang w:eastAsia="es-AR"/>
        </w:rPr>
      </w:pPr>
      <w:r w:rsidRPr="00DA146B">
        <w:rPr>
          <w:b/>
          <w:color w:val="000000"/>
          <w:lang w:eastAsia="es-AR"/>
        </w:rPr>
        <w:t xml:space="preserve"> </w:t>
      </w:r>
      <w:r w:rsidRPr="00DA146B">
        <w:rPr>
          <w:color w:val="000000"/>
          <w:lang w:eastAsia="es-AR"/>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DA146B">
        <w:rPr>
          <w:color w:val="000000"/>
          <w:lang w:eastAsia="es-AR"/>
        </w:rPr>
        <w:t>e</w:t>
      </w:r>
      <w:proofErr w:type="spellEnd"/>
      <w:r w:rsidRPr="00DA146B">
        <w:rPr>
          <w:color w:val="000000"/>
          <w:lang w:eastAsia="es-AR"/>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D1D4040" w14:textId="77777777" w:rsidR="00802E04" w:rsidRPr="00DA146B" w:rsidRDefault="00802E04" w:rsidP="00802E04">
      <w:pPr>
        <w:spacing w:after="7"/>
        <w:ind w:right="49" w:firstLine="1276"/>
        <w:jc w:val="both"/>
        <w:rPr>
          <w:color w:val="000000"/>
          <w:lang w:eastAsia="es-AR"/>
        </w:rPr>
      </w:pPr>
      <w:r w:rsidRPr="00DA146B">
        <w:rPr>
          <w:color w:val="000000"/>
          <w:lang w:eastAsia="es-AR"/>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1636CA1E"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Porque al igual que el art 2 de la ley 27426 es regresiva, y afecta </w:t>
      </w:r>
    </w:p>
    <w:p w14:paraId="4EF4A5E8" w14:textId="77777777" w:rsidR="00802E04" w:rsidRPr="00DA146B" w:rsidRDefault="00802E04" w:rsidP="00802E04">
      <w:pPr>
        <w:spacing w:after="7"/>
        <w:ind w:right="49"/>
        <w:jc w:val="both"/>
        <w:rPr>
          <w:color w:val="000000"/>
          <w:lang w:eastAsia="es-AR"/>
        </w:rPr>
      </w:pPr>
      <w:r w:rsidRPr="00DA146B">
        <w:rPr>
          <w:color w:val="000000"/>
          <w:lang w:eastAsia="es-AR"/>
        </w:rPr>
        <w:t xml:space="preserve">el principio de progresividad  </w:t>
      </w:r>
    </w:p>
    <w:p w14:paraId="1A8D9A4A"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No debió haberse delegado la facultad de fijar una garantía </w:t>
      </w:r>
    </w:p>
    <w:p w14:paraId="4564B6AA" w14:textId="77777777" w:rsidR="00802E04" w:rsidRPr="00DA146B" w:rsidRDefault="00802E04" w:rsidP="00802E04">
      <w:pPr>
        <w:spacing w:after="7"/>
        <w:ind w:right="49"/>
        <w:rPr>
          <w:color w:val="000000"/>
          <w:lang w:eastAsia="es-AR"/>
        </w:rPr>
      </w:pPr>
      <w:r w:rsidRPr="00DA146B">
        <w:rPr>
          <w:color w:val="000000"/>
          <w:lang w:eastAsia="es-AR"/>
        </w:rPr>
        <w:t xml:space="preserve">constitucional como es la movilidad jubilatoria. </w:t>
      </w:r>
    </w:p>
    <w:p w14:paraId="43C070EC"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No respeta las bases de la delegación del art 2 </w:t>
      </w:r>
      <w:proofErr w:type="spellStart"/>
      <w:r w:rsidRPr="00DA146B">
        <w:rPr>
          <w:color w:val="000000"/>
          <w:lang w:eastAsia="es-AR"/>
        </w:rPr>
        <w:t>inc</w:t>
      </w:r>
      <w:proofErr w:type="spellEnd"/>
      <w:r w:rsidRPr="00DA146B">
        <w:rPr>
          <w:color w:val="000000"/>
          <w:lang w:eastAsia="es-AR"/>
        </w:rPr>
        <w:t xml:space="preserve"> e. </w:t>
      </w:r>
    </w:p>
    <w:p w14:paraId="48B8ED6B"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No cumple con los recaudos formales y sustanciales de la doctrina de la emergencia </w:t>
      </w:r>
    </w:p>
    <w:p w14:paraId="7978F9FC"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El art 56 establece un régimen diferenciado contrariamente a lo normado por el art 2 </w:t>
      </w:r>
    </w:p>
    <w:p w14:paraId="311B29C4"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Los índices, y por lo tanto la movilidad ya se habían devengado al momento de sancionada la ley de emergencia </w:t>
      </w:r>
    </w:p>
    <w:p w14:paraId="7A1E095C"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Los decretos son insuficientes e irrazonables y no cumplen con la garantía de movilidad jubilatoria del 14 bis. </w:t>
      </w:r>
    </w:p>
    <w:p w14:paraId="6D5A015C"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 xml:space="preserve">Se suspendió la movilidad solo al régimen común que es el que menos percibe. </w:t>
      </w:r>
    </w:p>
    <w:p w14:paraId="30F318D7" w14:textId="77777777" w:rsidR="00802E04" w:rsidRPr="00DA146B" w:rsidRDefault="00802E04" w:rsidP="00802E04">
      <w:pPr>
        <w:numPr>
          <w:ilvl w:val="0"/>
          <w:numId w:val="19"/>
        </w:numPr>
        <w:spacing w:after="7"/>
        <w:ind w:right="49"/>
        <w:jc w:val="both"/>
        <w:rPr>
          <w:color w:val="000000"/>
          <w:lang w:eastAsia="es-AR"/>
        </w:rPr>
      </w:pPr>
      <w:r w:rsidRPr="00DA146B">
        <w:rPr>
          <w:color w:val="000000"/>
          <w:lang w:eastAsia="es-AR"/>
        </w:rPr>
        <w:t>No cumple con la integralidad del haber y la jubilación no guarda su finalidad que es mantener el valor adquisitivo en el tiempo. Perdida en 2020:</w:t>
      </w:r>
    </w:p>
    <w:p w14:paraId="790CB1AA" w14:textId="77777777" w:rsidR="00802E04" w:rsidRPr="00DA146B" w:rsidRDefault="00AE45C3" w:rsidP="00802E04">
      <w:pPr>
        <w:spacing w:after="7"/>
        <w:ind w:right="49"/>
        <w:jc w:val="both"/>
        <w:rPr>
          <w:color w:val="000000"/>
          <w:lang w:eastAsia="es-AR"/>
        </w:rPr>
      </w:pPr>
      <w:r>
        <w:rPr>
          <w:noProof/>
          <w:color w:val="000000"/>
          <w:lang w:eastAsia="es-AR"/>
        </w:rPr>
        <w:pict w14:anchorId="7EDE80CA">
          <v:shape id="_x0000_i1032" type="#_x0000_t75" alt="Imagen que contiene Interfaz de usuario gráfica&#10;&#10;Descripción generada automáticamente" style="width:389.95pt;height:97.7pt;visibility:visible">
            <v:imagedata r:id="rId41" o:title="Imagen que contiene Interfaz de usuario gráfica&#10;&#10;Descripción generada automáticamente"/>
          </v:shape>
        </w:pict>
      </w:r>
    </w:p>
    <w:p w14:paraId="7708C47C" w14:textId="77777777" w:rsidR="00802E04" w:rsidRPr="00DA146B" w:rsidRDefault="00802E04" w:rsidP="00802E04">
      <w:pPr>
        <w:spacing w:after="7"/>
        <w:ind w:right="49"/>
        <w:jc w:val="both"/>
        <w:rPr>
          <w:color w:val="000000"/>
          <w:lang w:eastAsia="es-AR"/>
        </w:rPr>
      </w:pPr>
    </w:p>
    <w:p w14:paraId="2666C175" w14:textId="77777777" w:rsidR="00802E04" w:rsidRPr="00DA146B" w:rsidRDefault="00802E04" w:rsidP="00802E04">
      <w:pPr>
        <w:pStyle w:val="Prrafodelista"/>
        <w:keepNext/>
        <w:keepLines/>
        <w:numPr>
          <w:ilvl w:val="0"/>
          <w:numId w:val="37"/>
        </w:numPr>
        <w:spacing w:after="9"/>
        <w:jc w:val="both"/>
        <w:outlineLvl w:val="0"/>
        <w:rPr>
          <w:color w:val="000000"/>
          <w:lang w:eastAsia="es-AR"/>
        </w:rPr>
      </w:pPr>
      <w:r w:rsidRPr="00DA146B">
        <w:rPr>
          <w:b/>
          <w:color w:val="000000"/>
          <w:lang w:eastAsia="es-AR"/>
        </w:rPr>
        <w:t>Planteo la inconstitucionalidad de la ley 27.609 :</w:t>
      </w:r>
      <w:r w:rsidRPr="00DA146B">
        <w:rPr>
          <w:color w:val="000000"/>
          <w:lang w:eastAsia="es-AR"/>
        </w:rPr>
        <w:t xml:space="preserve"> </w:t>
      </w:r>
    </w:p>
    <w:p w14:paraId="4F187B72" w14:textId="77777777" w:rsidR="00802E04" w:rsidRDefault="00802E04" w:rsidP="00802E04">
      <w:pPr>
        <w:ind w:firstLine="851"/>
        <w:jc w:val="both"/>
        <w:rPr>
          <w:rFonts w:eastAsia="Calibri"/>
          <w:i/>
          <w:iCs/>
        </w:rPr>
      </w:pPr>
      <w:r w:rsidRPr="00DA146B">
        <w:rPr>
          <w:rFonts w:eastAsia="Calibri"/>
        </w:rPr>
        <w:t>Si bien el criterio del Cámara en los autos Márquez Raimundo respecto de la ley 27.609 fue : “</w:t>
      </w:r>
      <w:r w:rsidRPr="00DA146B">
        <w:rPr>
          <w:rFonts w:eastAsia="Calibri"/>
          <w:i/>
          <w:iCs/>
        </w:rPr>
        <w:t xml:space="preserve">Que, sobre el planteo de inconstitucionalidad de la nueva ley de movilidad, 27.609, sin perjuicio de que lo decidido por el juez de grado entraña un diferimiento que impide considerar un agravio actual, confirmamos el criterio adoptado, conforme lo explicitado por esta Sala in re “Márquez Raimundo”, </w:t>
      </w:r>
      <w:proofErr w:type="spellStart"/>
      <w:r w:rsidRPr="00DA146B">
        <w:rPr>
          <w:rFonts w:eastAsia="Calibri"/>
          <w:i/>
          <w:iCs/>
        </w:rPr>
        <w:t>Expte</w:t>
      </w:r>
      <w:proofErr w:type="spellEnd"/>
      <w:r w:rsidRPr="00DA146B">
        <w:rPr>
          <w:rFonts w:eastAsia="Calibri"/>
          <w:i/>
          <w:iCs/>
        </w:rPr>
        <w:t xml:space="preserve">. </w:t>
      </w:r>
      <w:proofErr w:type="spellStart"/>
      <w:r w:rsidRPr="00DA146B">
        <w:rPr>
          <w:rFonts w:eastAsia="Calibri"/>
          <w:i/>
          <w:iCs/>
        </w:rPr>
        <w:t>Nº</w:t>
      </w:r>
      <w:proofErr w:type="spellEnd"/>
      <w:r w:rsidRPr="00DA146B">
        <w:rPr>
          <w:rFonts w:eastAsia="Calibri"/>
          <w:i/>
          <w:iCs/>
        </w:rPr>
        <w:t xml:space="preserve"> FSA 18430/2016, sentencia de 26 de noviembre de 2021.”, </w:t>
      </w:r>
      <w:r w:rsidRPr="00DA146B">
        <w:rPr>
          <w:rFonts w:eastAsia="Calibri"/>
        </w:rPr>
        <w:t>podemos observar a la fecha de</w:t>
      </w:r>
      <w:r w:rsidRPr="00DA146B">
        <w:rPr>
          <w:rFonts w:eastAsia="Calibri"/>
          <w:i/>
          <w:iCs/>
        </w:rPr>
        <w:t xml:space="preserve"> </w:t>
      </w:r>
      <w:r w:rsidRPr="00DA146B">
        <w:rPr>
          <w:rFonts w:eastAsia="Calibri"/>
        </w:rPr>
        <w:t xml:space="preserve">presentación de la liquidación que la afectación </w:t>
      </w:r>
      <w:r w:rsidRPr="00DA146B">
        <w:rPr>
          <w:rFonts w:eastAsia="Calibri"/>
          <w:b/>
          <w:bCs/>
        </w:rPr>
        <w:t>es tangible</w:t>
      </w:r>
      <w:r w:rsidRPr="00DA146B">
        <w:rPr>
          <w:rFonts w:eastAsia="Calibri"/>
        </w:rPr>
        <w:t xml:space="preserve"> y la pérdida en los haberes jubilatori</w:t>
      </w:r>
      <w:r>
        <w:rPr>
          <w:rFonts w:eastAsia="Calibri"/>
        </w:rPr>
        <w:t>o</w:t>
      </w:r>
      <w:r w:rsidRPr="00DA146B">
        <w:rPr>
          <w:rFonts w:eastAsia="Calibri"/>
        </w:rPr>
        <w:t>s ha sido tan significativa que el mismo Estado lo reconoció y otorgo 25 bonos a los jubilados de la mínima,  desde su sanción hasta  diciembre de 2023, por lo que solicito a VS declare la inconstitucionalidad del artículo 1° de la ley 27.609 y sus normas reglamentarias, por cuanto la misma ha demostrado ser regresiva y confiscatoria , afectando la integralidad del haber jubilatorio de mi representado.</w:t>
      </w:r>
    </w:p>
    <w:p w14:paraId="7944AB5D" w14:textId="77777777" w:rsidR="00802E04" w:rsidRPr="00DA146B" w:rsidRDefault="00802E04" w:rsidP="00802E04">
      <w:pPr>
        <w:ind w:firstLine="851"/>
        <w:jc w:val="both"/>
        <w:rPr>
          <w:rFonts w:eastAsia="Calibri"/>
          <w:i/>
          <w:iCs/>
        </w:rPr>
      </w:pPr>
      <w:r w:rsidRPr="00DA146B">
        <w:rPr>
          <w:rFonts w:eastAsia="Calibri"/>
        </w:rPr>
        <w:t xml:space="preserve">Los aumentos dados por </w:t>
      </w:r>
      <w:proofErr w:type="spellStart"/>
      <w:r w:rsidRPr="00DA146B">
        <w:rPr>
          <w:rFonts w:eastAsia="Calibri"/>
        </w:rPr>
        <w:t>Anses</w:t>
      </w:r>
      <w:proofErr w:type="spellEnd"/>
      <w:r w:rsidRPr="00DA146B">
        <w:rPr>
          <w:rFonts w:eastAsia="Calibri"/>
        </w:rPr>
        <w:t xml:space="preserve"> fueron insuficientes en este período. Así el haber de los jubilados perdió un </w:t>
      </w:r>
      <w:r w:rsidRPr="00DA146B">
        <w:rPr>
          <w:rFonts w:eastAsia="Calibri"/>
          <w:b/>
          <w:bCs/>
        </w:rPr>
        <w:t>52,14% contra la inflación</w:t>
      </w:r>
      <w:r w:rsidRPr="00DA146B">
        <w:rPr>
          <w:rFonts w:eastAsia="Calibri"/>
        </w:rPr>
        <w:t xml:space="preserve">, un </w:t>
      </w:r>
      <w:r w:rsidRPr="00DA146B">
        <w:rPr>
          <w:rFonts w:eastAsia="Calibri"/>
          <w:b/>
          <w:bCs/>
        </w:rPr>
        <w:t xml:space="preserve">47,24% contra el </w:t>
      </w:r>
      <w:proofErr w:type="spellStart"/>
      <w:r w:rsidRPr="00DA146B">
        <w:rPr>
          <w:rFonts w:eastAsia="Calibri"/>
          <w:b/>
          <w:bCs/>
        </w:rPr>
        <w:t>Ripte</w:t>
      </w:r>
      <w:proofErr w:type="spellEnd"/>
      <w:r w:rsidRPr="00DA146B">
        <w:rPr>
          <w:rFonts w:eastAsia="Calibri"/>
        </w:rPr>
        <w:t xml:space="preserve">, </w:t>
      </w:r>
      <w:r w:rsidRPr="00DA146B">
        <w:rPr>
          <w:rFonts w:eastAsia="Calibri"/>
          <w:b/>
          <w:bCs/>
        </w:rPr>
        <w:t>58,34% con los aumentos de los funcionarios judiciales</w:t>
      </w:r>
      <w:r w:rsidRPr="00DA146B">
        <w:rPr>
          <w:rFonts w:eastAsia="Calibri"/>
        </w:rPr>
        <w:t xml:space="preserve"> y un </w:t>
      </w:r>
      <w:r w:rsidRPr="00DA146B">
        <w:rPr>
          <w:rFonts w:eastAsia="Calibri"/>
          <w:b/>
          <w:bCs/>
        </w:rPr>
        <w:t xml:space="preserve">45,01% contra los aumentos a los haberes mínimos con bonos. </w:t>
      </w:r>
    </w:p>
    <w:p w14:paraId="5A6EFEA7" w14:textId="77777777" w:rsidR="00802E04" w:rsidRPr="00DA146B" w:rsidRDefault="00AE45C3" w:rsidP="00802E04">
      <w:pPr>
        <w:jc w:val="both"/>
        <w:rPr>
          <w:rFonts w:eastAsia="Calibri"/>
        </w:rPr>
      </w:pPr>
      <w:r>
        <w:rPr>
          <w:rFonts w:eastAsia="Calibri"/>
          <w:noProof/>
        </w:rPr>
        <w:pict w14:anchorId="38FFC583">
          <v:shape id="_x0000_i1033" type="#_x0000_t75" style="width:425.1pt;height:135.25pt;visibility:visible">
            <v:imagedata r:id="rId42" o:title=""/>
          </v:shape>
        </w:pict>
      </w:r>
    </w:p>
    <w:p w14:paraId="6F2C2DD9" w14:textId="77777777" w:rsidR="00802E04" w:rsidRDefault="00802E04" w:rsidP="00802E04">
      <w:pPr>
        <w:ind w:firstLine="993"/>
        <w:jc w:val="both"/>
        <w:rPr>
          <w:rFonts w:eastAsia="Calibri"/>
        </w:rPr>
      </w:pPr>
      <w:r w:rsidRPr="00DA146B">
        <w:rPr>
          <w:rFonts w:eastAsia="Calibri"/>
        </w:rPr>
        <w:t xml:space="preserve">En conclusión perdieron con todo, incluido con sus pares jubilados de la mínima, produciéndose un achatamiento en el haber previsional, más allá que los aumentos dados , lo fueron bajo el concepto de bonos, porque en la práctica no los recibieron, y era para paliar los efectos de la inflación -declaraciones del ex jefe de gabinete y la gerenta de </w:t>
      </w:r>
      <w:proofErr w:type="spellStart"/>
      <w:r w:rsidRPr="00DA146B">
        <w:rPr>
          <w:rFonts w:eastAsia="Calibri"/>
        </w:rPr>
        <w:t>Anses</w:t>
      </w:r>
      <w:proofErr w:type="spellEnd"/>
      <w:r w:rsidRPr="00DA146B">
        <w:rPr>
          <w:rFonts w:eastAsia="Calibri"/>
        </w:rPr>
        <w:t xml:space="preserve">- inflación que solo sufrieron , al parecer, los jubilados de la mínima, castigándose a los jubilados que cobraban haberes medios o máximos, que son los que hicieron mayor esfuerzo contributivo . </w:t>
      </w:r>
    </w:p>
    <w:p w14:paraId="0CE7CE3A" w14:textId="77777777" w:rsidR="00802E04" w:rsidRPr="00DA146B" w:rsidRDefault="00802E04" w:rsidP="00802E04">
      <w:pPr>
        <w:ind w:firstLine="993"/>
        <w:jc w:val="both"/>
        <w:rPr>
          <w:rFonts w:eastAsia="Calibri"/>
        </w:rPr>
      </w:pPr>
      <w:r w:rsidRPr="00DA146B">
        <w:rPr>
          <w:rFonts w:eastAsia="Calibri"/>
        </w:rPr>
        <w:t xml:space="preserve">Nótese del cuadro que adjunto obtenido del </w:t>
      </w:r>
      <w:hyperlink r:id="rId43" w:history="1">
        <w:r w:rsidRPr="00DA146B">
          <w:rPr>
            <w:rFonts w:eastAsia="Calibri"/>
            <w:color w:val="0563C1"/>
            <w:u w:val="single"/>
          </w:rPr>
          <w:t>BESS a septiembre de 2023</w:t>
        </w:r>
      </w:hyperlink>
      <w:r w:rsidRPr="00DA146B">
        <w:rPr>
          <w:rFonts w:eastAsia="Calibri"/>
        </w:rPr>
        <w:t xml:space="preserve"> , de los 5.076.794 beneficiarios del SIPA (se excluyen regímenes especiales y retirados) 3.524.770 son jubilados con moratoria, y tienen un haber medio de $ 118.703, </w:t>
      </w:r>
      <w:r w:rsidRPr="00DA146B">
        <w:rPr>
          <w:rFonts w:eastAsia="Calibri"/>
          <w:b/>
          <w:bCs/>
        </w:rPr>
        <w:t>incluido el refuerzo previsional.</w:t>
      </w:r>
    </w:p>
    <w:p w14:paraId="33DF4C3B" w14:textId="77777777" w:rsidR="00802E04" w:rsidRPr="00DA146B" w:rsidRDefault="00802E04" w:rsidP="00802E04">
      <w:pPr>
        <w:ind w:firstLine="993"/>
        <w:jc w:val="both"/>
        <w:rPr>
          <w:rFonts w:eastAsia="Calibri"/>
        </w:rPr>
      </w:pPr>
      <w:r w:rsidRPr="00DA146B">
        <w:rPr>
          <w:rFonts w:eastAsia="Calibri"/>
        </w:rPr>
        <w:t xml:space="preserve">No obstante, los jubilados anteriores a la ley 24.241 o jubilados sin moratoria o con la prestación anticipada tienen un haber medio que oscila entre los $ 202.345 y los $ 228.289, por lo cual ninguno se vio alcanzado por los 25 bonos, y además de eso se observa que las jubilaciones vienen perdiendo producto de las sucesivas reformas el poder adquisitivo dado que estos haberes medios, representan el 60% del RIPTE, que medido a la misma fecha, y pese a ser un índice manipulado y con un </w:t>
      </w:r>
      <w:proofErr w:type="spellStart"/>
      <w:r w:rsidRPr="00DA146B">
        <w:rPr>
          <w:rFonts w:eastAsia="Calibri"/>
        </w:rPr>
        <w:t>delay</w:t>
      </w:r>
      <w:proofErr w:type="spellEnd"/>
      <w:r w:rsidRPr="00DA146B">
        <w:rPr>
          <w:rFonts w:eastAsia="Calibri"/>
        </w:rPr>
        <w:t xml:space="preserve"> de 13 meses, arroja un haber de $ 376.594,32 sueldo promedio de los trabajadores estables que no incluye sumas no remunerativas, es decir un índice mentiroso y distorsionado, pero que aún asi es superior a los aumentos de </w:t>
      </w:r>
      <w:proofErr w:type="spellStart"/>
      <w:r w:rsidRPr="00DA146B">
        <w:rPr>
          <w:rFonts w:eastAsia="Calibri"/>
        </w:rPr>
        <w:t>Anses</w:t>
      </w:r>
      <w:proofErr w:type="spellEnd"/>
      <w:r w:rsidRPr="00DA146B">
        <w:rPr>
          <w:rFonts w:eastAsia="Calibri"/>
        </w:rPr>
        <w:t>.</w:t>
      </w:r>
    </w:p>
    <w:p w14:paraId="187C4003" w14:textId="77777777" w:rsidR="00802E04" w:rsidRPr="00DA146B" w:rsidRDefault="00802E04" w:rsidP="00802E04">
      <w:pPr>
        <w:jc w:val="both"/>
        <w:rPr>
          <w:rFonts w:eastAsia="Calibri"/>
        </w:rPr>
      </w:pPr>
    </w:p>
    <w:p w14:paraId="71B07EFD" w14:textId="77777777" w:rsidR="00802E04" w:rsidRPr="00DA146B" w:rsidRDefault="00AE45C3" w:rsidP="00802E04">
      <w:pPr>
        <w:ind w:right="-1561"/>
        <w:jc w:val="both"/>
        <w:rPr>
          <w:rFonts w:eastAsia="Calibri"/>
        </w:rPr>
      </w:pPr>
      <w:r>
        <w:rPr>
          <w:rFonts w:ascii="Calibri" w:eastAsia="Calibri" w:hAnsi="Calibri"/>
          <w:noProof/>
        </w:rPr>
        <w:pict w14:anchorId="4748FD71">
          <v:shape id="_x0000_i1034" type="#_x0000_t75" style="width:410.5pt;height:137.6pt;visibility:visible">
            <v:imagedata r:id="rId44" o:title=""/>
          </v:shape>
        </w:pict>
      </w:r>
    </w:p>
    <w:p w14:paraId="1B04B031" w14:textId="77777777" w:rsidR="00802E04" w:rsidRPr="00DA146B" w:rsidRDefault="00802E04" w:rsidP="00802E04">
      <w:pPr>
        <w:ind w:firstLine="851"/>
        <w:jc w:val="both"/>
        <w:rPr>
          <w:rFonts w:eastAsia="Calibri"/>
        </w:rPr>
      </w:pPr>
      <w:r w:rsidRPr="00DA146B">
        <w:rPr>
          <w:rFonts w:eastAsia="Calibri"/>
        </w:rPr>
        <w:t>Mas allá de la regresividad, y la afectación del principio de igualdad la cual se encuentra plenamente acreditada, la fórmula no es transparente y tiene una complejidad que dificulta su control y la hace manipulable, por cuanto sus compontes, pueden y así vemos que ha sucedido ser modificados indirectamente a modo de ejemplo</w:t>
      </w:r>
      <w:r>
        <w:rPr>
          <w:rFonts w:eastAsia="Calibri"/>
        </w:rPr>
        <w:t>:</w:t>
      </w:r>
    </w:p>
    <w:p w14:paraId="1DE7FA14" w14:textId="77777777" w:rsidR="00802E04" w:rsidRPr="00DA146B" w:rsidRDefault="00802E04" w:rsidP="00802E04">
      <w:pPr>
        <w:numPr>
          <w:ilvl w:val="0"/>
          <w:numId w:val="36"/>
        </w:numPr>
        <w:jc w:val="both"/>
        <w:rPr>
          <w:rFonts w:eastAsia="Calibri"/>
        </w:rPr>
      </w:pPr>
      <w:r w:rsidRPr="00DA146B">
        <w:rPr>
          <w:rFonts w:eastAsia="Calibri"/>
          <w:b/>
          <w:bCs/>
        </w:rPr>
        <w:t>RT(recursos tributarios)</w:t>
      </w:r>
      <w:r w:rsidRPr="00DA146B">
        <w:rPr>
          <w:rFonts w:eastAsia="Calibri"/>
        </w:rPr>
        <w:t xml:space="preserve"> varios de sus componentes se han modificado, así se ha decidió devolver el IVA a algunos ciudadanos, se ha elevado el piso de ganancias, se ha reducido el impuesto país, y todas estas decisiones políticas inciden claramente en los recursos tributarios.</w:t>
      </w:r>
    </w:p>
    <w:p w14:paraId="6771A688" w14:textId="77777777" w:rsidR="00802E04" w:rsidRPr="00DA146B" w:rsidRDefault="00802E04" w:rsidP="00802E04">
      <w:pPr>
        <w:numPr>
          <w:ilvl w:val="0"/>
          <w:numId w:val="35"/>
        </w:numPr>
        <w:jc w:val="both"/>
        <w:rPr>
          <w:rFonts w:eastAsia="Calibri"/>
          <w:b/>
          <w:bCs/>
        </w:rPr>
      </w:pPr>
      <w:r w:rsidRPr="00DA146B">
        <w:rPr>
          <w:rFonts w:eastAsia="Calibri"/>
          <w:b/>
          <w:bCs/>
        </w:rPr>
        <w:t xml:space="preserve">RIPTE/ISAL: </w:t>
      </w:r>
      <w:r w:rsidRPr="00DA146B">
        <w:rPr>
          <w:rFonts w:eastAsia="Calibri"/>
        </w:rPr>
        <w:t>El RIPTE tiene una metodología más que cuestionable, si tenemos en cuenta que ya en su presentación se dice que no necesariamente “</w:t>
      </w:r>
      <w:r w:rsidRPr="00DA146B">
        <w:rPr>
          <w:rFonts w:eastAsia="Calibri"/>
          <w:b/>
          <w:bCs/>
        </w:rPr>
        <w:t xml:space="preserve">El RIPTE no refleja necesariamente la evolución de los salarios del empleo registrado privado” </w:t>
      </w:r>
      <w:r w:rsidRPr="00DA146B">
        <w:rPr>
          <w:rFonts w:eastAsia="Calibri"/>
        </w:rPr>
        <w:t xml:space="preserve"> y esto es cierto por cuanto además</w:t>
      </w:r>
      <w:r w:rsidRPr="00DA146B">
        <w:rPr>
          <w:rFonts w:eastAsia="Calibri"/>
          <w:b/>
          <w:bCs/>
        </w:rPr>
        <w:t xml:space="preserve"> “Solo cuantifica los componentes remunerativos del salario (imponibles al sistema de seguridad social)”</w:t>
      </w:r>
      <w:r w:rsidRPr="00DA146B">
        <w:rPr>
          <w:rFonts w:eastAsia="Calibri"/>
        </w:rPr>
        <w:t xml:space="preserve"> y es innegable que los trabajadores en actividad han tenido incrementos notables en sus haberes en concepto de sumas no remunerativas , al punto tal que hasta el gobierno ordeno a los privados que pagaran </w:t>
      </w:r>
      <w:hyperlink r:id="rId45" w:history="1">
        <w:r w:rsidRPr="00DA146B">
          <w:rPr>
            <w:rFonts w:eastAsia="Calibri"/>
            <w:color w:val="0563C1"/>
            <w:u w:val="single"/>
          </w:rPr>
          <w:t>bonos extraordinarios</w:t>
        </w:r>
      </w:hyperlink>
      <w:r w:rsidRPr="00DA146B">
        <w:rPr>
          <w:rFonts w:eastAsia="Calibri"/>
        </w:rPr>
        <w:t xml:space="preserve"> ante un contexto económico desafiante.</w:t>
      </w:r>
    </w:p>
    <w:p w14:paraId="0E0EA45F" w14:textId="77777777" w:rsidR="00802E04" w:rsidRPr="00DA146B" w:rsidRDefault="00802E04" w:rsidP="00802E04">
      <w:pPr>
        <w:numPr>
          <w:ilvl w:val="0"/>
          <w:numId w:val="35"/>
        </w:numPr>
        <w:jc w:val="both"/>
        <w:rPr>
          <w:rFonts w:eastAsia="Calibri"/>
        </w:rPr>
      </w:pPr>
      <w:r w:rsidRPr="00DA146B">
        <w:rPr>
          <w:rFonts w:eastAsia="Calibri"/>
          <w:b/>
          <w:bCs/>
        </w:rPr>
        <w:t xml:space="preserve">Beneficiarios: </w:t>
      </w:r>
      <w:r w:rsidRPr="00DA146B">
        <w:rPr>
          <w:rFonts w:eastAsia="Calibri"/>
        </w:rPr>
        <w:t>Se incrementaron los beneficiarios con la moratoria prevista en la ley 27.705 , a lo que se suma que no queda claro que se considera como beneficiarios por cuanto también se otorgó un nuevo beneficio, denominado nuevo IFE para trabajadores informales</w:t>
      </w:r>
      <w:r w:rsidRPr="00DA146B">
        <w:rPr>
          <w:rFonts w:eastAsia="Calibri"/>
          <w:b/>
          <w:bCs/>
        </w:rPr>
        <w:t xml:space="preserve"> </w:t>
      </w:r>
      <w:r w:rsidRPr="00DA146B">
        <w:rPr>
          <w:rFonts w:eastAsia="Calibri"/>
        </w:rPr>
        <w:t>Quiénes pueden cobrar el “nuevo IFE 2023″,</w:t>
      </w:r>
      <w:r w:rsidRPr="00DA146B">
        <w:rPr>
          <w:rFonts w:eastAsia="Calibri"/>
          <w:b/>
          <w:bCs/>
        </w:rPr>
        <w:t xml:space="preserve"> </w:t>
      </w:r>
      <w:r w:rsidRPr="00DA146B">
        <w:rPr>
          <w:rFonts w:eastAsia="Calibri"/>
        </w:rPr>
        <w:t>refuerzo destinado a los trabajadores informales que tienen entre 18 y 64 años, no presentan ingresos y no fueron alcanzados por los últimos beneficios económicos, estos son beneficios asistenciales.</w:t>
      </w:r>
    </w:p>
    <w:p w14:paraId="62C498BE" w14:textId="77777777" w:rsidR="00802E04" w:rsidRPr="00DA146B" w:rsidRDefault="00802E04" w:rsidP="00802E04">
      <w:pPr>
        <w:ind w:firstLine="993"/>
        <w:jc w:val="both"/>
        <w:rPr>
          <w:rFonts w:eastAsia="Calibri"/>
        </w:rPr>
      </w:pPr>
      <w:r w:rsidRPr="00DA146B">
        <w:rPr>
          <w:rFonts w:eastAsia="Calibri"/>
        </w:rPr>
        <w:t>Teniendo en cuenta que el aumento de beneficios, sean estos contributivos o no, aumenta el divisor de la formula, se afecta el índice de movilidad jubilatoria a la baja, nótese que en el período de la ley 27.609 los jubilados con moratoria fueron 706.635 y sin moratoria 348.350, es decir que los jubilados con aportes totales representan un 33% del total de nuevos beneficiarios.</w:t>
      </w:r>
    </w:p>
    <w:p w14:paraId="2B248EC3" w14:textId="77777777" w:rsidR="00802E04" w:rsidRPr="00DA146B" w:rsidRDefault="00AE45C3" w:rsidP="00802E04">
      <w:pPr>
        <w:jc w:val="center"/>
        <w:rPr>
          <w:rFonts w:eastAsia="Calibri"/>
        </w:rPr>
      </w:pPr>
      <w:r>
        <w:rPr>
          <w:rFonts w:ascii="Calibri" w:eastAsia="Calibri" w:hAnsi="Calibri"/>
          <w:noProof/>
        </w:rPr>
        <w:pict w14:anchorId="562FC37F">
          <v:shape id="_x0000_i1035" type="#_x0000_t75" style="width:362.85pt;height:99.25pt;visibility:visible">
            <v:imagedata r:id="rId46" o:title=""/>
          </v:shape>
        </w:pict>
      </w:r>
    </w:p>
    <w:p w14:paraId="34858B3C" w14:textId="77777777" w:rsidR="00802E04" w:rsidRPr="00DA146B" w:rsidRDefault="00802E04" w:rsidP="00802E04">
      <w:pPr>
        <w:numPr>
          <w:ilvl w:val="0"/>
          <w:numId w:val="35"/>
        </w:numPr>
        <w:jc w:val="both"/>
        <w:rPr>
          <w:rFonts w:eastAsia="Calibri"/>
        </w:rPr>
      </w:pPr>
      <w:r w:rsidRPr="00DA146B">
        <w:rPr>
          <w:rFonts w:eastAsia="Calibri"/>
          <w:b/>
          <w:bCs/>
        </w:rPr>
        <w:t>R:</w:t>
      </w:r>
      <w:r w:rsidRPr="00DA146B">
        <w:rPr>
          <w:rFonts w:eastAsia="Calibri"/>
        </w:rPr>
        <w:t xml:space="preserve">recaudación tributaria: esto depende de la política fiscal que se adopte y ya se ha observado que se dieron condonaciones de deudas </w:t>
      </w:r>
      <w:hyperlink r:id="rId47" w:history="1">
        <w:hyperlink r:id="rId48" w:history="1">
          <w:r w:rsidRPr="00DA146B">
            <w:rPr>
              <w:rFonts w:eastAsia="Calibri"/>
              <w:color w:val="0563C1"/>
              <w:u w:val="single"/>
            </w:rPr>
            <w:t>ley 27.653</w:t>
          </w:r>
        </w:hyperlink>
        <w:r w:rsidRPr="00DA146B">
          <w:rPr>
            <w:rFonts w:eastAsia="Calibri"/>
            <w:color w:val="0563C1"/>
            <w:u w:val="single"/>
          </w:rPr>
          <w:t xml:space="preserve"> y RG AFIP 5101/21</w:t>
        </w:r>
      </w:hyperlink>
      <w:r w:rsidRPr="00DA146B">
        <w:rPr>
          <w:rFonts w:eastAsia="Calibri"/>
        </w:rPr>
        <w:t xml:space="preserve">, se suspendieron de ejecuciones (v.gr. RG AFIP 4936, 4953, 5000 y 5052,), lo cual repercute de manera directa e ineludible la determinación de la movilidad jubilatoria, que todos los trimestres debe ponderar la </w:t>
      </w:r>
      <w:hyperlink r:id="rId49" w:history="1">
        <w:r w:rsidRPr="00DA146B">
          <w:rPr>
            <w:rFonts w:eastAsia="Calibri"/>
            <w:color w:val="0563C1"/>
            <w:u w:val="single"/>
          </w:rPr>
          <w:t xml:space="preserve">variación de la recaudación tributaria con destino a </w:t>
        </w:r>
        <w:proofErr w:type="spellStart"/>
        <w:r w:rsidRPr="00DA146B">
          <w:rPr>
            <w:rFonts w:eastAsia="Calibri"/>
            <w:color w:val="0563C1"/>
            <w:u w:val="single"/>
          </w:rPr>
          <w:t>ANSeS</w:t>
        </w:r>
        <w:proofErr w:type="spellEnd"/>
      </w:hyperlink>
      <w:r w:rsidRPr="00DA146B">
        <w:rPr>
          <w:rFonts w:eastAsia="Calibri"/>
        </w:rPr>
        <w:t xml:space="preserve">. </w:t>
      </w:r>
    </w:p>
    <w:p w14:paraId="023B3FB6" w14:textId="77777777" w:rsidR="00802E04" w:rsidRPr="00DA146B" w:rsidRDefault="00802E04" w:rsidP="00802E04">
      <w:pPr>
        <w:ind w:firstLine="709"/>
        <w:jc w:val="both"/>
        <w:rPr>
          <w:rFonts w:eastAsia="Calibri"/>
        </w:rPr>
      </w:pPr>
      <w:r w:rsidRPr="00DA146B">
        <w:rPr>
          <w:rFonts w:eastAsia="Calibri"/>
        </w:rPr>
        <w:t xml:space="preserve">Todo esto demuestra que son los jubilados los que terminan financiando a los trabajadores, y que se ha perdido la solidaridad intergeneracional y que constantemente se busca , por lo  esta ley es una clara involución del concepto de seguridad social porque pretende darle un fin asistencialista como tenía en sus orígenes, como una dádiva, -que se observa también con el otorgamiento de bonos de manera discrecional- pretendiendo olvidar la lucha por el derecho, que logró la conquista de los derechos sociales y su incorporación en la normativa internacional que garantiza el derecho al trabajo y a la seguridad social y en nuestra Constitución nacional.  </w:t>
      </w:r>
    </w:p>
    <w:p w14:paraId="3607E476" w14:textId="77777777" w:rsidR="00802E04" w:rsidRPr="00DA146B" w:rsidRDefault="00802E04" w:rsidP="00802E04">
      <w:pPr>
        <w:pBdr>
          <w:top w:val="single" w:sz="4" w:space="1" w:color="auto"/>
          <w:left w:val="single" w:sz="4" w:space="4" w:color="auto"/>
          <w:bottom w:val="single" w:sz="4" w:space="1" w:color="auto"/>
          <w:right w:val="single" w:sz="4" w:space="4" w:color="auto"/>
        </w:pBdr>
        <w:jc w:val="both"/>
        <w:rPr>
          <w:rFonts w:eastAsia="Calibri"/>
        </w:rPr>
      </w:pPr>
      <w:r w:rsidRPr="00DA146B">
        <w:rPr>
          <w:rFonts w:eastAsia="Calibri"/>
        </w:rPr>
        <w:t xml:space="preserve">El aumento jubilatorio para   diciembre 2023 fue fijado por </w:t>
      </w:r>
      <w:hyperlink r:id="rId50" w:history="1">
        <w:r w:rsidRPr="00DA146B">
          <w:rPr>
            <w:rFonts w:eastAsia="Calibri"/>
            <w:color w:val="0563C1"/>
            <w:u w:val="single"/>
          </w:rPr>
          <w:t xml:space="preserve">Res 220/2023 </w:t>
        </w:r>
      </w:hyperlink>
      <w:r w:rsidRPr="00DA146B">
        <w:rPr>
          <w:rFonts w:eastAsia="Calibri"/>
        </w:rPr>
        <w:t xml:space="preserve">  en 20,87%. El mismo es trimestral y con rezago, lo cual hace que haber jubilatoria pierda fuertemente el poder adquisitivo, por cuanto hoy tenemos una inflación superior al 10% mensual (</w:t>
      </w:r>
      <w:hyperlink r:id="rId51" w:history="1">
        <w:r w:rsidRPr="00DA146B">
          <w:rPr>
            <w:rFonts w:eastAsia="Calibri"/>
            <w:color w:val="0563C1"/>
            <w:u w:val="single"/>
          </w:rPr>
          <w:t xml:space="preserve">12,8% </w:t>
        </w:r>
        <w:proofErr w:type="spellStart"/>
        <w:r w:rsidRPr="00DA146B">
          <w:rPr>
            <w:rFonts w:eastAsia="Calibri"/>
            <w:color w:val="0563C1"/>
            <w:u w:val="single"/>
          </w:rPr>
          <w:t>ipc</w:t>
        </w:r>
        <w:proofErr w:type="spellEnd"/>
        <w:r w:rsidRPr="00DA146B">
          <w:rPr>
            <w:rFonts w:eastAsia="Calibri"/>
            <w:color w:val="0563C1"/>
            <w:u w:val="single"/>
          </w:rPr>
          <w:t xml:space="preserve"> para noviembre de 2023</w:t>
        </w:r>
      </w:hyperlink>
      <w:r w:rsidRPr="00DA146B">
        <w:rPr>
          <w:rFonts w:eastAsia="Calibri"/>
        </w:rPr>
        <w:t>, un 30% estimado para diciembre)</w:t>
      </w:r>
    </w:p>
    <w:p w14:paraId="67D45750" w14:textId="77777777" w:rsidR="00802E04" w:rsidRPr="00DA146B" w:rsidRDefault="00802E04" w:rsidP="00802E04">
      <w:pPr>
        <w:pBdr>
          <w:top w:val="single" w:sz="4" w:space="1" w:color="auto"/>
          <w:left w:val="single" w:sz="4" w:space="4" w:color="auto"/>
          <w:bottom w:val="single" w:sz="4" w:space="1" w:color="auto"/>
          <w:right w:val="single" w:sz="4" w:space="4" w:color="auto"/>
        </w:pBdr>
        <w:jc w:val="both"/>
        <w:rPr>
          <w:rFonts w:eastAsia="Calibri"/>
        </w:rPr>
      </w:pPr>
      <w:r w:rsidRPr="00DA146B">
        <w:rPr>
          <w:rFonts w:eastAsia="Calibri"/>
        </w:rPr>
        <w:t xml:space="preserve"> Es decir que, ese aumento dado a mi mandante en su haber en diciembre de 2023,  se aplicará también en enero y febrero de 2024,  y es el reflejo de las variables de la fórmula de movilidad jubilatoria  de junio, julio y agosto de 2023. </w:t>
      </w:r>
    </w:p>
    <w:p w14:paraId="58267DBD" w14:textId="77777777" w:rsidR="00802E04" w:rsidRPr="00DA146B" w:rsidRDefault="00802E04" w:rsidP="00802E04">
      <w:pPr>
        <w:pBdr>
          <w:top w:val="single" w:sz="4" w:space="1" w:color="auto"/>
          <w:left w:val="single" w:sz="4" w:space="4" w:color="auto"/>
          <w:bottom w:val="single" w:sz="4" w:space="1" w:color="auto"/>
          <w:right w:val="single" w:sz="4" w:space="4" w:color="auto"/>
        </w:pBdr>
        <w:jc w:val="both"/>
        <w:rPr>
          <w:rFonts w:eastAsia="Calibri"/>
        </w:rPr>
      </w:pPr>
      <w:r w:rsidRPr="00DA146B">
        <w:rPr>
          <w:rFonts w:eastAsia="Calibri"/>
        </w:rPr>
        <w:t>La inflación acumulada de junio -primer mes de la variable tomada- a noviembre de 2023-último índice publicado-, ya es del 75%, por lo que el jubilado tiene que vivir con ese aumento del 20,87 % y hacer frente con su haber jubilatorio a una inflación  que rondará el 100%, hasta el próximo aumento  en marzo de 2024.</w:t>
      </w:r>
    </w:p>
    <w:p w14:paraId="57B2A828" w14:textId="77777777" w:rsidR="00802E04" w:rsidRPr="00DA146B" w:rsidRDefault="00802E04" w:rsidP="00802E04">
      <w:pPr>
        <w:ind w:firstLine="993"/>
        <w:jc w:val="both"/>
        <w:rPr>
          <w:rFonts w:eastAsia="Calibri"/>
          <w:bCs/>
        </w:rPr>
      </w:pPr>
      <w:r w:rsidRPr="00DA146B">
        <w:rPr>
          <w:rFonts w:eastAsia="Calibri"/>
          <w:bCs/>
        </w:rPr>
        <w:t xml:space="preserve">Solicito apruebe la liquidación practicada de manera parcial, y ordene aplicar IPC o el índice que VS estime conveniente al período 2021 a 2023, con una corrección mensual, a fin de mantener el poder adquisitivo del haber jubilatorio de mi representado, reservándome el derecho de reclamar las diferencias que surjan de su aplicación, siendo imperioso ejecutar las diferencias adeudadas por el incumplimiento de la sentencia. </w:t>
      </w:r>
    </w:p>
    <w:p w14:paraId="7BE9E0F7" w14:textId="77777777" w:rsidR="00802E04" w:rsidRPr="00DA146B" w:rsidRDefault="00802E04" w:rsidP="00802E04">
      <w:pPr>
        <w:ind w:firstLine="993"/>
        <w:jc w:val="both"/>
        <w:rPr>
          <w:rFonts w:eastAsia="Calibri"/>
        </w:rPr>
      </w:pPr>
      <w:r w:rsidRPr="00DA146B">
        <w:rPr>
          <w:rFonts w:eastAsia="Calibri"/>
          <w:bCs/>
        </w:rPr>
        <w:t>Lo solicitado radica en la necesidad de respetar la naturaleza sustitutiva del haber jubilatorio respecto del salario, el poder adquisitivo del mismo, y su consecuente integralidad conforme el mandato constitucional del art 14 bis, que le permita al actor tener una vejez digna.</w:t>
      </w:r>
    </w:p>
    <w:p w14:paraId="56686D26" w14:textId="77777777" w:rsidR="00802E04" w:rsidRPr="00DA146B" w:rsidRDefault="00802E04" w:rsidP="00802E04">
      <w:pPr>
        <w:tabs>
          <w:tab w:val="center" w:pos="2054"/>
          <w:tab w:val="center" w:pos="4155"/>
        </w:tabs>
        <w:spacing w:after="23"/>
        <w:ind w:firstLine="993"/>
        <w:rPr>
          <w:rFonts w:ascii="Calibri" w:eastAsia="Calibri" w:hAnsi="Calibri" w:cs="Calibri"/>
          <w:color w:val="000000"/>
          <w:lang w:eastAsia="es-AR"/>
        </w:rPr>
      </w:pPr>
    </w:p>
    <w:p w14:paraId="7F3029BC" w14:textId="77777777" w:rsidR="00802E04" w:rsidRPr="00DA146B" w:rsidRDefault="00802E04" w:rsidP="00802E04">
      <w:pPr>
        <w:pStyle w:val="Prrafodelista"/>
        <w:keepNext/>
        <w:keepLines/>
        <w:numPr>
          <w:ilvl w:val="0"/>
          <w:numId w:val="37"/>
        </w:numPr>
        <w:spacing w:after="9"/>
        <w:jc w:val="both"/>
        <w:outlineLvl w:val="0"/>
        <w:rPr>
          <w:b/>
          <w:bCs/>
          <w:color w:val="000000"/>
          <w:lang w:eastAsia="es-AR"/>
        </w:rPr>
      </w:pPr>
      <w:r w:rsidRPr="00DA146B">
        <w:rPr>
          <w:b/>
          <w:bCs/>
          <w:color w:val="000000"/>
          <w:lang w:eastAsia="es-AR"/>
        </w:rPr>
        <w:t>Marco constitucional de la petición realizada</w:t>
      </w:r>
    </w:p>
    <w:p w14:paraId="75BE16D1" w14:textId="77777777" w:rsidR="00802E04" w:rsidRPr="00DA146B" w:rsidRDefault="00802E04" w:rsidP="00802E04">
      <w:pPr>
        <w:keepNext/>
        <w:keepLines/>
        <w:spacing w:after="9"/>
        <w:jc w:val="both"/>
        <w:outlineLvl w:val="0"/>
        <w:rPr>
          <w:b/>
          <w:bCs/>
          <w:color w:val="000000"/>
          <w:lang w:eastAsia="es-AR"/>
        </w:rPr>
      </w:pPr>
    </w:p>
    <w:p w14:paraId="187E4424" w14:textId="77777777" w:rsidR="00802E04" w:rsidRDefault="00802E04" w:rsidP="00802E04">
      <w:pPr>
        <w:spacing w:after="7"/>
        <w:ind w:right="49" w:firstLine="1701"/>
        <w:jc w:val="both"/>
        <w:rPr>
          <w:color w:val="000000"/>
          <w:lang w:eastAsia="es-AR"/>
        </w:rPr>
      </w:pPr>
      <w:r>
        <w:rPr>
          <w:color w:val="000000"/>
          <w:lang w:eastAsia="es-AR"/>
        </w:rPr>
        <w:t>Con la reforma constitucional de 1994</w:t>
      </w:r>
      <w:r w:rsidRPr="00DA146B">
        <w:rPr>
          <w:color w:val="000000"/>
          <w:lang w:eastAsia="es-AR"/>
        </w:rPr>
        <w:t xml:space="preserve">, </w:t>
      </w:r>
      <w:r>
        <w:rPr>
          <w:color w:val="000000"/>
          <w:lang w:eastAsia="es-AR"/>
        </w:rPr>
        <w:t>se incorpora el</w:t>
      </w:r>
      <w:r w:rsidRPr="00DA146B">
        <w:rPr>
          <w:color w:val="000000"/>
          <w:lang w:eastAsia="es-AR"/>
        </w:rPr>
        <w:t xml:space="preserve"> paradigma del </w:t>
      </w:r>
      <w:r w:rsidRPr="00DA146B">
        <w:rPr>
          <w:b/>
          <w:color w:val="000000"/>
          <w:lang w:eastAsia="es-AR"/>
        </w:rPr>
        <w:t>desarrollo humano</w:t>
      </w:r>
      <w:r w:rsidRPr="00DA146B">
        <w:rPr>
          <w:color w:val="000000"/>
          <w:lang w:eastAsia="es-AR"/>
        </w:rPr>
        <w:t xml:space="preserve"> (art. 75, inc. 19, principalmente) y de la </w:t>
      </w:r>
      <w:r w:rsidRPr="00DA146B">
        <w:rPr>
          <w:b/>
          <w:color w:val="000000"/>
          <w:lang w:eastAsia="es-AR"/>
        </w:rPr>
        <w:t>dotación de jerarquía constitucional a diversos tratados sobre derechos humanos</w:t>
      </w:r>
      <w:r w:rsidRPr="00DA146B">
        <w:rPr>
          <w:color w:val="000000"/>
          <w:lang w:eastAsia="es-AR"/>
        </w:rPr>
        <w:t xml:space="preserve"> (art. 75, inc. 22 CN),</w:t>
      </w:r>
      <w:r>
        <w:rPr>
          <w:color w:val="000000"/>
          <w:lang w:eastAsia="es-AR"/>
        </w:rPr>
        <w:t xml:space="preserve">lo cual </w:t>
      </w:r>
      <w:r w:rsidRPr="00DA146B">
        <w:rPr>
          <w:color w:val="000000"/>
          <w:lang w:eastAsia="es-AR"/>
        </w:rPr>
        <w:t xml:space="preserve"> vino a redefinir y a resignificar  principios/derechos/garantías clásicos, como el de la igualdad real, lo que impacta decididamente, en lo que aquí interesa, en la </w:t>
      </w:r>
      <w:r w:rsidRPr="00DA146B">
        <w:rPr>
          <w:b/>
          <w:color w:val="000000"/>
          <w:lang w:eastAsia="es-AR"/>
        </w:rPr>
        <w:t xml:space="preserve">indispensable protección y defensa especial de quienes pertenecen a grupos tradicionalmente desfavorecidos, olvidados, rezagados (art. 75, inc. 23 CN). </w:t>
      </w:r>
    </w:p>
    <w:p w14:paraId="3F08E86D" w14:textId="77777777" w:rsidR="00802E04" w:rsidRDefault="00802E04" w:rsidP="00802E04">
      <w:pPr>
        <w:spacing w:after="7"/>
        <w:ind w:right="49" w:firstLine="1701"/>
        <w:jc w:val="both"/>
        <w:rPr>
          <w:color w:val="000000"/>
          <w:lang w:eastAsia="es-AR"/>
        </w:rPr>
      </w:pPr>
      <w:r w:rsidRPr="00DA146B">
        <w:rPr>
          <w:color w:val="000000"/>
          <w:lang w:eastAsia="es-AR"/>
        </w:rPr>
        <w:t>En efecto, no puede dejar de recordarse que en “García” (Fallos 342:411) nuestro máximo Tribunal se encargó de enfatizar que “</w:t>
      </w:r>
      <w:r w:rsidRPr="00DA146B">
        <w:rPr>
          <w:i/>
          <w:color w:val="000000"/>
          <w:lang w:eastAsia="es-AR"/>
        </w:rPr>
        <w:t>la reforma constitucional introducida en 1994 dio un nuevo impulso al desarrollo del principio de igualdad sustancial para el logro de una tutela efectiva de colectivos de personas en situación de vulnerabilidad, estableciendo ‘medidas de acción positiva’</w:t>
      </w:r>
      <w:r w:rsidRPr="00DA146B">
        <w:rPr>
          <w:color w:val="000000"/>
          <w:lang w:eastAsia="es-AR"/>
        </w:rPr>
        <w:t xml:space="preserve"> […] </w:t>
      </w:r>
      <w:r w:rsidRPr="00DA146B">
        <w:rPr>
          <w:i/>
          <w:color w:val="000000"/>
          <w:lang w:eastAsia="es-AR"/>
        </w:rPr>
        <w:t>en beneficio de ellas</w:t>
      </w:r>
      <w:r w:rsidRPr="00DA146B">
        <w:rPr>
          <w:color w:val="000000"/>
          <w:lang w:eastAsia="es-AR"/>
        </w:rPr>
        <w:t>” (</w:t>
      </w:r>
      <w:proofErr w:type="spellStart"/>
      <w:r w:rsidRPr="00DA146B">
        <w:rPr>
          <w:color w:val="000000"/>
          <w:lang w:eastAsia="es-AR"/>
        </w:rPr>
        <w:t>Consid</w:t>
      </w:r>
      <w:proofErr w:type="spellEnd"/>
      <w:r w:rsidRPr="00DA146B">
        <w:rPr>
          <w:color w:val="000000"/>
          <w:lang w:eastAsia="es-AR"/>
        </w:rPr>
        <w:t xml:space="preserve">. 12). </w:t>
      </w:r>
    </w:p>
    <w:p w14:paraId="53C98526" w14:textId="77777777" w:rsidR="00802E04" w:rsidRDefault="00802E04" w:rsidP="00802E04">
      <w:pPr>
        <w:spacing w:after="7"/>
        <w:ind w:right="49" w:firstLine="1701"/>
        <w:jc w:val="both"/>
        <w:rPr>
          <w:color w:val="000000"/>
          <w:lang w:eastAsia="es-AR"/>
        </w:rPr>
      </w:pPr>
      <w:r w:rsidRPr="00DA146B">
        <w:rPr>
          <w:color w:val="000000"/>
          <w:lang w:eastAsia="es-AR"/>
        </w:rPr>
        <w:t>Y agregó que “</w:t>
      </w:r>
      <w:r w:rsidRPr="00DA146B">
        <w:rPr>
          <w:i/>
          <w:color w:val="000000"/>
          <w:lang w:eastAsia="es-AR"/>
        </w:rPr>
        <w:t>el envejecimiento y la discapacidad -los motivos más comunes por las que se accede al status de jubilado son causas predisponentes o determinantes de vulnerabilidad, circunstancia que normalmente obliga a los concernidos a contar con mayores recursos para no ver comprometida seriamente su existencia y/o calidad de vida y el consecuente ejercicio de sus derechos fundamentales. Por ello, las circunstancias y condicionantes de esta etapa del ciclo vital han sido motivo de regulación internacional</w:t>
      </w:r>
      <w:r w:rsidRPr="00DA146B">
        <w:rPr>
          <w:color w:val="000000"/>
          <w:lang w:eastAsia="es-AR"/>
        </w:rPr>
        <w:t>” (</w:t>
      </w:r>
      <w:proofErr w:type="spellStart"/>
      <w:r w:rsidRPr="00DA146B">
        <w:rPr>
          <w:color w:val="000000"/>
          <w:lang w:eastAsia="es-AR"/>
        </w:rPr>
        <w:t>Consid</w:t>
      </w:r>
      <w:proofErr w:type="spellEnd"/>
      <w:r w:rsidRPr="00DA146B">
        <w:rPr>
          <w:color w:val="000000"/>
          <w:lang w:eastAsia="es-AR"/>
        </w:rPr>
        <w:t xml:space="preserve">. 13). </w:t>
      </w:r>
    </w:p>
    <w:p w14:paraId="7505DDB1" w14:textId="77777777" w:rsidR="00802E04" w:rsidRDefault="00802E04" w:rsidP="00802E04">
      <w:pPr>
        <w:spacing w:after="7"/>
        <w:ind w:right="49" w:firstLine="1701"/>
        <w:jc w:val="both"/>
        <w:rPr>
          <w:color w:val="000000"/>
          <w:lang w:eastAsia="es-AR"/>
        </w:rPr>
      </w:pPr>
      <w:r w:rsidRPr="00DA146B">
        <w:rPr>
          <w:color w:val="000000"/>
          <w:lang w:eastAsia="es-AR"/>
        </w:rPr>
        <w:t>Por ello, en esa misma línea de razonamiento esta parte afirma, junto con el alto Tribunal que “</w:t>
      </w:r>
      <w:r w:rsidRPr="00DA146B">
        <w:rPr>
          <w:i/>
          <w:color w:val="000000"/>
          <w:lang w:eastAsia="es-AR"/>
        </w:rPr>
        <w:t>de lo anteriormente reseñado se desprende que, a partir de la reforma constitucional de 1994, cobra especial énfasis el deber del legislador de estipular respuestas especiales y diferenciadas para los sectores vulnerables, con el objeto de asegurarles el goce pleno y efectivo de todos sus derechos</w:t>
      </w:r>
      <w:r w:rsidRPr="00DA146B">
        <w:rPr>
          <w:color w:val="000000"/>
          <w:lang w:eastAsia="es-AR"/>
        </w:rPr>
        <w:t>” (</w:t>
      </w:r>
      <w:proofErr w:type="spellStart"/>
      <w:r w:rsidRPr="00DA146B">
        <w:rPr>
          <w:color w:val="000000"/>
          <w:lang w:eastAsia="es-AR"/>
        </w:rPr>
        <w:t>Consid</w:t>
      </w:r>
      <w:proofErr w:type="spellEnd"/>
      <w:r w:rsidRPr="00DA146B">
        <w:rPr>
          <w:color w:val="000000"/>
          <w:lang w:eastAsia="es-AR"/>
        </w:rPr>
        <w:t xml:space="preserve">. 15). </w:t>
      </w:r>
    </w:p>
    <w:p w14:paraId="7D16B5CD" w14:textId="77777777" w:rsidR="00802E04" w:rsidRDefault="00802E04" w:rsidP="00802E04">
      <w:pPr>
        <w:spacing w:after="7"/>
        <w:ind w:right="49" w:firstLine="1701"/>
        <w:jc w:val="both"/>
        <w:rPr>
          <w:color w:val="000000"/>
          <w:lang w:eastAsia="es-AR"/>
        </w:rPr>
      </w:pPr>
      <w:r w:rsidRPr="00DA146B">
        <w:rPr>
          <w:color w:val="000000"/>
          <w:lang w:eastAsia="es-AR"/>
        </w:rPr>
        <w:t>Es así que no resulta ni constitucional ni convencionalmente tolerable que las normas impacten negativamente en los haberes de los integrantes de este “</w:t>
      </w:r>
      <w:r w:rsidRPr="00DA146B">
        <w:rPr>
          <w:i/>
          <w:color w:val="000000"/>
          <w:lang w:eastAsia="es-AR"/>
        </w:rPr>
        <w:t>grupo vulnerable e históricamente postergado</w:t>
      </w:r>
      <w:r w:rsidRPr="00DA146B">
        <w:rPr>
          <w:color w:val="000000"/>
          <w:lang w:eastAsia="es-AR"/>
        </w:rPr>
        <w:t>”, en términos de la CSJN en el precedente citado (</w:t>
      </w:r>
      <w:proofErr w:type="spellStart"/>
      <w:r w:rsidRPr="00DA146B">
        <w:rPr>
          <w:color w:val="000000"/>
          <w:lang w:eastAsia="es-AR"/>
        </w:rPr>
        <w:t>Consid</w:t>
      </w:r>
      <w:proofErr w:type="spellEnd"/>
      <w:r w:rsidRPr="00DA146B">
        <w:rPr>
          <w:color w:val="000000"/>
          <w:lang w:eastAsia="es-AR"/>
        </w:rPr>
        <w:t xml:space="preserve">. 21). Lo contrario importaría </w:t>
      </w:r>
      <w:r w:rsidRPr="00DA146B">
        <w:rPr>
          <w:b/>
          <w:color w:val="000000"/>
          <w:lang w:eastAsia="es-AR"/>
        </w:rPr>
        <w:t>admitir un efecto regresivo</w:t>
      </w:r>
      <w:r w:rsidRPr="00DA146B">
        <w:rPr>
          <w:color w:val="000000"/>
          <w:lang w:eastAsia="es-AR"/>
        </w:rPr>
        <w:t xml:space="preserve"> rotundamente rechazado por la doctrina y la jurisprudencia tanto nacional como interamericana, cuando de derechos humanos esenciales se trata. </w:t>
      </w:r>
    </w:p>
    <w:p w14:paraId="6B4965E4" w14:textId="77777777" w:rsidR="00802E04" w:rsidRDefault="00802E04" w:rsidP="00802E04">
      <w:pPr>
        <w:spacing w:after="7"/>
        <w:ind w:right="49" w:firstLine="1701"/>
        <w:jc w:val="both"/>
        <w:rPr>
          <w:color w:val="000000"/>
          <w:lang w:eastAsia="es-AR"/>
        </w:rPr>
      </w:pPr>
      <w:r w:rsidRPr="00DA146B">
        <w:rPr>
          <w:color w:val="000000"/>
          <w:lang w:eastAsia="es-AR"/>
        </w:rPr>
        <w:t>Efectivamente, sólo por citar un antecedente en este punto, según la Asamblea General de la Organización de Estados Americanos (OEA) las medidas regresivas son incompatibles con la vigencia plena del sistema de derechos humanos. Y por tales se entienden todas aquellas disposiciones o políticas cuya aplicación signifique un retroceso en el nivel del goce o ejercicio de un derecho protegido</w:t>
      </w:r>
      <w:r w:rsidRPr="00DA146B">
        <w:rPr>
          <w:color w:val="000000"/>
          <w:vertAlign w:val="superscript"/>
          <w:lang w:eastAsia="es-AR"/>
        </w:rPr>
        <w:footnoteReference w:id="5"/>
      </w:r>
      <w:r w:rsidRPr="00DA146B">
        <w:rPr>
          <w:color w:val="000000"/>
          <w:lang w:eastAsia="es-AR"/>
        </w:rPr>
        <w:t xml:space="preserve">. Así, esta definición de regresividad involucra dos nociones. Son regresivas: a) las políticas que impliquen un retroceso en los resultados, mesurable a través de indicadores o referentes empíricos; y b) las disposiciones normativas que impliquen un retroceso en la extensión concedida a un derecho. Al comparar una norma anterior con una posterior, el estándar de juicio de </w:t>
      </w:r>
      <w:r w:rsidRPr="00DA146B">
        <w:rPr>
          <w:i/>
          <w:color w:val="000000"/>
          <w:lang w:eastAsia="es-AR"/>
        </w:rPr>
        <w:t xml:space="preserve">regresividad normativa </w:t>
      </w:r>
      <w:r w:rsidRPr="00DA146B">
        <w:rPr>
          <w:color w:val="000000"/>
          <w:lang w:eastAsia="es-AR"/>
        </w:rPr>
        <w:t xml:space="preserve">consiste en evaluar si el </w:t>
      </w:r>
      <w:r>
        <w:rPr>
          <w:color w:val="000000"/>
          <w:lang w:eastAsia="es-AR"/>
        </w:rPr>
        <w:t>n</w:t>
      </w:r>
      <w:r w:rsidRPr="00DA146B">
        <w:rPr>
          <w:color w:val="000000"/>
          <w:lang w:eastAsia="es-AR"/>
        </w:rPr>
        <w:t xml:space="preserve">ivel de protección que ofrece el ordenamiento jurídico ante una misma situación de hecho ha empeorado. Y es precisamente ésta la situación que se verifica en los hechos que originaron la presente causa. </w:t>
      </w:r>
    </w:p>
    <w:p w14:paraId="79D6D5BC" w14:textId="77777777" w:rsidR="00802E04" w:rsidRDefault="00802E04" w:rsidP="00802E04">
      <w:pPr>
        <w:spacing w:after="7"/>
        <w:ind w:right="49" w:firstLine="1701"/>
        <w:jc w:val="both"/>
        <w:rPr>
          <w:color w:val="000000"/>
          <w:lang w:eastAsia="es-AR"/>
        </w:rPr>
      </w:pPr>
      <w:r w:rsidRPr="00DA146B">
        <w:rPr>
          <w:color w:val="000000"/>
          <w:lang w:eastAsia="es-AR"/>
        </w:rPr>
        <w:t xml:space="preserve">Esta línea jurisprudencial no solo ha sido continuada por nuestra Corte Suprema (ej. </w:t>
      </w:r>
      <w:r w:rsidRPr="00DA146B">
        <w:rPr>
          <w:i/>
          <w:color w:val="000000"/>
          <w:lang w:eastAsia="es-AR"/>
        </w:rPr>
        <w:t xml:space="preserve">in re </w:t>
      </w:r>
      <w:r w:rsidRPr="00DA146B">
        <w:rPr>
          <w:color w:val="000000"/>
          <w:lang w:eastAsia="es-AR"/>
        </w:rPr>
        <w:t xml:space="preserve">“Giménez”, Fallos 344:1788), sino que la idea de la necesaria y especial protección de grupos tradicionalmente relegados, olvidados, postergados luego de la reforma constitucional de 1994 ha sido profundizada por el Tribunal, el que se ha encargado de tachar como inconstitucionales normas que incluso eran en apariencia “neutras”, por repercutir negativamente en la situación fáctica real de uno o más individuos pertenecientes a estos colectivos. </w:t>
      </w:r>
    </w:p>
    <w:p w14:paraId="41D27B84" w14:textId="77777777" w:rsidR="00802E04" w:rsidRPr="00DA146B" w:rsidRDefault="00802E04" w:rsidP="00802E04">
      <w:pPr>
        <w:spacing w:after="7"/>
        <w:ind w:right="49" w:firstLine="1701"/>
        <w:jc w:val="both"/>
        <w:rPr>
          <w:color w:val="000000"/>
          <w:lang w:eastAsia="es-AR"/>
        </w:rPr>
      </w:pPr>
      <w:r w:rsidRPr="00DA146B">
        <w:rPr>
          <w:color w:val="000000"/>
          <w:lang w:eastAsia="es-AR"/>
        </w:rPr>
        <w:t xml:space="preserve">Así, ha afirmado, por ejemplo, que luego de la reforma constitucional de 1994, el principio de igualdad que surge del art. 16 de la Constitución Nacional debe también ser considerado a la luz del art. 75 inc. 23 y de diversas disposiciones contenidas en los tratados con jerarquía constitucional.  </w:t>
      </w:r>
    </w:p>
    <w:p w14:paraId="42D95849" w14:textId="77777777" w:rsidR="00802E04" w:rsidRPr="00DA146B" w:rsidRDefault="00802E04" w:rsidP="00802E04">
      <w:pPr>
        <w:spacing w:after="7"/>
        <w:ind w:right="49"/>
        <w:jc w:val="both"/>
        <w:rPr>
          <w:color w:val="000000"/>
          <w:lang w:eastAsia="es-AR"/>
        </w:rPr>
      </w:pPr>
      <w:r w:rsidRPr="00DA146B">
        <w:rPr>
          <w:color w:val="000000"/>
          <w:lang w:eastAsia="es-AR"/>
        </w:rPr>
        <w:t>Estas normas, al incorporar, por un lado, mecanismos de acciones positivas para favorecer a determinados grupos y, por el otro, delinear categorías sospechosas de discriminación, buscan garantizar la igualdad real de los habitantes. “</w:t>
      </w:r>
      <w:r w:rsidRPr="00DA146B">
        <w:rPr>
          <w:i/>
          <w:color w:val="000000"/>
          <w:lang w:eastAsia="es-AR"/>
        </w:rPr>
        <w:t>Es que en el marco que plantea la Constitución de 1994, la igualdad debe ahora ser entendida no solo desde el punto de vista del principio de no discriminación, sino también desde una perspectiva estructural que tiene en cuenta al individuo en tanto integrante de un grupo. El análisis propuesto considera el contexto social en el que se aplican las disposiciones, las políticas públicas y las prácticas que de ellas se derivan, y de qué modo impactan en los grupos desventajados</w:t>
      </w:r>
      <w:r w:rsidRPr="00DA146B">
        <w:rPr>
          <w:color w:val="000000"/>
          <w:lang w:eastAsia="es-AR"/>
        </w:rPr>
        <w:t xml:space="preserve">” (Fallos 340:1795, </w:t>
      </w:r>
      <w:proofErr w:type="spellStart"/>
      <w:r w:rsidRPr="00DA146B">
        <w:rPr>
          <w:color w:val="000000"/>
          <w:lang w:eastAsia="es-AR"/>
        </w:rPr>
        <w:t>consid</w:t>
      </w:r>
      <w:proofErr w:type="spellEnd"/>
      <w:r w:rsidRPr="00DA146B">
        <w:rPr>
          <w:color w:val="000000"/>
          <w:lang w:eastAsia="es-AR"/>
        </w:rPr>
        <w:t xml:space="preserve">. 18). </w:t>
      </w:r>
    </w:p>
    <w:p w14:paraId="271CC07D" w14:textId="77777777" w:rsidR="00802E04" w:rsidRPr="00DA146B" w:rsidRDefault="00802E04" w:rsidP="00802E04">
      <w:pPr>
        <w:spacing w:after="20"/>
        <w:ind w:right="52"/>
        <w:jc w:val="right"/>
        <w:rPr>
          <w:color w:val="000000"/>
          <w:lang w:eastAsia="es-AR"/>
        </w:rPr>
      </w:pPr>
      <w:r w:rsidRPr="00DA146B">
        <w:rPr>
          <w:color w:val="000000"/>
          <w:lang w:eastAsia="es-AR"/>
        </w:rPr>
        <w:t xml:space="preserve">Y ha resaltado, con cita del Comité de Derechos Económicos, Sociales y </w:t>
      </w:r>
    </w:p>
    <w:p w14:paraId="15113854" w14:textId="77777777" w:rsidR="00802E04" w:rsidRDefault="00802E04" w:rsidP="00802E04">
      <w:pPr>
        <w:spacing w:after="3"/>
        <w:ind w:right="49" w:firstLine="1134"/>
        <w:jc w:val="both"/>
        <w:rPr>
          <w:color w:val="000000"/>
          <w:lang w:eastAsia="es-AR"/>
        </w:rPr>
      </w:pPr>
      <w:r w:rsidRPr="00DA146B">
        <w:rPr>
          <w:color w:val="000000"/>
          <w:lang w:eastAsia="es-AR"/>
        </w:rPr>
        <w:t>Culturales, que “</w:t>
      </w:r>
      <w:r w:rsidRPr="00DA146B">
        <w:rPr>
          <w:i/>
          <w:color w:val="000000"/>
          <w:lang w:eastAsia="es-AR"/>
        </w:rPr>
        <w:t>A pesar de su apariencia -que por sí sola no ofrece ningún reparo de constitucionalidad-, puede ocurrir, sin embargo, que prima facie la norma -aplicada en un contexto social- produzca un impacto desproporcionado en un grupo determinado</w:t>
      </w:r>
      <w:r w:rsidRPr="00DA146B">
        <w:rPr>
          <w:color w:val="000000"/>
          <w:lang w:eastAsia="es-AR"/>
        </w:rPr>
        <w:t xml:space="preserve">. </w:t>
      </w:r>
      <w:r w:rsidRPr="00DA146B">
        <w:rPr>
          <w:i/>
          <w:color w:val="000000"/>
          <w:lang w:eastAsia="es-AR"/>
        </w:rPr>
        <w:t>Esto es, ‘leyes, políticas o prácticas en apariencia neutras’ causantes de una ‘discriminación sistémica (...) que genera desventajas comparativas para algunos grupos y privilegios para otros’</w:t>
      </w:r>
      <w:r w:rsidRPr="00DA146B">
        <w:rPr>
          <w:color w:val="000000"/>
          <w:lang w:eastAsia="es-AR"/>
        </w:rPr>
        <w:t>" (</w:t>
      </w:r>
      <w:proofErr w:type="spellStart"/>
      <w:r w:rsidRPr="00DA146B">
        <w:rPr>
          <w:color w:val="000000"/>
          <w:lang w:eastAsia="es-AR"/>
        </w:rPr>
        <w:t>Consid</w:t>
      </w:r>
      <w:proofErr w:type="spellEnd"/>
      <w:r w:rsidRPr="00DA146B">
        <w:rPr>
          <w:color w:val="000000"/>
          <w:lang w:eastAsia="es-AR"/>
        </w:rPr>
        <w:t xml:space="preserve">. 20). </w:t>
      </w:r>
    </w:p>
    <w:p w14:paraId="50AABBD7" w14:textId="77777777" w:rsidR="00802E04" w:rsidRDefault="00802E04" w:rsidP="00802E04">
      <w:pPr>
        <w:spacing w:after="3"/>
        <w:ind w:right="49" w:firstLine="1134"/>
        <w:jc w:val="both"/>
        <w:rPr>
          <w:color w:val="000000"/>
          <w:lang w:eastAsia="es-AR"/>
        </w:rPr>
      </w:pPr>
      <w:r w:rsidRPr="00DA146B">
        <w:rPr>
          <w:color w:val="000000"/>
          <w:lang w:eastAsia="es-AR"/>
        </w:rPr>
        <w:t>En lo que aquí resulta de particular interés, la Corte especifica que en los casos en los cuales exista una norma neutral que prima facie genere un impacto desmedido en los miembros de un grupo, resultará necesario para analizar su constitucionalidad, comprobar la manera en que dicha norma se ha implementado. En otros términos, la disposición puesta en crisis justifica que el tribunal analice los efectos que su aplicación ha generado en la realidad (</w:t>
      </w:r>
      <w:proofErr w:type="spellStart"/>
      <w:r w:rsidRPr="00DA146B">
        <w:rPr>
          <w:color w:val="000000"/>
          <w:lang w:eastAsia="es-AR"/>
        </w:rPr>
        <w:t>Consid</w:t>
      </w:r>
      <w:proofErr w:type="spellEnd"/>
      <w:r w:rsidRPr="00DA146B">
        <w:rPr>
          <w:color w:val="000000"/>
          <w:lang w:eastAsia="es-AR"/>
        </w:rPr>
        <w:t>. 21). Y “</w:t>
      </w:r>
      <w:r w:rsidRPr="00DA146B">
        <w:rPr>
          <w:i/>
          <w:color w:val="000000"/>
          <w:lang w:eastAsia="es-AR"/>
        </w:rPr>
        <w:t>una vez comprobado ese efecto de desigualdad y afectación real, el Estado debe justificar la necesidad de los efectos desproporcionados que causa la disposición. En el caso de que no logre hacerlo, la norma aparentemente neutra resultará inconstitucional</w:t>
      </w:r>
      <w:r w:rsidRPr="00DA146B">
        <w:rPr>
          <w:color w:val="000000"/>
          <w:lang w:eastAsia="es-AR"/>
        </w:rPr>
        <w:t>”. (</w:t>
      </w:r>
      <w:proofErr w:type="spellStart"/>
      <w:r w:rsidRPr="00DA146B">
        <w:rPr>
          <w:color w:val="000000"/>
          <w:lang w:eastAsia="es-AR"/>
        </w:rPr>
        <w:t>Consid</w:t>
      </w:r>
      <w:proofErr w:type="spellEnd"/>
      <w:r w:rsidRPr="00DA146B">
        <w:rPr>
          <w:color w:val="000000"/>
          <w:lang w:eastAsia="es-AR"/>
        </w:rPr>
        <w:t>. 22).</w:t>
      </w:r>
    </w:p>
    <w:p w14:paraId="40F51254" w14:textId="77777777" w:rsidR="00802E04" w:rsidRPr="00DA146B" w:rsidRDefault="00802E04" w:rsidP="00802E04">
      <w:pPr>
        <w:spacing w:after="3"/>
        <w:ind w:right="49" w:firstLine="1134"/>
        <w:jc w:val="both"/>
        <w:rPr>
          <w:color w:val="000000"/>
          <w:lang w:eastAsia="es-AR"/>
        </w:rPr>
      </w:pPr>
      <w:r w:rsidRPr="00DA146B">
        <w:rPr>
          <w:color w:val="000000"/>
          <w:lang w:eastAsia="es-AR"/>
        </w:rPr>
        <w:t xml:space="preserve">Desde el punto de vista constitucional, ante las emergencias, una de las consecuencias que se observa es una alteración en el principio de división de poderes por cuanto debido al hiperpresidencialismo reinante en Argentina desde la década del 90, se delegan holgadamente facultades del poder legislativo en el ejecutivo, el cual hace un uso abusivo de los decretos de necesidad y urgencia, produciendo una fuerte restricción a las libertades, derechos y garantías individuales o actuando como una rama más del poder ejecutivo , por cuanto como sucedió con esta ley, no hubo debate parlamentario, no se permitieron modificaciones, se apartaron de las sugerencias de la comisión de expertos, por lo que se hace necesario que el Poder Judicial se fortalezca en esos momentos y profundice los controles de constitucionalidad de las normas dictadas en </w:t>
      </w:r>
      <w:proofErr w:type="spellStart"/>
      <w:r w:rsidRPr="00DA146B">
        <w:rPr>
          <w:color w:val="000000"/>
          <w:lang w:eastAsia="es-AR"/>
        </w:rPr>
        <w:t>pos</w:t>
      </w:r>
      <w:proofErr w:type="spellEnd"/>
      <w:r w:rsidRPr="00DA146B">
        <w:rPr>
          <w:color w:val="000000"/>
          <w:lang w:eastAsia="es-AR"/>
        </w:rPr>
        <w:t xml:space="preserve"> de garantizar los derechos fundamentales, cuando los otros poderes los vulneran. Argentina ha vivido (y sigue viviendo) en emergencias declaradas por el legislador durante los últimos 19 años, sin contar las emergencias previas al año 2001, vive en emergencia porque es la forma que encuentran quienes ostentan el poder de gobernar.  </w:t>
      </w:r>
    </w:p>
    <w:p w14:paraId="14CCF796" w14:textId="77777777" w:rsidR="00802E04" w:rsidRPr="00DA146B" w:rsidRDefault="00802E04" w:rsidP="00802E04">
      <w:pPr>
        <w:ind w:right="49" w:firstLine="1134"/>
        <w:jc w:val="both"/>
        <w:rPr>
          <w:color w:val="000000"/>
          <w:lang w:eastAsia="es-AR"/>
        </w:rPr>
      </w:pPr>
      <w:r w:rsidRPr="00DA146B">
        <w:rPr>
          <w:color w:val="000000"/>
          <w:lang w:eastAsia="es-AR"/>
        </w:rPr>
        <w:t xml:space="preserve">Dentro del tal marco, es constitucionalmente inaceptable que se recurra al instituto de la emergencia y se vulneren sistemáticamente lo derechos de los adultos mayores, sujetos que deben ser especialmente protegidos, en épocas de crisis es donde deben activarse las garantías de protección de los derechos humanos contenidas en nuestra constitución nacional.  </w:t>
      </w:r>
    </w:p>
    <w:p w14:paraId="1642EB85" w14:textId="77777777" w:rsidR="00802E04" w:rsidRPr="00DA146B" w:rsidRDefault="00802E04" w:rsidP="00802E04">
      <w:pPr>
        <w:ind w:right="49" w:firstLine="1134"/>
        <w:jc w:val="both"/>
        <w:rPr>
          <w:color w:val="000000"/>
          <w:lang w:eastAsia="es-AR"/>
        </w:rPr>
      </w:pPr>
      <w:r w:rsidRPr="00DA146B">
        <w:rPr>
          <w:color w:val="000000"/>
          <w:lang w:eastAsia="es-AR"/>
        </w:rPr>
        <w:t xml:space="preserve">Como decía Alberdi “se aspira a la realidad, no a la esperanza. Las constituciones serias no deben constar en promesas, sino de garantías de ejecución” por lo que la garantía de movilidad jubilatoria debe hacerse especialmente operativa en tiempos de emergencia, y es por ello por lo que solicito a VS declara la inconstitucionalidad de las normas solicitadas. </w:t>
      </w:r>
    </w:p>
    <w:p w14:paraId="2051FF5F" w14:textId="77777777" w:rsidR="00802E04" w:rsidRPr="00DA146B" w:rsidRDefault="00802E04" w:rsidP="00802E04">
      <w:pPr>
        <w:spacing w:after="7"/>
        <w:ind w:right="49" w:firstLine="1134"/>
        <w:jc w:val="both"/>
        <w:rPr>
          <w:color w:val="000000"/>
          <w:lang w:eastAsia="es-AR"/>
        </w:rPr>
      </w:pPr>
      <w:r w:rsidRPr="00DA146B">
        <w:rPr>
          <w:color w:val="000000"/>
          <w:lang w:eastAsia="es-AR"/>
        </w:rPr>
        <w:t xml:space="preserve">Por último, </w:t>
      </w:r>
      <w:r w:rsidRPr="00DA146B">
        <w:rPr>
          <w:b/>
          <w:color w:val="000000"/>
          <w:u w:val="single" w:color="000000"/>
          <w:lang w:eastAsia="es-AR"/>
        </w:rPr>
        <w:t>corresponde señalar que la CSJN ha dejado firme el</w:t>
      </w:r>
      <w:r w:rsidRPr="00DA146B">
        <w:rPr>
          <w:b/>
          <w:color w:val="000000"/>
          <w:lang w:eastAsia="es-AR"/>
        </w:rPr>
        <w:t xml:space="preserve"> </w:t>
      </w:r>
      <w:r w:rsidRPr="00DA146B">
        <w:rPr>
          <w:b/>
          <w:color w:val="000000"/>
          <w:u w:val="single" w:color="000000"/>
          <w:lang w:eastAsia="es-AR"/>
        </w:rPr>
        <w:t>criterio sentado en los fallos “</w:t>
      </w:r>
      <w:proofErr w:type="spellStart"/>
      <w:r w:rsidRPr="00DA146B">
        <w:rPr>
          <w:b/>
          <w:color w:val="000000"/>
          <w:u w:val="single" w:color="000000"/>
          <w:lang w:eastAsia="es-AR"/>
        </w:rPr>
        <w:t>Caliva</w:t>
      </w:r>
      <w:proofErr w:type="spellEnd"/>
      <w:r w:rsidRPr="00DA146B">
        <w:rPr>
          <w:b/>
          <w:color w:val="000000"/>
          <w:u w:val="single" w:color="000000"/>
          <w:lang w:eastAsia="es-AR"/>
        </w:rPr>
        <w:t>-Márquez</w:t>
      </w:r>
      <w:r w:rsidRPr="00DA146B">
        <w:rPr>
          <w:color w:val="000000"/>
          <w:lang w:eastAsia="es-AR"/>
        </w:rPr>
        <w:t>” cuando recientemente declaró inadmisibles los recursos extraordinarios interpuesto por ANSES (art. 280 del CPCCN) contra dichos decisorios (“Zapata, Carlos Benedicto” y otros” y “</w:t>
      </w:r>
      <w:proofErr w:type="spellStart"/>
      <w:r w:rsidRPr="00DA146B">
        <w:rPr>
          <w:color w:val="000000"/>
          <w:lang w:eastAsia="es-AR"/>
        </w:rPr>
        <w:t>Stenfer</w:t>
      </w:r>
      <w:proofErr w:type="spellEnd"/>
      <w:r w:rsidRPr="00DA146B">
        <w:rPr>
          <w:color w:val="000000"/>
          <w:lang w:eastAsia="es-AR"/>
        </w:rPr>
        <w:t xml:space="preserve">, Patricia Catalina” y otros. Sentencias del 24.05.2022), no así, los recursos de quejas interpuestos en contra de las sentencias de la Sala I, que aplican Alanís, interpretando mal </w:t>
      </w:r>
      <w:proofErr w:type="spellStart"/>
      <w:r w:rsidRPr="00DA146B">
        <w:rPr>
          <w:color w:val="000000"/>
          <w:lang w:eastAsia="es-AR"/>
        </w:rPr>
        <w:t>Caliva</w:t>
      </w:r>
      <w:proofErr w:type="spellEnd"/>
      <w:r w:rsidRPr="00DA146B">
        <w:rPr>
          <w:color w:val="000000"/>
          <w:lang w:eastAsia="es-AR"/>
        </w:rPr>
        <w:t xml:space="preserve">-Márquez, que siguen su tramitación ante el máximo tribunal. </w:t>
      </w:r>
    </w:p>
    <w:p w14:paraId="04BE9FE1" w14:textId="77777777" w:rsidR="00802E04" w:rsidRDefault="00802E04" w:rsidP="00802E04">
      <w:pPr>
        <w:tabs>
          <w:tab w:val="center" w:pos="2054"/>
          <w:tab w:val="center" w:pos="4155"/>
        </w:tabs>
        <w:spacing w:after="23"/>
        <w:rPr>
          <w:rFonts w:ascii="Calibri" w:eastAsia="Calibri" w:hAnsi="Calibri" w:cs="Calibri"/>
          <w:color w:val="000000"/>
          <w:lang w:eastAsia="es-AR"/>
        </w:rPr>
      </w:pPr>
      <w:r w:rsidRPr="00DA146B">
        <w:rPr>
          <w:rFonts w:ascii="Calibri" w:eastAsia="Calibri" w:hAnsi="Calibri" w:cs="Calibri"/>
          <w:color w:val="000000"/>
          <w:lang w:eastAsia="es-AR"/>
        </w:rPr>
        <w:tab/>
      </w:r>
    </w:p>
    <w:p w14:paraId="20082F57" w14:textId="77777777" w:rsidR="00802E04" w:rsidRPr="00DA146B" w:rsidRDefault="00802E04" w:rsidP="00802E04">
      <w:pPr>
        <w:tabs>
          <w:tab w:val="center" w:pos="2054"/>
          <w:tab w:val="center" w:pos="4155"/>
        </w:tabs>
        <w:spacing w:after="23"/>
        <w:rPr>
          <w:rFonts w:ascii="Calibri" w:eastAsia="Calibri" w:hAnsi="Calibri" w:cs="Calibri"/>
          <w:color w:val="000000"/>
          <w:lang w:eastAsia="es-AR"/>
        </w:rPr>
      </w:pPr>
    </w:p>
    <w:p w14:paraId="750CE3B6" w14:textId="77777777" w:rsidR="00802E04" w:rsidRPr="00DA146B" w:rsidRDefault="00802E04" w:rsidP="00802E04">
      <w:pPr>
        <w:tabs>
          <w:tab w:val="center" w:pos="2054"/>
          <w:tab w:val="center" w:pos="4155"/>
        </w:tabs>
        <w:spacing w:after="23"/>
        <w:ind w:firstLine="993"/>
        <w:rPr>
          <w:b/>
          <w:u w:val="single"/>
        </w:rPr>
      </w:pPr>
      <w:r>
        <w:rPr>
          <w:b/>
          <w:color w:val="000000"/>
          <w:lang w:eastAsia="es-AR"/>
        </w:rPr>
        <w:t>X</w:t>
      </w:r>
      <w:r w:rsidRPr="00DA146B">
        <w:rPr>
          <w:b/>
          <w:color w:val="000000"/>
          <w:lang w:eastAsia="es-AR"/>
        </w:rPr>
        <w:t>.</w:t>
      </w:r>
      <w:r w:rsidRPr="00DA146B">
        <w:rPr>
          <w:rFonts w:ascii="Arial" w:eastAsia="Arial" w:hAnsi="Arial" w:cs="Arial"/>
          <w:b/>
          <w:color w:val="000000"/>
          <w:lang w:eastAsia="es-AR"/>
        </w:rPr>
        <w:t xml:space="preserve"> </w:t>
      </w:r>
      <w:r>
        <w:rPr>
          <w:rFonts w:ascii="Arial" w:eastAsia="Arial" w:hAnsi="Arial" w:cs="Arial"/>
          <w:b/>
          <w:color w:val="000000"/>
          <w:lang w:eastAsia="es-AR"/>
        </w:rPr>
        <w:t xml:space="preserve"> </w:t>
      </w:r>
      <w:r w:rsidRPr="00DA146B">
        <w:rPr>
          <w:rFonts w:ascii="Arial" w:eastAsia="Arial" w:hAnsi="Arial" w:cs="Arial"/>
          <w:b/>
          <w:color w:val="000000"/>
          <w:lang w:eastAsia="es-AR"/>
        </w:rPr>
        <w:tab/>
      </w:r>
      <w:r w:rsidRPr="00DA146B">
        <w:rPr>
          <w:b/>
          <w:u w:val="single"/>
        </w:rPr>
        <w:t>OPORTUNIDAD PROCESAL</w:t>
      </w:r>
    </w:p>
    <w:p w14:paraId="0A88A56C" w14:textId="77777777" w:rsidR="00802E04" w:rsidRPr="00DA146B" w:rsidRDefault="00802E04" w:rsidP="00802E04">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p>
    <w:p w14:paraId="373ECDB7" w14:textId="77777777" w:rsidR="00802E04" w:rsidRPr="00DA146B" w:rsidRDefault="00802E04" w:rsidP="00802E04">
      <w:pPr>
        <w:autoSpaceDE w:val="0"/>
        <w:autoSpaceDN w:val="0"/>
        <w:adjustRightInd w:val="0"/>
        <w:ind w:firstLine="993"/>
        <w:jc w:val="both"/>
        <w:rPr>
          <w:bCs/>
        </w:rPr>
      </w:pPr>
      <w:r w:rsidRPr="00DA146B">
        <w:rPr>
          <w:bCs/>
        </w:rPr>
        <w:t>Esta parte plante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7F66C922" w14:textId="77777777" w:rsidR="00802E04" w:rsidRPr="00DA146B" w:rsidRDefault="00802E04" w:rsidP="00802E04">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253F0D85" w14:textId="77777777" w:rsidR="00802E04" w:rsidRPr="00DA146B" w:rsidRDefault="00802E04" w:rsidP="00802E04">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7EF67E01" w14:textId="77777777" w:rsidR="00802E04" w:rsidRPr="00DA146B" w:rsidRDefault="00802E04" w:rsidP="00802E04">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14CF2A2" w14:textId="77777777" w:rsidR="00802E04" w:rsidRPr="00DA146B" w:rsidRDefault="00802E04" w:rsidP="00802E04">
      <w:pPr>
        <w:autoSpaceDE w:val="0"/>
        <w:autoSpaceDN w:val="0"/>
        <w:adjustRightInd w:val="0"/>
        <w:ind w:firstLine="993"/>
        <w:jc w:val="both"/>
        <w:rPr>
          <w:bCs/>
        </w:rPr>
      </w:pPr>
      <w:bookmarkStart w:id="4"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10051DE0" w14:textId="77777777" w:rsidR="00802E04" w:rsidRPr="00DA146B" w:rsidRDefault="00802E04" w:rsidP="00802E04">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F57D8DE" w14:textId="77777777" w:rsidR="00802E04" w:rsidRPr="00DA146B" w:rsidRDefault="00802E04" w:rsidP="00802E04">
      <w:pPr>
        <w:autoSpaceDE w:val="0"/>
        <w:autoSpaceDN w:val="0"/>
        <w:adjustRightInd w:val="0"/>
        <w:ind w:firstLine="993"/>
        <w:jc w:val="both"/>
        <w:rPr>
          <w:bCs/>
        </w:rPr>
      </w:pPr>
      <w:r w:rsidRPr="00DA146B">
        <w:rPr>
          <w:bCs/>
        </w:rPr>
        <w:t xml:space="preserve">Es por ello que el juez ,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582782DB" w14:textId="77777777" w:rsidR="00802E04" w:rsidRPr="00DA146B" w:rsidRDefault="00802E04" w:rsidP="00802E04">
      <w:pPr>
        <w:autoSpaceDE w:val="0"/>
        <w:autoSpaceDN w:val="0"/>
        <w:adjustRightInd w:val="0"/>
        <w:ind w:firstLine="993"/>
        <w:jc w:val="both"/>
        <w:rPr>
          <w:bCs/>
          <w:i/>
          <w:iCs/>
        </w:rPr>
      </w:pPr>
      <w:r w:rsidRPr="00DA146B">
        <w:rPr>
          <w:bCs/>
        </w:rPr>
        <w:t>En los autos Abraham</w:t>
      </w:r>
      <w:r w:rsidRPr="00DA146B">
        <w:rPr>
          <w:bCs/>
          <w:vertAlign w:val="superscript"/>
        </w:rPr>
        <w:footnoteReference w:id="6"/>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7ED3ECF6" w14:textId="77777777" w:rsidR="00802E04" w:rsidRPr="00DA146B" w:rsidRDefault="00802E04" w:rsidP="00802E04">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23369EAB" w14:textId="77777777" w:rsidR="00802E04" w:rsidRPr="00DA146B" w:rsidRDefault="00802E04" w:rsidP="00802E04">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171BEFF" w14:textId="77777777" w:rsidR="00802E04" w:rsidRPr="00DA146B" w:rsidRDefault="00802E04" w:rsidP="00802E04">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7"/>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4"/>
    <w:p w14:paraId="03B8EAF2" w14:textId="77777777" w:rsidR="00802E04" w:rsidRPr="00DA146B" w:rsidRDefault="00802E04" w:rsidP="00802E04">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681A0321" w14:textId="77777777" w:rsidR="00802E04" w:rsidRPr="00DA146B" w:rsidRDefault="00802E04" w:rsidP="00802E04">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48F6FDAF" w14:textId="77777777" w:rsidR="00802E04" w:rsidRPr="00DA146B" w:rsidRDefault="00802E04" w:rsidP="00802E04">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466F045B" w14:textId="77777777" w:rsidR="00802E04" w:rsidRPr="00DA146B" w:rsidRDefault="00802E04" w:rsidP="00802E04">
      <w:pPr>
        <w:autoSpaceDE w:val="0"/>
        <w:autoSpaceDN w:val="0"/>
        <w:adjustRightInd w:val="0"/>
        <w:ind w:firstLine="993"/>
        <w:jc w:val="both"/>
        <w:rPr>
          <w:bCs/>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p>
    <w:p w14:paraId="2C06F279" w14:textId="77777777" w:rsidR="00802E04" w:rsidRDefault="00802E04" w:rsidP="003833D6">
      <w:pPr>
        <w:autoSpaceDE w:val="0"/>
        <w:autoSpaceDN w:val="0"/>
        <w:adjustRightInd w:val="0"/>
        <w:spacing w:line="276" w:lineRule="auto"/>
        <w:ind w:firstLine="1134"/>
        <w:jc w:val="both"/>
        <w:rPr>
          <w:lang w:val="es-AR"/>
        </w:rPr>
      </w:pPr>
    </w:p>
    <w:p w14:paraId="2190D683" w14:textId="77777777" w:rsidR="008F5ED6" w:rsidRDefault="008F5ED6" w:rsidP="003833D6">
      <w:pPr>
        <w:autoSpaceDE w:val="0"/>
        <w:autoSpaceDN w:val="0"/>
        <w:adjustRightInd w:val="0"/>
        <w:spacing w:line="276" w:lineRule="auto"/>
        <w:rPr>
          <w:b/>
        </w:rPr>
      </w:pPr>
      <w:bookmarkStart w:id="5" w:name="_Hlk73292622"/>
    </w:p>
    <w:bookmarkEnd w:id="5"/>
    <w:p w14:paraId="4C822F2A" w14:textId="77777777" w:rsidR="008F5ED6" w:rsidRPr="00241391" w:rsidRDefault="00E8321E" w:rsidP="00802E04">
      <w:pPr>
        <w:numPr>
          <w:ilvl w:val="0"/>
          <w:numId w:val="43"/>
        </w:numPr>
        <w:autoSpaceDE w:val="0"/>
        <w:autoSpaceDN w:val="0"/>
        <w:adjustRightInd w:val="0"/>
        <w:spacing w:line="276" w:lineRule="auto"/>
        <w:rPr>
          <w:b/>
        </w:rPr>
      </w:pPr>
      <w:r>
        <w:rPr>
          <w:b/>
        </w:rPr>
        <w:t xml:space="preserve"> </w:t>
      </w:r>
      <w:r w:rsidR="008F5ED6" w:rsidRPr="00241391">
        <w:rPr>
          <w:b/>
        </w:rPr>
        <w:t>PLANILLA DE LA LIQUIDACION</w:t>
      </w:r>
    </w:p>
    <w:p w14:paraId="3958345A"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07DD2F39"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4B695EF8" w14:textId="77777777" w:rsidR="001C182E" w:rsidRDefault="001C182E" w:rsidP="001C182E">
      <w:pPr>
        <w:autoSpaceDE w:val="0"/>
        <w:autoSpaceDN w:val="0"/>
        <w:adjustRightInd w:val="0"/>
        <w:spacing w:line="276" w:lineRule="auto"/>
        <w:ind w:firstLine="1843"/>
        <w:jc w:val="both"/>
      </w:pPr>
    </w:p>
    <w:p w14:paraId="246D31F4" w14:textId="77777777" w:rsidR="008F5ED6" w:rsidRDefault="008F5ED6" w:rsidP="00802E04">
      <w:pPr>
        <w:numPr>
          <w:ilvl w:val="0"/>
          <w:numId w:val="43"/>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0C2219A9" w14:textId="77777777" w:rsidR="008F5ED6" w:rsidRPr="00AE0052" w:rsidRDefault="008F5ED6" w:rsidP="003833D6">
      <w:pPr>
        <w:autoSpaceDE w:val="0"/>
        <w:autoSpaceDN w:val="0"/>
        <w:adjustRightInd w:val="0"/>
        <w:spacing w:line="276" w:lineRule="auto"/>
        <w:jc w:val="both"/>
        <w:rPr>
          <w:color w:val="FF0000"/>
        </w:rPr>
      </w:pPr>
    </w:p>
    <w:p w14:paraId="133F2ED5"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6"/>
    <w:p w14:paraId="79F44AF6" w14:textId="77777777" w:rsidR="008F5ED6" w:rsidRDefault="008F5ED6" w:rsidP="003833D6">
      <w:pPr>
        <w:spacing w:line="276" w:lineRule="auto"/>
        <w:ind w:firstLine="2160"/>
        <w:jc w:val="center"/>
        <w:rPr>
          <w:b/>
          <w:lang w:val="es-ES_tradnl"/>
        </w:rPr>
      </w:pPr>
    </w:p>
    <w:p w14:paraId="2BECB84E" w14:textId="77777777" w:rsidR="008F5ED6" w:rsidRPr="00241391" w:rsidRDefault="008F5ED6" w:rsidP="003833D6">
      <w:pPr>
        <w:spacing w:line="276" w:lineRule="auto"/>
        <w:rPr>
          <w:b/>
          <w:lang w:val="es-ES_tradnl"/>
        </w:rPr>
      </w:pPr>
    </w:p>
    <w:p w14:paraId="33674268" w14:textId="77777777" w:rsidR="008F5ED6" w:rsidRPr="00241391" w:rsidRDefault="008F5ED6" w:rsidP="003833D6">
      <w:pPr>
        <w:spacing w:line="276" w:lineRule="auto"/>
        <w:rPr>
          <w:b/>
          <w:lang w:val="es-ES_tradnl"/>
        </w:rPr>
      </w:pPr>
    </w:p>
    <w:p w14:paraId="1B6B60D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16F7992"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2C977882" w14:textId="77777777" w:rsidR="008F5ED6" w:rsidRPr="00241391" w:rsidRDefault="008F5ED6" w:rsidP="003833D6">
      <w:pPr>
        <w:spacing w:line="276" w:lineRule="auto"/>
        <w:ind w:firstLine="2160"/>
        <w:jc w:val="center"/>
      </w:pPr>
      <w:r>
        <w:rPr>
          <w:b/>
          <w:sz w:val="16"/>
          <w:szCs w:val="16"/>
          <w:lang w:val="es-ES_tradnl"/>
        </w:rPr>
        <w:t>MAT. FED T 108 F 978</w:t>
      </w:r>
    </w:p>
    <w:p w14:paraId="49F6DBFC" w14:textId="77777777" w:rsidR="008F5ED6" w:rsidRPr="008F5ED6" w:rsidRDefault="008F5ED6" w:rsidP="003833D6">
      <w:pPr>
        <w:autoSpaceDE w:val="0"/>
        <w:autoSpaceDN w:val="0"/>
        <w:adjustRightInd w:val="0"/>
        <w:spacing w:line="276" w:lineRule="auto"/>
        <w:ind w:firstLine="1134"/>
        <w:jc w:val="both"/>
      </w:pPr>
    </w:p>
    <w:p w14:paraId="1E621FD6" w14:textId="77777777" w:rsidR="0080112B" w:rsidRPr="00241391" w:rsidRDefault="0080112B" w:rsidP="003833D6">
      <w:pPr>
        <w:spacing w:line="276" w:lineRule="auto"/>
      </w:pPr>
    </w:p>
    <w:sectPr w:rsidR="0080112B" w:rsidRPr="00241391" w:rsidSect="00A56D28">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5E03E" w14:textId="77777777" w:rsidR="00AB1BC6" w:rsidRDefault="00AB1BC6" w:rsidP="00544398">
      <w:r>
        <w:separator/>
      </w:r>
    </w:p>
  </w:endnote>
  <w:endnote w:type="continuationSeparator" w:id="0">
    <w:p w14:paraId="52DFF2AB" w14:textId="77777777" w:rsidR="00AB1BC6" w:rsidRDefault="00AB1BC6"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2A6B7" w14:textId="77777777" w:rsidR="00AB1BC6" w:rsidRDefault="00AB1BC6" w:rsidP="00544398">
      <w:r>
        <w:separator/>
      </w:r>
    </w:p>
  </w:footnote>
  <w:footnote w:type="continuationSeparator" w:id="0">
    <w:p w14:paraId="70CF6A52" w14:textId="77777777" w:rsidR="00AB1BC6" w:rsidRDefault="00AB1BC6" w:rsidP="00544398">
      <w:r>
        <w:continuationSeparator/>
      </w:r>
    </w:p>
  </w:footnote>
  <w:footnote w:id="1">
    <w:p w14:paraId="289933B7" w14:textId="77777777" w:rsidR="00153866" w:rsidRPr="00F839E1" w:rsidRDefault="00153866" w:rsidP="00153866">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1861B2F3" w14:textId="77777777" w:rsidR="00153866" w:rsidRDefault="00153866" w:rsidP="00153866">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771AC1FB"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4">
    <w:p w14:paraId="5890B2BE" w14:textId="77777777" w:rsidR="00544398" w:rsidRDefault="00544398" w:rsidP="00544398">
      <w:pPr>
        <w:pStyle w:val="Textonotapie"/>
      </w:pPr>
      <w:r>
        <w:rPr>
          <w:rStyle w:val="Refdenotaalpie"/>
        </w:rPr>
        <w:footnoteRef/>
      </w:r>
      <w:r>
        <w:t xml:space="preserve"> Fallos 265:291</w:t>
      </w:r>
    </w:p>
  </w:footnote>
  <w:footnote w:id="5">
    <w:p w14:paraId="422606E7" w14:textId="77777777" w:rsidR="00802E04" w:rsidRDefault="00802E04" w:rsidP="00802E04">
      <w:pPr>
        <w:pStyle w:val="footnotedescription"/>
        <w:ind w:right="60"/>
      </w:pPr>
      <w:r>
        <w:rPr>
          <w:rStyle w:val="footnotemark"/>
        </w:rPr>
        <w:footnoteRef/>
      </w:r>
      <w:r>
        <w:t xml:space="preserve"> </w:t>
      </w:r>
      <w:r>
        <w:rPr>
          <w:rFonts w:ascii="Calibri" w:eastAsia="Calibri" w:hAnsi="Calibri" w:cs="Calibri"/>
          <w:sz w:val="20"/>
        </w:rPr>
        <w:t>Asamblea General de la OEA, "Normas para la confección de los informes periódicos previstos en el artículo 19 del Protocolo de San Salvador” del 7-06-2005. AG RES</w:t>
      </w:r>
      <w:r>
        <w:rPr>
          <w:rFonts w:ascii="Calibri" w:eastAsia="Calibri" w:hAnsi="Calibri" w:cs="Calibri"/>
          <w:i/>
          <w:sz w:val="20"/>
        </w:rPr>
        <w:t xml:space="preserve">. </w:t>
      </w:r>
      <w:r>
        <w:rPr>
          <w:rFonts w:ascii="Calibri" w:eastAsia="Calibri" w:hAnsi="Calibri" w:cs="Calibri"/>
          <w:sz w:val="20"/>
        </w:rPr>
        <w:t xml:space="preserve">2074 (XXXV-O/05). Nota al art. 11. </w:t>
      </w:r>
    </w:p>
  </w:footnote>
  <w:footnote w:id="6">
    <w:p w14:paraId="47E3AAA1" w14:textId="77777777" w:rsidR="00802E04" w:rsidRDefault="00802E04" w:rsidP="00802E04">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7">
    <w:p w14:paraId="0415ACBF" w14:textId="77777777" w:rsidR="00802E04" w:rsidRDefault="00802E04" w:rsidP="00802E04">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3EA7E0A"/>
    <w:multiLevelType w:val="hybridMultilevel"/>
    <w:tmpl w:val="2B188A6E"/>
    <w:lvl w:ilvl="0" w:tplc="7818B0AC">
      <w:start w:val="11"/>
      <w:numFmt w:val="upperRoman"/>
      <w:lvlText w:val="%1."/>
      <w:lvlJc w:val="left"/>
      <w:pPr>
        <w:ind w:left="1854" w:hanging="72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5"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30"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3"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3573440">
    <w:abstractNumId w:val="24"/>
  </w:num>
  <w:num w:numId="2" w16cid:durableId="317349809">
    <w:abstractNumId w:val="14"/>
  </w:num>
  <w:num w:numId="3" w16cid:durableId="1597136062">
    <w:abstractNumId w:val="22"/>
  </w:num>
  <w:num w:numId="4" w16cid:durableId="526525734">
    <w:abstractNumId w:val="20"/>
  </w:num>
  <w:num w:numId="5" w16cid:durableId="1651205004">
    <w:abstractNumId w:val="17"/>
  </w:num>
  <w:num w:numId="6" w16cid:durableId="1248727863">
    <w:abstractNumId w:val="18"/>
  </w:num>
  <w:num w:numId="7" w16cid:durableId="1385522767">
    <w:abstractNumId w:val="37"/>
  </w:num>
  <w:num w:numId="8" w16cid:durableId="852111735">
    <w:abstractNumId w:val="32"/>
  </w:num>
  <w:num w:numId="9" w16cid:durableId="1833790302">
    <w:abstractNumId w:val="4"/>
  </w:num>
  <w:num w:numId="10" w16cid:durableId="858860574">
    <w:abstractNumId w:val="15"/>
  </w:num>
  <w:num w:numId="11" w16cid:durableId="616374763">
    <w:abstractNumId w:val="21"/>
  </w:num>
  <w:num w:numId="12" w16cid:durableId="2085684341">
    <w:abstractNumId w:val="6"/>
  </w:num>
  <w:num w:numId="13" w16cid:durableId="726614448">
    <w:abstractNumId w:val="34"/>
  </w:num>
  <w:num w:numId="14" w16cid:durableId="1079909729">
    <w:abstractNumId w:val="3"/>
  </w:num>
  <w:num w:numId="15" w16cid:durableId="1249920286">
    <w:abstractNumId w:val="0"/>
  </w:num>
  <w:num w:numId="16" w16cid:durableId="1344479344">
    <w:abstractNumId w:val="12"/>
  </w:num>
  <w:num w:numId="17" w16cid:durableId="659697841">
    <w:abstractNumId w:val="23"/>
  </w:num>
  <w:num w:numId="18" w16cid:durableId="962613822">
    <w:abstractNumId w:val="19"/>
  </w:num>
  <w:num w:numId="19" w16cid:durableId="1702823019">
    <w:abstractNumId w:val="11"/>
  </w:num>
  <w:num w:numId="20" w16cid:durableId="596711972">
    <w:abstractNumId w:val="30"/>
  </w:num>
  <w:num w:numId="21" w16cid:durableId="454102119">
    <w:abstractNumId w:val="35"/>
  </w:num>
  <w:num w:numId="22" w16cid:durableId="1837649118">
    <w:abstractNumId w:val="9"/>
  </w:num>
  <w:num w:numId="23" w16cid:durableId="745341395">
    <w:abstractNumId w:val="1"/>
  </w:num>
  <w:num w:numId="24" w16cid:durableId="441731113">
    <w:abstractNumId w:val="16"/>
  </w:num>
  <w:num w:numId="25" w16cid:durableId="557057178">
    <w:abstractNumId w:val="27"/>
  </w:num>
  <w:num w:numId="26" w16cid:durableId="641302496">
    <w:abstractNumId w:val="31"/>
  </w:num>
  <w:num w:numId="27" w16cid:durableId="324406379">
    <w:abstractNumId w:val="25"/>
  </w:num>
  <w:num w:numId="28" w16cid:durableId="352347665">
    <w:abstractNumId w:val="38"/>
  </w:num>
  <w:num w:numId="29" w16cid:durableId="1457214121">
    <w:abstractNumId w:val="36"/>
  </w:num>
  <w:num w:numId="30" w16cid:durableId="1649825175">
    <w:abstractNumId w:val="2"/>
  </w:num>
  <w:num w:numId="31" w16cid:durableId="1389915747">
    <w:abstractNumId w:val="7"/>
  </w:num>
  <w:num w:numId="32" w16cid:durableId="234557293">
    <w:abstractNumId w:val="29"/>
  </w:num>
  <w:num w:numId="33" w16cid:durableId="217254169">
    <w:abstractNumId w:val="13"/>
  </w:num>
  <w:num w:numId="34" w16cid:durableId="1165896625">
    <w:abstractNumId w:val="33"/>
  </w:num>
  <w:num w:numId="35" w16cid:durableId="1639529834">
    <w:abstractNumId w:val="28"/>
  </w:num>
  <w:num w:numId="36" w16cid:durableId="1337534524">
    <w:abstractNumId w:val="5"/>
  </w:num>
  <w:num w:numId="37" w16cid:durableId="1172447473">
    <w:abstractNumId w:val="26"/>
  </w:num>
  <w:num w:numId="38" w16cid:durableId="1841000912">
    <w:abstractNumId w:val="25"/>
  </w:num>
  <w:num w:numId="39" w16cid:durableId="2089619223">
    <w:abstractNumId w:val="38"/>
  </w:num>
  <w:num w:numId="40" w16cid:durableId="326128113">
    <w:abstractNumId w:val="36"/>
  </w:num>
  <w:num w:numId="41" w16cid:durableId="1106804223">
    <w:abstractNumId w:val="31"/>
  </w:num>
  <w:num w:numId="42" w16cid:durableId="1905949714">
    <w:abstractNumId w:val="8"/>
  </w:num>
  <w:num w:numId="43" w16cid:durableId="441997264">
    <w:abstractNumId w:val="10"/>
  </w:num>
  <w:num w:numId="44" w16cid:durableId="50910384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6312"/>
    <w:rsid w:val="00045D99"/>
    <w:rsid w:val="00047B09"/>
    <w:rsid w:val="000533A6"/>
    <w:rsid w:val="00054937"/>
    <w:rsid w:val="00060E61"/>
    <w:rsid w:val="00062E38"/>
    <w:rsid w:val="000755A2"/>
    <w:rsid w:val="000763A6"/>
    <w:rsid w:val="000838FF"/>
    <w:rsid w:val="0008570B"/>
    <w:rsid w:val="00090184"/>
    <w:rsid w:val="00090D64"/>
    <w:rsid w:val="000A0A1B"/>
    <w:rsid w:val="000B05C2"/>
    <w:rsid w:val="000B24DF"/>
    <w:rsid w:val="000C0216"/>
    <w:rsid w:val="000C10B7"/>
    <w:rsid w:val="000C3B50"/>
    <w:rsid w:val="000C62AC"/>
    <w:rsid w:val="000D3E80"/>
    <w:rsid w:val="000D4D00"/>
    <w:rsid w:val="000D7C9A"/>
    <w:rsid w:val="000E250F"/>
    <w:rsid w:val="000E548B"/>
    <w:rsid w:val="000F16D1"/>
    <w:rsid w:val="000F1F8D"/>
    <w:rsid w:val="00110F66"/>
    <w:rsid w:val="00112CAC"/>
    <w:rsid w:val="00116073"/>
    <w:rsid w:val="001273E5"/>
    <w:rsid w:val="0013482A"/>
    <w:rsid w:val="00135F1C"/>
    <w:rsid w:val="00141654"/>
    <w:rsid w:val="00141745"/>
    <w:rsid w:val="00146DD4"/>
    <w:rsid w:val="00147A35"/>
    <w:rsid w:val="00152810"/>
    <w:rsid w:val="00153866"/>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206EB7"/>
    <w:rsid w:val="00210555"/>
    <w:rsid w:val="0021350B"/>
    <w:rsid w:val="002169A5"/>
    <w:rsid w:val="00220B58"/>
    <w:rsid w:val="00222783"/>
    <w:rsid w:val="00222DAB"/>
    <w:rsid w:val="0023032A"/>
    <w:rsid w:val="00233315"/>
    <w:rsid w:val="00240E86"/>
    <w:rsid w:val="00241391"/>
    <w:rsid w:val="002422C7"/>
    <w:rsid w:val="00244634"/>
    <w:rsid w:val="00260D4C"/>
    <w:rsid w:val="00261A1B"/>
    <w:rsid w:val="002626D9"/>
    <w:rsid w:val="00266D89"/>
    <w:rsid w:val="00270F74"/>
    <w:rsid w:val="00274C50"/>
    <w:rsid w:val="00281CB6"/>
    <w:rsid w:val="00294688"/>
    <w:rsid w:val="002A026E"/>
    <w:rsid w:val="002A0EEF"/>
    <w:rsid w:val="002A54BA"/>
    <w:rsid w:val="002A5542"/>
    <w:rsid w:val="002B5781"/>
    <w:rsid w:val="002B5D20"/>
    <w:rsid w:val="002D0D44"/>
    <w:rsid w:val="002D3DB2"/>
    <w:rsid w:val="002D50A8"/>
    <w:rsid w:val="002E6FDD"/>
    <w:rsid w:val="0030151D"/>
    <w:rsid w:val="00304669"/>
    <w:rsid w:val="003059A3"/>
    <w:rsid w:val="00325EE8"/>
    <w:rsid w:val="003273DA"/>
    <w:rsid w:val="00332CCB"/>
    <w:rsid w:val="00337888"/>
    <w:rsid w:val="003609CD"/>
    <w:rsid w:val="0037579F"/>
    <w:rsid w:val="003766BB"/>
    <w:rsid w:val="003833D6"/>
    <w:rsid w:val="0038362D"/>
    <w:rsid w:val="0038484E"/>
    <w:rsid w:val="00386266"/>
    <w:rsid w:val="00386643"/>
    <w:rsid w:val="00395674"/>
    <w:rsid w:val="003A1962"/>
    <w:rsid w:val="003A4065"/>
    <w:rsid w:val="003A4887"/>
    <w:rsid w:val="003A4C75"/>
    <w:rsid w:val="003A5071"/>
    <w:rsid w:val="003C6CAE"/>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501F"/>
    <w:rsid w:val="00487E1F"/>
    <w:rsid w:val="00490368"/>
    <w:rsid w:val="00493D7E"/>
    <w:rsid w:val="00495C3C"/>
    <w:rsid w:val="004A2E4D"/>
    <w:rsid w:val="004A77F5"/>
    <w:rsid w:val="004B37D2"/>
    <w:rsid w:val="004B3A3B"/>
    <w:rsid w:val="004B433C"/>
    <w:rsid w:val="004C3C07"/>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1308D"/>
    <w:rsid w:val="005174F9"/>
    <w:rsid w:val="005221F7"/>
    <w:rsid w:val="0053100A"/>
    <w:rsid w:val="00535F0F"/>
    <w:rsid w:val="0054288E"/>
    <w:rsid w:val="00544398"/>
    <w:rsid w:val="00546760"/>
    <w:rsid w:val="005621F0"/>
    <w:rsid w:val="005848DA"/>
    <w:rsid w:val="00586D8A"/>
    <w:rsid w:val="00591A76"/>
    <w:rsid w:val="00593286"/>
    <w:rsid w:val="00597F57"/>
    <w:rsid w:val="005B340D"/>
    <w:rsid w:val="005B4972"/>
    <w:rsid w:val="005B52C6"/>
    <w:rsid w:val="005B5B85"/>
    <w:rsid w:val="005C48BE"/>
    <w:rsid w:val="005D0514"/>
    <w:rsid w:val="005E7E90"/>
    <w:rsid w:val="005F2EF9"/>
    <w:rsid w:val="00607A34"/>
    <w:rsid w:val="00620922"/>
    <w:rsid w:val="006407FC"/>
    <w:rsid w:val="0064173A"/>
    <w:rsid w:val="006431DC"/>
    <w:rsid w:val="00645227"/>
    <w:rsid w:val="00647B85"/>
    <w:rsid w:val="00647FD4"/>
    <w:rsid w:val="00650EE6"/>
    <w:rsid w:val="00655A44"/>
    <w:rsid w:val="00661D1E"/>
    <w:rsid w:val="00661ED2"/>
    <w:rsid w:val="00664815"/>
    <w:rsid w:val="0067056F"/>
    <w:rsid w:val="00671D04"/>
    <w:rsid w:val="00672366"/>
    <w:rsid w:val="00677014"/>
    <w:rsid w:val="006803C4"/>
    <w:rsid w:val="006804C1"/>
    <w:rsid w:val="00683A25"/>
    <w:rsid w:val="006B3121"/>
    <w:rsid w:val="006C094A"/>
    <w:rsid w:val="006C7A0D"/>
    <w:rsid w:val="006E01E1"/>
    <w:rsid w:val="006E2048"/>
    <w:rsid w:val="00701454"/>
    <w:rsid w:val="0070652F"/>
    <w:rsid w:val="00706C83"/>
    <w:rsid w:val="00712FEB"/>
    <w:rsid w:val="0071768D"/>
    <w:rsid w:val="00720C17"/>
    <w:rsid w:val="00720DEA"/>
    <w:rsid w:val="00722E7E"/>
    <w:rsid w:val="00723493"/>
    <w:rsid w:val="007367CF"/>
    <w:rsid w:val="00742549"/>
    <w:rsid w:val="00743788"/>
    <w:rsid w:val="00745009"/>
    <w:rsid w:val="00747539"/>
    <w:rsid w:val="00751A97"/>
    <w:rsid w:val="00756F4F"/>
    <w:rsid w:val="00775A05"/>
    <w:rsid w:val="00782184"/>
    <w:rsid w:val="00782BC2"/>
    <w:rsid w:val="007834F8"/>
    <w:rsid w:val="007A370A"/>
    <w:rsid w:val="007B0545"/>
    <w:rsid w:val="007B4B06"/>
    <w:rsid w:val="007B5661"/>
    <w:rsid w:val="007C604D"/>
    <w:rsid w:val="007D4EC4"/>
    <w:rsid w:val="007E6BF0"/>
    <w:rsid w:val="007F4326"/>
    <w:rsid w:val="007F6F2F"/>
    <w:rsid w:val="0080112B"/>
    <w:rsid w:val="00802E04"/>
    <w:rsid w:val="00807315"/>
    <w:rsid w:val="0081586E"/>
    <w:rsid w:val="00815CD5"/>
    <w:rsid w:val="00822D55"/>
    <w:rsid w:val="0085316A"/>
    <w:rsid w:val="0085488C"/>
    <w:rsid w:val="008606C7"/>
    <w:rsid w:val="008736EF"/>
    <w:rsid w:val="0088143E"/>
    <w:rsid w:val="00884BB8"/>
    <w:rsid w:val="008855A3"/>
    <w:rsid w:val="00887311"/>
    <w:rsid w:val="008941A3"/>
    <w:rsid w:val="00896F6D"/>
    <w:rsid w:val="008A2D98"/>
    <w:rsid w:val="008A4022"/>
    <w:rsid w:val="008B4C8E"/>
    <w:rsid w:val="008C07AC"/>
    <w:rsid w:val="008C6310"/>
    <w:rsid w:val="008C65BE"/>
    <w:rsid w:val="008D0698"/>
    <w:rsid w:val="008D15B9"/>
    <w:rsid w:val="008D6706"/>
    <w:rsid w:val="008E6B50"/>
    <w:rsid w:val="008E750C"/>
    <w:rsid w:val="008F5ED6"/>
    <w:rsid w:val="009031FE"/>
    <w:rsid w:val="00903B8A"/>
    <w:rsid w:val="0090413C"/>
    <w:rsid w:val="00913E43"/>
    <w:rsid w:val="00917FF3"/>
    <w:rsid w:val="009222A3"/>
    <w:rsid w:val="009247D7"/>
    <w:rsid w:val="009301F0"/>
    <w:rsid w:val="00937F97"/>
    <w:rsid w:val="00940B41"/>
    <w:rsid w:val="009430E1"/>
    <w:rsid w:val="0094495C"/>
    <w:rsid w:val="00945419"/>
    <w:rsid w:val="00946102"/>
    <w:rsid w:val="0094661C"/>
    <w:rsid w:val="00947AF3"/>
    <w:rsid w:val="00961E13"/>
    <w:rsid w:val="009854D4"/>
    <w:rsid w:val="00996C07"/>
    <w:rsid w:val="009A6BC0"/>
    <w:rsid w:val="009C0F7B"/>
    <w:rsid w:val="009D1AB9"/>
    <w:rsid w:val="009E4679"/>
    <w:rsid w:val="009E642B"/>
    <w:rsid w:val="00A002E3"/>
    <w:rsid w:val="00A206D0"/>
    <w:rsid w:val="00A24F04"/>
    <w:rsid w:val="00A401D9"/>
    <w:rsid w:val="00A408D8"/>
    <w:rsid w:val="00A55FAA"/>
    <w:rsid w:val="00A56D28"/>
    <w:rsid w:val="00A678C9"/>
    <w:rsid w:val="00A70BD9"/>
    <w:rsid w:val="00A830FC"/>
    <w:rsid w:val="00A84118"/>
    <w:rsid w:val="00A91F41"/>
    <w:rsid w:val="00A97ADA"/>
    <w:rsid w:val="00AA0624"/>
    <w:rsid w:val="00AA2E52"/>
    <w:rsid w:val="00AB1BC6"/>
    <w:rsid w:val="00AB62F5"/>
    <w:rsid w:val="00AE45C3"/>
    <w:rsid w:val="00AF4BE1"/>
    <w:rsid w:val="00B01D5B"/>
    <w:rsid w:val="00B10030"/>
    <w:rsid w:val="00B20124"/>
    <w:rsid w:val="00B23427"/>
    <w:rsid w:val="00B304C9"/>
    <w:rsid w:val="00B442B0"/>
    <w:rsid w:val="00B51D41"/>
    <w:rsid w:val="00B578C6"/>
    <w:rsid w:val="00B61F4E"/>
    <w:rsid w:val="00B63838"/>
    <w:rsid w:val="00B664E4"/>
    <w:rsid w:val="00B675C6"/>
    <w:rsid w:val="00B67FAA"/>
    <w:rsid w:val="00B7083F"/>
    <w:rsid w:val="00B73753"/>
    <w:rsid w:val="00B87315"/>
    <w:rsid w:val="00B90A82"/>
    <w:rsid w:val="00B95534"/>
    <w:rsid w:val="00B96901"/>
    <w:rsid w:val="00BA74A7"/>
    <w:rsid w:val="00BB58AC"/>
    <w:rsid w:val="00BB6058"/>
    <w:rsid w:val="00BC4000"/>
    <w:rsid w:val="00BC4FA0"/>
    <w:rsid w:val="00BD13C7"/>
    <w:rsid w:val="00BD4E1F"/>
    <w:rsid w:val="00BE23CB"/>
    <w:rsid w:val="00BE3584"/>
    <w:rsid w:val="00BF003B"/>
    <w:rsid w:val="00BF683A"/>
    <w:rsid w:val="00BF6CAD"/>
    <w:rsid w:val="00C045C5"/>
    <w:rsid w:val="00C047B6"/>
    <w:rsid w:val="00C130C4"/>
    <w:rsid w:val="00C131D6"/>
    <w:rsid w:val="00C23B25"/>
    <w:rsid w:val="00C51364"/>
    <w:rsid w:val="00C52167"/>
    <w:rsid w:val="00C550EB"/>
    <w:rsid w:val="00C56F80"/>
    <w:rsid w:val="00C60CE3"/>
    <w:rsid w:val="00C61F24"/>
    <w:rsid w:val="00C6431A"/>
    <w:rsid w:val="00C7045D"/>
    <w:rsid w:val="00C77105"/>
    <w:rsid w:val="00C83FF8"/>
    <w:rsid w:val="00C86E04"/>
    <w:rsid w:val="00C8786E"/>
    <w:rsid w:val="00C902B9"/>
    <w:rsid w:val="00C946D4"/>
    <w:rsid w:val="00CB0653"/>
    <w:rsid w:val="00CB50D6"/>
    <w:rsid w:val="00CC0E54"/>
    <w:rsid w:val="00CC1EBB"/>
    <w:rsid w:val="00CC3EB2"/>
    <w:rsid w:val="00CC4E97"/>
    <w:rsid w:val="00CD7A93"/>
    <w:rsid w:val="00CD7E18"/>
    <w:rsid w:val="00CE2D36"/>
    <w:rsid w:val="00CE570C"/>
    <w:rsid w:val="00CE6399"/>
    <w:rsid w:val="00CF0EC7"/>
    <w:rsid w:val="00D17C8B"/>
    <w:rsid w:val="00D51A3A"/>
    <w:rsid w:val="00D55C07"/>
    <w:rsid w:val="00D605C5"/>
    <w:rsid w:val="00D623F1"/>
    <w:rsid w:val="00D67A8F"/>
    <w:rsid w:val="00DC3885"/>
    <w:rsid w:val="00DC4E56"/>
    <w:rsid w:val="00DC57B8"/>
    <w:rsid w:val="00DD0142"/>
    <w:rsid w:val="00DD4BC1"/>
    <w:rsid w:val="00DD67BD"/>
    <w:rsid w:val="00DE444A"/>
    <w:rsid w:val="00E105F7"/>
    <w:rsid w:val="00E20DAC"/>
    <w:rsid w:val="00E3636E"/>
    <w:rsid w:val="00E55496"/>
    <w:rsid w:val="00E629C2"/>
    <w:rsid w:val="00E655B4"/>
    <w:rsid w:val="00E756E8"/>
    <w:rsid w:val="00E77FCF"/>
    <w:rsid w:val="00E8036D"/>
    <w:rsid w:val="00E82E26"/>
    <w:rsid w:val="00E8321E"/>
    <w:rsid w:val="00E85D40"/>
    <w:rsid w:val="00E930C3"/>
    <w:rsid w:val="00EB0E2A"/>
    <w:rsid w:val="00EC09F1"/>
    <w:rsid w:val="00EC1946"/>
    <w:rsid w:val="00EC552B"/>
    <w:rsid w:val="00EC7263"/>
    <w:rsid w:val="00ED1E54"/>
    <w:rsid w:val="00F002ED"/>
    <w:rsid w:val="00F017DD"/>
    <w:rsid w:val="00F038D9"/>
    <w:rsid w:val="00F064F6"/>
    <w:rsid w:val="00F13496"/>
    <w:rsid w:val="00F1712F"/>
    <w:rsid w:val="00F229CE"/>
    <w:rsid w:val="00F35E42"/>
    <w:rsid w:val="00F40BBD"/>
    <w:rsid w:val="00F41ACD"/>
    <w:rsid w:val="00F46993"/>
    <w:rsid w:val="00F62AEF"/>
    <w:rsid w:val="00F729C8"/>
    <w:rsid w:val="00F83DDC"/>
    <w:rsid w:val="00F85DDE"/>
    <w:rsid w:val="00F87E2D"/>
    <w:rsid w:val="00FB016B"/>
    <w:rsid w:val="00FC39FE"/>
    <w:rsid w:val="00FC555D"/>
    <w:rsid w:val="00FD078E"/>
    <w:rsid w:val="00FD3CE4"/>
    <w:rsid w:val="00FD76F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4:docId w14:val="60F65F10"/>
  <w15:chartTrackingRefBased/>
  <w15:docId w15:val="{B05EACC6-2BDA-4D4E-BB74-49B11028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E85D40"/>
    <w:pPr>
      <w:spacing w:after="120" w:line="480" w:lineRule="auto"/>
      <w:ind w:left="283"/>
    </w:pPr>
    <w:rPr>
      <w:lang w:val="x-none" w:eastAsia="es-MX"/>
    </w:rPr>
  </w:style>
  <w:style w:type="character" w:customStyle="1" w:styleId="Sangra2detindependienteCar">
    <w:name w:val="Sangría 2 de t. independiente Car"/>
    <w:link w:val="Sangra2detindependiente"/>
    <w:rsid w:val="00E85D40"/>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DocumentoByIdLinksJSP.html?idDocumento=7678911" TargetMode="External"/><Relationship Id="rId18" Type="http://schemas.openxmlformats.org/officeDocument/2006/relationships/image" Target="media/image2.png"/><Relationship Id="rId26" Type="http://schemas.openxmlformats.org/officeDocument/2006/relationships/image" Target="media/image4.emf"/><Relationship Id="rId39" Type="http://schemas.openxmlformats.org/officeDocument/2006/relationships/hyperlink" Target="https://www.argentina.gob.ar/trabajo/seguridadsocial/ripte" TargetMode="External"/><Relationship Id="rId21" Type="http://schemas.openxmlformats.org/officeDocument/2006/relationships/hyperlink" Target="https://www.argentina.gob.ar/trabajo/seguridadsocial/ripte" TargetMode="External"/><Relationship Id="rId34" Type="http://schemas.openxmlformats.org/officeDocument/2006/relationships/hyperlink" Target="https://sjconsulta.csjn.gov.ar/sjconsulta/documentos/verDocumentoByIdLinksJSP.html?idDocumento=7717371" TargetMode="External"/><Relationship Id="rId42" Type="http://schemas.openxmlformats.org/officeDocument/2006/relationships/image" Target="media/image9.emf"/><Relationship Id="rId47" Type="http://schemas.openxmlformats.org/officeDocument/2006/relationships/hyperlink" Target="https://www.argentina.gob.ar/normativa/nacional/resoluci%C3%B3n-5101-2021-356960" TargetMode="External"/><Relationship Id="rId50" Type="http://schemas.openxmlformats.org/officeDocument/2006/relationships/hyperlink" Target="https://www.boletinoficial.gob.ar/detalleAviso/primera/298786/20231122" TargetMode="External"/><Relationship Id="rId7" Type="http://schemas.openxmlformats.org/officeDocument/2006/relationships/hyperlink" Target="https://sjconsulta.csjn.gov.ar/sjconsulta/consultaSumarios/buscarTomoPagina.html?tomo=323&amp;pagina=1122" TargetMode="External"/><Relationship Id="rId2" Type="http://schemas.openxmlformats.org/officeDocument/2006/relationships/styles" Target="styles.xml"/><Relationship Id="rId16" Type="http://schemas.openxmlformats.org/officeDocument/2006/relationships/hyperlink" Target="https://www.argentina.gob.ar/normativa/nacional/decreto-274-2024-397577/texto" TargetMode="External"/><Relationship Id="rId29" Type="http://schemas.openxmlformats.org/officeDocument/2006/relationships/hyperlink" Target="https://sj.csjn.gov.ar/homeSJ/notas/nota/22/documento" TargetMode="External"/><Relationship Id="rId11" Type="http://schemas.openxmlformats.org/officeDocument/2006/relationships/hyperlink" Target="https://sjconsulta.csjn.gov.ar/sjconsulta/documentos/verDocumentoByIdLinksJSP.html?idDocumento=5838941" TargetMode="External"/><Relationship Id="rId24" Type="http://schemas.openxmlformats.org/officeDocument/2006/relationships/hyperlink" Target="https://www.indec.gob.ar/uploads/informesdeprensa/canasta_01_245800192340.pdf" TargetMode="External"/><Relationship Id="rId32" Type="http://schemas.openxmlformats.org/officeDocument/2006/relationships/hyperlink" Target="https://sjconsulta.csjn.gov.ar/sjconsulta/documentos/verDocumentoByIdLinksJSP.html?idDocumento=5838941" TargetMode="External"/><Relationship Id="rId37" Type="http://schemas.openxmlformats.org/officeDocument/2006/relationships/image" Target="media/image6.emf"/><Relationship Id="rId40" Type="http://schemas.openxmlformats.org/officeDocument/2006/relationships/hyperlink" Target="https://www.indec.gob.ar/uploads/informesdeprensa/ipc_04_23411BFA2B5E.pdf" TargetMode="External"/><Relationship Id="rId45" Type="http://schemas.openxmlformats.org/officeDocument/2006/relationships/hyperlink" Target="https://servicioscf.afip.gob.ar/publico/sitio/contenido/novedad/ver.aspx?id=2604"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sjconsulta.csjn.gov.ar/sjconsulta/documentos/verDocumentoByIdLinksJSP.html?idDocumento=5796151" TargetMode="External"/><Relationship Id="rId19" Type="http://schemas.openxmlformats.org/officeDocument/2006/relationships/image" Target="media/image3.png"/><Relationship Id="rId31" Type="http://schemas.openxmlformats.org/officeDocument/2006/relationships/hyperlink" Target="https://sjconsulta.csjn.gov.ar/sjconsulta/documentos/verDocumentoByIdLinksJSP.html?idDocumento=5796151" TargetMode="External"/><Relationship Id="rId44" Type="http://schemas.openxmlformats.org/officeDocument/2006/relationships/image" Target="media/image10.e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jconsulta.csjn.gov.ar/sjconsulta/consultaSumarios/buscarTomoPagina.html?tomo=328&amp;pagina=4013" TargetMode="External"/><Relationship Id="rId14" Type="http://schemas.openxmlformats.org/officeDocument/2006/relationships/hyperlink" Target="https://sjconsulta.csjn.gov.ar/sjconsulta/documentos/verDocumentoByIdLinksJSP.html?idDocumento=7717371" TargetMode="External"/><Relationship Id="rId22" Type="http://schemas.openxmlformats.org/officeDocument/2006/relationships/hyperlink" Target="https://www.boletinoficial.gob.ar/detalleAviso/primera/295159/20230929" TargetMode="External"/><Relationship Id="rId27" Type="http://schemas.openxmlformats.org/officeDocument/2006/relationships/hyperlink" Target="https://sjconsulta.csjn.gov.ar/sjconsulta/documentos/verDocumentoByIdLinksJSP.html?idDocumento=6359051" TargetMode="External"/><Relationship Id="rId30" Type="http://schemas.openxmlformats.org/officeDocument/2006/relationships/hyperlink" Target="https://sjconsulta.csjn.gov.ar/sjconsulta/documentos/verDocumentoSumario.html?idDocumentoSumario=24586" TargetMode="External"/><Relationship Id="rId35" Type="http://schemas.openxmlformats.org/officeDocument/2006/relationships/hyperlink" Target="https://sjconsulta.csjn.gov.ar/sjconsulta/documentos/verDocumentoByIdLinksJSP.html?idDocumento=6398361&amp;cache=1628881211401" TargetMode="External"/><Relationship Id="rId43" Type="http://schemas.openxmlformats.org/officeDocument/2006/relationships/hyperlink" Target="https://www.argentina.gob.ar/trabajo/seguridadsocial/bess" TargetMode="External"/><Relationship Id="rId48" Type="http://schemas.openxmlformats.org/officeDocument/2006/relationships/hyperlink" Target="https://www.argentina.gob.ar/normativa/nacional/resoluci%C3%B3n-5101-2021-356960" TargetMode="External"/><Relationship Id="rId8" Type="http://schemas.openxmlformats.org/officeDocument/2006/relationships/hyperlink" Target="https://sjconsulta.csjn.gov.ar/sjconsulta/documentos/verDocumentoByIdLinksJSP.html?idDocumento=7927263&amp;cache=1709292121762" TargetMode="External"/><Relationship Id="rId51" Type="http://schemas.openxmlformats.org/officeDocument/2006/relationships/hyperlink" Target="https://www.indec.gob.ar/uploads/informesdeprensa/ipc_12_23EA48BE000C.pdf" TargetMode="External"/><Relationship Id="rId3" Type="http://schemas.openxmlformats.org/officeDocument/2006/relationships/settings" Target="settings.xml"/><Relationship Id="rId12" Type="http://schemas.openxmlformats.org/officeDocument/2006/relationships/hyperlink" Target="https://sjconsulta.csjn.gov.ar/sjconsulta/documentos/verDocumentoByIdLinksJSP.html?idDocumento=7496611" TargetMode="External"/><Relationship Id="rId17" Type="http://schemas.openxmlformats.org/officeDocument/2006/relationships/image" Target="media/image1.png"/><Relationship Id="rId25" Type="http://schemas.openxmlformats.org/officeDocument/2006/relationships/hyperlink" Target="https://sjconsulta.csjn.gov.ar/sjconsulta/documentos/verDocumentoSumario.html?idDocumentoSumario=2271" TargetMode="External"/><Relationship Id="rId33" Type="http://schemas.openxmlformats.org/officeDocument/2006/relationships/hyperlink" Target="https://sjconsulta.csjn.gov.ar/sjconsulta/documentos/verDocumentoByIdLinksJSP.html?idDocumento=6359051" TargetMode="External"/><Relationship Id="rId38" Type="http://schemas.openxmlformats.org/officeDocument/2006/relationships/image" Target="media/image7.emf"/><Relationship Id="rId46" Type="http://schemas.openxmlformats.org/officeDocument/2006/relationships/image" Target="media/image11.emf"/><Relationship Id="rId20" Type="http://schemas.openxmlformats.org/officeDocument/2006/relationships/hyperlink" Target="https://sjconsulta.csjn.gov.ar/sjconsulta/documentos/verDocumentoByIdLinksJSP.html?idDocumento=6359051" TargetMode="Externa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rgentina.gob.ar/normativa/nacional/ley-21864-48989/actualizacion" TargetMode="External"/><Relationship Id="rId23" Type="http://schemas.openxmlformats.org/officeDocument/2006/relationships/hyperlink" Target="https://www.boletinoficial.gob.ar/detalleAviso/primera/295819/20231010" TargetMode="External"/><Relationship Id="rId28" Type="http://schemas.openxmlformats.org/officeDocument/2006/relationships/image" Target="media/image5.png"/><Relationship Id="rId36" Type="http://schemas.openxmlformats.org/officeDocument/2006/relationships/hyperlink" Target="https://sjconsulta.csjn.gov.ar/sjconsulta/documentos/verDocumentoByIdLinksJSP.html?idDocumento=7496611" TargetMode="External"/><Relationship Id="rId49" Type="http://schemas.openxmlformats.org/officeDocument/2006/relationships/hyperlink" Target="https://www.argentina.gob.ar/economia/ingresospublicos/pormesytasa/anteri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32</Pages>
  <Words>12660</Words>
  <Characters>69634</Characters>
  <Application>Microsoft Office Word</Application>
  <DocSecurity>0</DocSecurity>
  <Lines>580</Lines>
  <Paragraphs>164</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ACREDITA DILIGENCIAMIENTO DE OFICIO</vt:lpstr>
      <vt:lpstr>Es por ello por lo que esta parte solicita expresamente:</vt:lpstr>
      <vt:lpstr/>
      <vt:lpstr>De la inconstitucionalidad de la suspensión de la fórmula de movilidad por la le</vt:lpstr>
      <vt:lpstr>Al haber visto que los aumentos de 2020 dados por decreto fueron muy inferiores</vt:lpstr>
      <vt:lpstr>Planteo la inconstitucionalidad de la ley 27.609 : </vt:lpstr>
      <vt:lpstr>Marco constitucional de la petición realizada</vt:lpstr>
      <vt:lpstr/>
    </vt:vector>
  </TitlesOfParts>
  <Company>Estudio Juridico</Company>
  <LinksUpToDate>false</LinksUpToDate>
  <CharactersWithSpaces>82130</CharactersWithSpaces>
  <SharedDoc>false</SharedDoc>
  <HLinks>
    <vt:vector size="216" baseType="variant">
      <vt:variant>
        <vt:i4>3539070</vt:i4>
      </vt:variant>
      <vt:variant>
        <vt:i4>105</vt:i4>
      </vt:variant>
      <vt:variant>
        <vt:i4>0</vt:i4>
      </vt:variant>
      <vt:variant>
        <vt:i4>5</vt:i4>
      </vt:variant>
      <vt:variant>
        <vt:lpwstr>https://www.indec.gob.ar/uploads/informesdeprensa/ipc_12_23EA48BE000C.pdf</vt:lpwstr>
      </vt:variant>
      <vt:variant>
        <vt:lpwstr/>
      </vt:variant>
      <vt:variant>
        <vt:i4>7077991</vt:i4>
      </vt:variant>
      <vt:variant>
        <vt:i4>102</vt:i4>
      </vt:variant>
      <vt:variant>
        <vt:i4>0</vt:i4>
      </vt:variant>
      <vt:variant>
        <vt:i4>5</vt:i4>
      </vt:variant>
      <vt:variant>
        <vt:lpwstr>https://www.boletinoficial.gob.ar/detalleAviso/primera/298786/20231122</vt:lpwstr>
      </vt:variant>
      <vt:variant>
        <vt:lpwstr/>
      </vt:variant>
      <vt:variant>
        <vt:i4>1900572</vt:i4>
      </vt:variant>
      <vt:variant>
        <vt:i4>99</vt:i4>
      </vt:variant>
      <vt:variant>
        <vt:i4>0</vt:i4>
      </vt:variant>
      <vt:variant>
        <vt:i4>5</vt:i4>
      </vt:variant>
      <vt:variant>
        <vt:lpwstr>https://www.argentina.gob.ar/economia/ingresospublicos/pormesytasa/anteriores</vt:lpwstr>
      </vt:variant>
      <vt:variant>
        <vt:lpwstr/>
      </vt:variant>
      <vt:variant>
        <vt:i4>6160448</vt:i4>
      </vt:variant>
      <vt:variant>
        <vt:i4>95</vt:i4>
      </vt:variant>
      <vt:variant>
        <vt:i4>0</vt:i4>
      </vt:variant>
      <vt:variant>
        <vt:i4>5</vt:i4>
      </vt:variant>
      <vt:variant>
        <vt:lpwstr>https://www.argentina.gob.ar/normativa/nacional/resoluci%C3%B3n-5101-2021-356960</vt:lpwstr>
      </vt:variant>
      <vt:variant>
        <vt:lpwstr/>
      </vt:variant>
      <vt:variant>
        <vt:i4>6160448</vt:i4>
      </vt:variant>
      <vt:variant>
        <vt:i4>93</vt:i4>
      </vt:variant>
      <vt:variant>
        <vt:i4>0</vt:i4>
      </vt:variant>
      <vt:variant>
        <vt:i4>5</vt:i4>
      </vt:variant>
      <vt:variant>
        <vt:lpwstr>https://www.argentina.gob.ar/normativa/nacional/resoluci%C3%B3n-5101-2021-356960</vt:lpwstr>
      </vt:variant>
      <vt:variant>
        <vt:lpwstr/>
      </vt:variant>
      <vt:variant>
        <vt:i4>524295</vt:i4>
      </vt:variant>
      <vt:variant>
        <vt:i4>90</vt:i4>
      </vt:variant>
      <vt:variant>
        <vt:i4>0</vt:i4>
      </vt:variant>
      <vt:variant>
        <vt:i4>5</vt:i4>
      </vt:variant>
      <vt:variant>
        <vt:lpwstr>https://servicioscf.afip.gob.ar/publico/sitio/contenido/novedad/ver.aspx?id=2604</vt:lpwstr>
      </vt:variant>
      <vt:variant>
        <vt:lpwstr/>
      </vt:variant>
      <vt:variant>
        <vt:i4>6160413</vt:i4>
      </vt:variant>
      <vt:variant>
        <vt:i4>87</vt:i4>
      </vt:variant>
      <vt:variant>
        <vt:i4>0</vt:i4>
      </vt:variant>
      <vt:variant>
        <vt:i4>5</vt:i4>
      </vt:variant>
      <vt:variant>
        <vt:lpwstr>https://www.argentina.gob.ar/trabajo/seguridadsocial/bess</vt:lpwstr>
      </vt:variant>
      <vt:variant>
        <vt:lpwstr/>
      </vt:variant>
      <vt:variant>
        <vt:i4>6750245</vt:i4>
      </vt:variant>
      <vt:variant>
        <vt:i4>84</vt:i4>
      </vt:variant>
      <vt:variant>
        <vt:i4>0</vt:i4>
      </vt:variant>
      <vt:variant>
        <vt:i4>5</vt:i4>
      </vt:variant>
      <vt:variant>
        <vt:lpwstr>https://www.indec.gob.ar/uploads/informesdeprensa/ipc_04_23411BFA2B5E.pdf</vt:lpwstr>
      </vt:variant>
      <vt:variant>
        <vt:lpwstr/>
      </vt:variant>
      <vt:variant>
        <vt:i4>2621541</vt:i4>
      </vt:variant>
      <vt:variant>
        <vt:i4>81</vt:i4>
      </vt:variant>
      <vt:variant>
        <vt:i4>0</vt:i4>
      </vt:variant>
      <vt:variant>
        <vt:i4>5</vt:i4>
      </vt:variant>
      <vt:variant>
        <vt:lpwstr>https://www.argentina.gob.ar/trabajo/seguridadsocial/ripte</vt:lpwstr>
      </vt:variant>
      <vt:variant>
        <vt:lpwstr/>
      </vt: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23</cp:revision>
  <cp:lastPrinted>2023-01-02T11:50:00Z</cp:lastPrinted>
  <dcterms:created xsi:type="dcterms:W3CDTF">2024-07-09T16:42:00Z</dcterms:created>
  <dcterms:modified xsi:type="dcterms:W3CDTF">2024-11-16T23:08:00Z</dcterms:modified>
</cp:coreProperties>
</file>