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 xml:space="preserve">Impugno liquidación de </w:t>
      </w:r>
      <w:proofErr w:type="spellStart"/>
      <w:r>
        <w:t>Anses</w:t>
      </w:r>
      <w:proofErr w:type="spellEnd"/>
      <w:r>
        <w:t>.</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t>
      </w:r>
      <w:proofErr w:type="spellStart"/>
      <w:r>
        <w:t>endif</w:t>
      </w:r>
      <w:proofErr w:type="spellEnd"/>
      <w:r>
        <w:t xml:space="preserve">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D247C0" w:rsidRPr="00D247C0">
        <w:t xml:space="preserve"> </w:t>
      </w:r>
      <w:r w:rsidR="00D247C0">
        <w:t xml:space="preserve">{% </w:t>
      </w:r>
      <w:proofErr w:type="spellStart"/>
      <w:r w:rsidR="00D247C0">
        <w:t>if</w:t>
      </w:r>
      <w:proofErr w:type="spellEnd"/>
      <w:r w:rsidR="00D247C0">
        <w:t xml:space="preserve"> ley_27609_Si </w:t>
      </w:r>
      <w:proofErr w:type="spellStart"/>
      <w:r w:rsidR="00D247C0">
        <w:t>or</w:t>
      </w:r>
      <w:proofErr w:type="spellEnd"/>
      <w:r w:rsidR="00D247C0">
        <w:t xml:space="preserve"> ley_27541_Si </w:t>
      </w:r>
      <w:proofErr w:type="spellStart"/>
      <w:r w:rsidR="00D247C0">
        <w:t>or</w:t>
      </w:r>
      <w:proofErr w:type="spellEnd"/>
      <w:r w:rsidR="00D247C0">
        <w:t xml:space="preserve"> ley_27426_Si %}</w:t>
      </w:r>
    </w:p>
    <w:p w14:paraId="4C721832" w14:textId="2776A946" w:rsidR="004A01A9" w:rsidRDefault="00D247C0" w:rsidP="00D247C0">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1DB9FFF6" w14:textId="77777777" w:rsidR="004A01A9" w:rsidRDefault="004A01A9" w:rsidP="004A01A9">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039D54E4" w14:textId="77777777" w:rsidR="004A01A9" w:rsidRDefault="004A01A9" w:rsidP="004A01A9">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 xml:space="preserve">La liquidación de </w:t>
      </w:r>
      <w:proofErr w:type="spellStart"/>
      <w:r w:rsidRPr="00185B07">
        <w:t>Anses</w:t>
      </w:r>
      <w:proofErr w:type="spellEnd"/>
      <w:r w:rsidRPr="00185B07">
        <w:t xml:space="preserve">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lastRenderedPageBreak/>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5C2967F8" w14:textId="77777777" w:rsidR="00224216" w:rsidRDefault="00224216" w:rsidP="00224216">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Sentencia de 2 da instancia,  {{</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3082AB2D" w14:textId="77777777" w:rsidR="00224216" w:rsidRDefault="00224216" w:rsidP="00224216">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 </w:t>
      </w:r>
      <w:proofErr w:type="spellStart"/>
      <w:r>
        <w:t>if</w:t>
      </w:r>
      <w:proofErr w:type="spellEnd"/>
      <w:r>
        <w:t xml:space="preserve"> </w:t>
      </w:r>
      <w:proofErr w:type="spellStart"/>
      <w:r>
        <w:t>Error_Material_Si</w:t>
      </w:r>
      <w:proofErr w:type="spellEnd"/>
      <w:r>
        <w:t xml:space="preserve">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w:t>
      </w:r>
      <w:proofErr w:type="spellStart"/>
      <w:r w:rsidRPr="00200403">
        <w:t>Error_Material_primer_fecha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inicial.{%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/Blanco, comparando la confiscatoriedad con el haber reajustado. La confiscatoriedad es del {{</w:t>
      </w:r>
      <w:r w:rsidRPr="00574D0E">
        <w:t xml:space="preserve"> </w:t>
      </w:r>
      <w:proofErr w:type="spellStart"/>
      <w:r w:rsidRPr="00574D0E">
        <w:t>Porcentaje_PBU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al {{</w:t>
      </w:r>
      <w:r w:rsidRPr="00211800">
        <w:t xml:space="preserve"> </w:t>
      </w:r>
      <w:proofErr w:type="spellStart"/>
      <w:r w:rsidRPr="00211800">
        <w:rPr>
          <w:lang w:val="es-AR"/>
        </w:rPr>
        <w:t>ultima_fecha_RH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proofErr w:type="spellStart"/>
      <w:r w:rsidRPr="00C27ACD">
        <w:rPr>
          <w:lang w:val="es-AR"/>
        </w:rPr>
        <w:t>primer_fecha_AC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r w:rsidR="009C7E0F">
        <w:t xml:space="preserve"> </w:t>
      </w:r>
      <w:r w:rsidR="009C7E0F">
        <w:t xml:space="preserve">{% </w:t>
      </w:r>
      <w:proofErr w:type="spellStart"/>
      <w:r w:rsidR="009C7E0F">
        <w:t>if</w:t>
      </w:r>
      <w:proofErr w:type="spellEnd"/>
      <w:r w:rsidR="009C7E0F">
        <w:t xml:space="preserve"> </w:t>
      </w:r>
      <w:proofErr w:type="spellStart"/>
      <w:r w:rsidR="009C7E0F">
        <w:t>Badaro_Si</w:t>
      </w:r>
      <w:proofErr w:type="spellEnd"/>
      <w:r w:rsidR="009C7E0F">
        <w:t xml:space="preserve">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 xml:space="preserve">Se aplico tope del art 24 de la ley 24.241.  {% </w:t>
      </w:r>
      <w:proofErr w:type="spellStart"/>
      <w:r>
        <w:t>endif</w:t>
      </w:r>
      <w:proofErr w:type="spellEnd"/>
      <w:r>
        <w:t xml:space="preserve"> %} {% </w:t>
      </w:r>
      <w:proofErr w:type="spellStart"/>
      <w:r>
        <w:t>if</w:t>
      </w:r>
      <w:proofErr w:type="spellEnd"/>
      <w:r>
        <w:t xml:space="preserve"> </w:t>
      </w:r>
      <w:proofErr w:type="spellStart"/>
      <w:r>
        <w:t>Badaro_Si</w:t>
      </w:r>
      <w:proofErr w:type="spellEnd"/>
      <w:r>
        <w:t xml:space="preserve">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xml:space="preserve">{% </w:t>
      </w:r>
      <w:proofErr w:type="spellStart"/>
      <w:r>
        <w:t>endif</w:t>
      </w:r>
      <w:proofErr w:type="spellEnd"/>
      <w:r>
        <w:t xml:space="preserve">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w:t>
      </w:r>
      <w:proofErr w:type="spellStart"/>
      <w:r w:rsidRPr="00334E53">
        <w:t>Fecha_de_cierre_de_intereses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429452D" w14:textId="77777777" w:rsidR="00224216" w:rsidRPr="008E4D93" w:rsidRDefault="00224216" w:rsidP="00224216">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51E6FAA"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w:t>
      </w:r>
      <w:proofErr w:type="spellStart"/>
      <w:r w:rsidRPr="008262E0">
        <w:t>Movilidad_Segunda_Liquidacion</w:t>
      </w:r>
      <w:proofErr w:type="spellEnd"/>
      <w:r w:rsidRPr="008262E0">
        <w:t xml:space="preserve">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r w:rsidRPr="004C3545">
        <w:t xml:space="preserve"> </w:t>
      </w:r>
      <w:proofErr w:type="spellStart"/>
      <w:r w:rsidRPr="004C3545">
        <w:t>Haber_de_Alta_Segunda_Liquidacion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r w:rsidRPr="00BA56DB">
        <w:t xml:space="preserve"> </w:t>
      </w:r>
      <w:proofErr w:type="spellStart"/>
      <w:r w:rsidRPr="00BA56DB">
        <w:t>Capital_Segunda_Liquidacion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proofErr w:type="spellStart"/>
      <w:r w:rsidRPr="00BA56DB">
        <w:rPr>
          <w:b/>
          <w:bCs/>
        </w:rPr>
        <w:t>Total_Segunda_Liquidacion</w:t>
      </w:r>
      <w:proofErr w:type="spellEnd"/>
      <w:r w:rsidRPr="00BA56DB">
        <w:rPr>
          <w:b/>
          <w:bCs/>
        </w:rPr>
        <w:t xml:space="preserve"> </w:t>
      </w:r>
      <w:r w:rsidRPr="003A264B">
        <w:rPr>
          <w:b/>
          <w:bCs/>
        </w:rPr>
        <w:t>}}</w:t>
      </w:r>
    </w:p>
    <w:p w14:paraId="127E1667" w14:textId="77777777" w:rsidR="00224216" w:rsidRDefault="00224216" w:rsidP="00224216">
      <w:pPr>
        <w:autoSpaceDE w:val="0"/>
        <w:autoSpaceDN w:val="0"/>
        <w:adjustRightInd w:val="0"/>
        <w:spacing w:line="276" w:lineRule="auto"/>
        <w:jc w:val="both"/>
      </w:pPr>
      <w:r>
        <w:t xml:space="preserve">{% </w:t>
      </w:r>
      <w:proofErr w:type="spellStart"/>
      <w:r>
        <w:t>endif</w:t>
      </w:r>
      <w:proofErr w:type="spellEnd"/>
      <w:r>
        <w:t xml:space="preserve"> %}</w:t>
      </w:r>
    </w:p>
    <w:p w14:paraId="0A2E23AB"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3A5F10">
        <w:t>Movilidad_Primera_Liquidacion_IPC</w:t>
      </w:r>
      <w:proofErr w:type="spellEnd"/>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proofErr w:type="spellStart"/>
            <w:r w:rsidRPr="00F34C48">
              <w:t>Haber_de_Alta_Primera_Liquidacion_IPC</w:t>
            </w:r>
            <w:proofErr w:type="spellEnd"/>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proofErr w:type="spellStart"/>
            <w:r w:rsidRPr="005A7B53">
              <w:t>Haber_de_Alta</w:t>
            </w:r>
            <w:proofErr w:type="spellEnd"/>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4F71E9">
        <w:t>Movilidad_Segunda_Liquidacion_IPC</w:t>
      </w:r>
      <w:proofErr w:type="spellEnd"/>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r w:rsidRPr="0061715B">
        <w:t xml:space="preserve"> </w:t>
      </w:r>
      <w:proofErr w:type="spellStart"/>
      <w:r w:rsidRPr="0061715B">
        <w:t>Capital_Segunda_Liquidacion_IPC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proofErr w:type="spellStart"/>
            <w:r w:rsidRPr="0061715B">
              <w:t>Haber_de_Alta_Segunda_Liquidacion_IPC</w:t>
            </w:r>
            <w:proofErr w:type="spellEnd"/>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proofErr w:type="spellStart"/>
            <w:r w:rsidRPr="00491C23">
              <w:t>Haber_de_Alta_Segunda_Liquidacion</w:t>
            </w:r>
            <w:proofErr w:type="spellEnd"/>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3432B3">
        <w:rPr>
          <w:color w:val="000000"/>
        </w:rPr>
        <w:t xml:space="preserve"> {% </w:t>
      </w:r>
      <w:proofErr w:type="spellStart"/>
      <w:r w:rsidR="003432B3">
        <w:rPr>
          <w:color w:val="000000"/>
        </w:rPr>
        <w:t>if</w:t>
      </w:r>
      <w:proofErr w:type="spellEnd"/>
      <w:r w:rsidR="003432B3">
        <w:rPr>
          <w:color w:val="000000"/>
        </w:rPr>
        <w:t xml:space="preserve">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58C660C" w14:textId="77777777" w:rsidR="003432B3" w:rsidRDefault="003432B3" w:rsidP="003432B3">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6339B06" w14:textId="77777777" w:rsidR="003432B3" w:rsidRPr="00345944" w:rsidRDefault="003432B3" w:rsidP="003432B3">
      <w:pPr>
        <w:autoSpaceDE w:val="0"/>
        <w:autoSpaceDN w:val="0"/>
        <w:adjustRightInd w:val="0"/>
        <w:ind w:left="1146"/>
        <w:jc w:val="both"/>
        <w:rPr>
          <w:b/>
          <w:bCs/>
        </w:rPr>
      </w:pPr>
    </w:p>
    <w:p w14:paraId="44CF05A7" w14:textId="77777777" w:rsidR="003432B3" w:rsidRPr="00345944" w:rsidRDefault="003432B3" w:rsidP="003432B3">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5518B4A7" w14:textId="77777777" w:rsidR="003432B3" w:rsidRPr="00345944" w:rsidRDefault="003432B3" w:rsidP="003432B3">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2FD75478" w14:textId="77777777" w:rsidR="003432B3" w:rsidRPr="00345944" w:rsidRDefault="003432B3" w:rsidP="003432B3">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72D04559" w14:textId="0349C602" w:rsidR="003432B3" w:rsidRPr="00345944" w:rsidRDefault="009C7E0F" w:rsidP="003432B3">
      <w:pPr>
        <w:spacing w:after="200"/>
        <w:ind w:firstLine="426"/>
        <w:contextualSpacing/>
        <w:jc w:val="both"/>
        <w:rPr>
          <w:rFonts w:eastAsia="Calibri"/>
          <w:lang w:eastAsia="es-MX"/>
        </w:rPr>
      </w:pPr>
      <w:r>
        <w:rPr>
          <w:noProof/>
        </w:rPr>
        <w:pict w14:anchorId="7395E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8" type="#_x0000_t75" alt="Texto" style="position:absolute;left:0;text-align:left;margin-left:-.15pt;margin-top:10.05pt;width:425.2pt;height:19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38 0 -38 21517 21600 21517 21600 0 -38 0">
            <v:imagedata r:id="rId8" o:title="Texto"/>
            <w10:wrap type="tight"/>
          </v:shape>
        </w:pict>
      </w:r>
    </w:p>
    <w:p w14:paraId="3B016BA8"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408BDD7B"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50BC7C2B"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69F45835" w14:textId="48B875EF" w:rsidR="003432B3" w:rsidRPr="00345944" w:rsidRDefault="009C7E0F" w:rsidP="003432B3">
      <w:pPr>
        <w:spacing w:after="200"/>
        <w:ind w:firstLine="709"/>
        <w:contextualSpacing/>
        <w:jc w:val="both"/>
        <w:rPr>
          <w:rFonts w:eastAsia="Calibri"/>
          <w:lang w:eastAsia="es-MX"/>
        </w:rPr>
      </w:pPr>
      <w:r>
        <w:rPr>
          <w:rFonts w:eastAsia="Calibri"/>
          <w:noProof/>
          <w:lang w:eastAsia="es-MX"/>
        </w:rPr>
        <w:pict w14:anchorId="0698D9E0">
          <v:shape id="Imagen 4" o:spid="_x0000_i1025" type="#_x0000_t75" alt="Interfaz de usuario gráfica&#10;&#10;Descripción generada automáticamente" style="width:244.8pt;height:87pt;visibility:visible;mso-wrap-style:square">
            <v:imagedata r:id="rId9" o:title="Interfaz de usuario gráfica&#10;&#10;Descripción generada automáticamente"/>
          </v:shape>
        </w:pict>
      </w:r>
    </w:p>
    <w:p w14:paraId="5DE8DA3F" w14:textId="77777777" w:rsidR="003432B3" w:rsidRPr="00345944" w:rsidRDefault="003432B3" w:rsidP="003432B3">
      <w:pPr>
        <w:spacing w:after="200"/>
        <w:ind w:firstLine="709"/>
        <w:contextualSpacing/>
        <w:jc w:val="both"/>
        <w:rPr>
          <w:rFonts w:eastAsia="Calibri"/>
          <w:lang w:eastAsia="es-MX"/>
        </w:rPr>
      </w:pPr>
    </w:p>
    <w:p w14:paraId="4909796E" w14:textId="77777777" w:rsidR="003432B3" w:rsidRPr="00345944" w:rsidRDefault="003432B3" w:rsidP="003432B3">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1" w:name="_Int_3ZCRcYp4"/>
      <w:r w:rsidRPr="00345944">
        <w:rPr>
          <w:rFonts w:eastAsia="Calibri"/>
          <w:lang w:eastAsia="es-MX"/>
        </w:rPr>
        <w:t>, lo cual fue reconocida por el poder ejecutivo que quien tiene a su cargo el pago de los haberes previsionales.</w:t>
      </w:r>
      <w:bookmarkEnd w:id="1"/>
      <w:r w:rsidRPr="00345944">
        <w:rPr>
          <w:rFonts w:eastAsia="Calibri"/>
          <w:lang w:eastAsia="es-MX"/>
        </w:rPr>
        <w:t xml:space="preserve"> El gobierno lo reconoció públicamente y otorgó 23 bonos en 34 meses, solo en 11 meses no se dieron bonos y se siguen dando bonos .</w:t>
      </w:r>
    </w:p>
    <w:p w14:paraId="0B8442F0" w14:textId="7789AFB0" w:rsidR="003432B3" w:rsidRPr="00345944" w:rsidRDefault="009C7E0F" w:rsidP="003432B3">
      <w:pPr>
        <w:ind w:firstLine="1134"/>
        <w:jc w:val="center"/>
        <w:rPr>
          <w:rFonts w:eastAsia="Calibri"/>
          <w:lang w:eastAsia="es-MX"/>
        </w:rPr>
      </w:pPr>
      <w:r>
        <w:rPr>
          <w:rFonts w:eastAsia="Calibri"/>
          <w:noProof/>
          <w:lang w:eastAsia="es-MX"/>
        </w:rPr>
        <w:pict w14:anchorId="2344E8B1">
          <v:shape id="Imagen 3" o:spid="_x0000_i1026" type="#_x0000_t75" alt="Interfaz de usuario gráfica, Texto, Aplicación, Chat o mensaje de texto&#10;&#10;Descripción generada automáticamente" style="width:212.4pt;height:114.65pt;visibility:visible;mso-wrap-style:square">
            <v:imagedata r:id="rId10" o:title="Interfaz de usuario gráfica, Texto, Aplicación, Chat o mensaje de texto&#10;&#10;Descripción generada automáticamente"/>
          </v:shape>
        </w:pict>
      </w:r>
    </w:p>
    <w:p w14:paraId="6C0899B9"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0FE3250"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52DCF450"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2" w:name="_Int_Rwghe7Tz"/>
      <w:r w:rsidRPr="00345944">
        <w:rPr>
          <w:rFonts w:eastAsia="Calibri"/>
          <w:lang w:eastAsia="es-MX"/>
        </w:rPr>
        <w:t>Su haber jubilatorio no refleja el esfuerzo contributivo realizado a lo largo de su vida, y en consecuencia no resulta sustitutivo del salario.</w:t>
      </w:r>
      <w:bookmarkEnd w:id="2"/>
      <w:r w:rsidRPr="00345944">
        <w:rPr>
          <w:rFonts w:eastAsia="Calibri"/>
          <w:lang w:eastAsia="es-MX"/>
        </w:rPr>
        <w:t xml:space="preserve"> </w:t>
      </w:r>
    </w:p>
    <w:p w14:paraId="01958552" w14:textId="77777777" w:rsidR="003432B3" w:rsidRPr="00345944" w:rsidRDefault="003432B3" w:rsidP="003432B3">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60284F9D" w14:textId="77777777" w:rsidR="003432B3" w:rsidRPr="00345944" w:rsidRDefault="003432B3" w:rsidP="003432B3">
      <w:pPr>
        <w:jc w:val="both"/>
        <w:rPr>
          <w:rFonts w:eastAsia="Calibri"/>
          <w:lang w:eastAsia="es-MX"/>
        </w:rPr>
      </w:pPr>
    </w:p>
    <w:p w14:paraId="0583160D" w14:textId="77777777" w:rsidR="003432B3" w:rsidRPr="00345944" w:rsidRDefault="003432B3" w:rsidP="003432B3">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10F1B1C3" w14:textId="77777777" w:rsidR="003432B3" w:rsidRPr="00345944" w:rsidRDefault="003432B3" w:rsidP="003432B3">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233D52CB" w14:textId="77777777" w:rsidR="003432B3" w:rsidRPr="00345944" w:rsidRDefault="003432B3" w:rsidP="003432B3">
      <w:pPr>
        <w:ind w:firstLine="1134"/>
        <w:jc w:val="both"/>
        <w:rPr>
          <w:rFonts w:eastAsia="Calibri"/>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 Con cualquier índice que se elija pierde, pero con la inflación más, índice que se </w:t>
      </w:r>
      <w:proofErr w:type="spellStart"/>
      <w:r w:rsidRPr="00345944">
        <w:rPr>
          <w:lang w:eastAsia="es-MX"/>
        </w:rPr>
        <w:t>utlizará</w:t>
      </w:r>
      <w:proofErr w:type="spellEnd"/>
      <w:r w:rsidRPr="00345944">
        <w:rPr>
          <w:lang w:eastAsia="es-MX"/>
        </w:rPr>
        <w:t xml:space="preserve">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029DFE22" w14:textId="77777777" w:rsidR="003432B3" w:rsidRPr="00345944" w:rsidRDefault="003432B3" w:rsidP="003432B3">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22AFD4D" w14:textId="77777777" w:rsidR="003432B3" w:rsidRPr="00345944" w:rsidRDefault="003432B3" w:rsidP="003432B3">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46442720" w14:textId="482CBF66" w:rsidR="003432B3" w:rsidRPr="00345944" w:rsidRDefault="009C7E0F" w:rsidP="003432B3">
      <w:pPr>
        <w:spacing w:after="200"/>
        <w:contextualSpacing/>
        <w:jc w:val="both"/>
        <w:rPr>
          <w:bCs/>
          <w:lang w:eastAsia="es-MX"/>
        </w:rPr>
      </w:pPr>
      <w:r>
        <w:rPr>
          <w:rFonts w:ascii="Calibri" w:eastAsia="Calibri" w:hAnsi="Calibri"/>
          <w:noProof/>
        </w:rPr>
        <w:pict w14:anchorId="4C894B44">
          <v:shape id="Imagen 2" o:spid="_x0000_i1027" type="#_x0000_t75" style="width:424.9pt;height:116.35pt;visibility:visible;mso-wrap-style:square">
            <v:imagedata r:id="rId17" o:title=""/>
          </v:shape>
        </w:pict>
      </w:r>
    </w:p>
    <w:p w14:paraId="3F9DD149" w14:textId="77777777" w:rsidR="003432B3" w:rsidRPr="00345944" w:rsidRDefault="003432B3" w:rsidP="003432B3">
      <w:pPr>
        <w:ind w:firstLine="1560"/>
        <w:jc w:val="both"/>
        <w:rPr>
          <w:rFonts w:eastAsia="Calibri"/>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2472A77A" w14:textId="4DE0F13D" w:rsidR="003432B3" w:rsidRPr="00345944" w:rsidRDefault="009C7E0F" w:rsidP="003432B3">
      <w:pPr>
        <w:ind w:firstLine="1560"/>
        <w:jc w:val="both"/>
        <w:rPr>
          <w:lang w:eastAsia="es-MX"/>
        </w:rPr>
      </w:pPr>
      <w:r>
        <w:rPr>
          <w:noProof/>
          <w:lang w:eastAsia="es-MX"/>
        </w:rPr>
        <w:pict w14:anchorId="5A43F210">
          <v:shape id="_x0000_i1028" type="#_x0000_t75" alt="Gráfico, Gráfico de barras&#10;&#10;Descripción generada automáticamente" style="width:252pt;height:171.7pt;visibility:visible;mso-wrap-style:square">
            <v:imagedata r:id="rId19" o:title="Gráfico, Gráfico de barras&#10;&#10;Descripción generada automáticamente"/>
          </v:shape>
        </w:pict>
      </w:r>
    </w:p>
    <w:p w14:paraId="5D8FB182" w14:textId="77777777" w:rsidR="003432B3" w:rsidRPr="00345944" w:rsidRDefault="003432B3" w:rsidP="003432B3">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3"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3"/>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6C99BF49" w14:textId="77777777" w:rsidR="003432B3" w:rsidRPr="00345944" w:rsidRDefault="003432B3" w:rsidP="003432B3">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614C4569" w14:textId="77777777" w:rsidR="003432B3" w:rsidRPr="00345944" w:rsidRDefault="003432B3" w:rsidP="003432B3">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460FAA94" w14:textId="77777777" w:rsidR="003432B3" w:rsidRPr="00345944" w:rsidRDefault="003432B3" w:rsidP="003432B3">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620FDD02" w14:textId="77777777" w:rsidR="003432B3" w:rsidRPr="00345944" w:rsidRDefault="003432B3" w:rsidP="003432B3">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59E8F7D" w14:textId="77777777" w:rsidR="003432B3" w:rsidRPr="00345944" w:rsidRDefault="003432B3" w:rsidP="003432B3">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EF36840" w14:textId="77777777" w:rsidR="003432B3" w:rsidRPr="00345944" w:rsidRDefault="003432B3" w:rsidP="003432B3">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5AF36825" w14:textId="77777777" w:rsidR="003432B3" w:rsidRPr="00345944" w:rsidRDefault="003432B3" w:rsidP="003432B3">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46EF27E3" w14:textId="77777777" w:rsidR="003432B3" w:rsidRDefault="003432B3" w:rsidP="003432B3">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Pr>
          <w:rFonts w:eastAsia="Calibri"/>
          <w:color w:val="000000"/>
          <w:lang w:eastAsia="es-AR"/>
        </w:rPr>
        <w:t xml:space="preserve"> {% </w:t>
      </w:r>
      <w:proofErr w:type="spellStart"/>
      <w:r>
        <w:rPr>
          <w:rFonts w:eastAsia="Calibri"/>
          <w:color w:val="000000"/>
          <w:lang w:eastAsia="es-AR"/>
        </w:rPr>
        <w:t>endif</w:t>
      </w:r>
      <w:proofErr w:type="spellEnd"/>
      <w:r>
        <w:rPr>
          <w:rFonts w:eastAsia="Calibri"/>
          <w:color w:val="000000"/>
          <w:lang w:eastAsia="es-AR"/>
        </w:rPr>
        <w:t xml:space="preserve"> %} {% </w:t>
      </w:r>
      <w:proofErr w:type="spellStart"/>
      <w:r>
        <w:rPr>
          <w:rFonts w:eastAsia="Calibri"/>
          <w:color w:val="000000"/>
          <w:lang w:eastAsia="es-AR"/>
        </w:rPr>
        <w:t>if</w:t>
      </w:r>
      <w:proofErr w:type="spellEnd"/>
      <w:r>
        <w:rPr>
          <w:rFonts w:eastAsia="Calibri"/>
          <w:color w:val="000000"/>
          <w:lang w:eastAsia="es-AR"/>
        </w:rPr>
        <w:t xml:space="preserve"> </w:t>
      </w:r>
      <w:r w:rsidRPr="004A7A00">
        <w:rPr>
          <w:rFonts w:eastAsia="Calibri"/>
          <w:color w:val="000000"/>
          <w:lang w:eastAsia="es-AR"/>
        </w:rPr>
        <w:t>ley_27426_Si</w:t>
      </w:r>
      <w:r>
        <w:rPr>
          <w:rFonts w:eastAsia="Calibri"/>
          <w:color w:val="000000"/>
          <w:lang w:eastAsia="es-AR"/>
        </w:rPr>
        <w:t xml:space="preserve"> %}</w:t>
      </w: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 {% </w:t>
      </w:r>
      <w:proofErr w:type="spellStart"/>
      <w:r>
        <w:rPr>
          <w:bCs/>
        </w:rPr>
        <w:t>if</w:t>
      </w:r>
      <w:proofErr w:type="spellEnd"/>
      <w:r>
        <w:rPr>
          <w:bCs/>
        </w:rPr>
        <w:t xml:space="preserve">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6F6EC4D7" w:rsidR="003432B3" w:rsidRDefault="009C7E0F" w:rsidP="003432B3">
      <w:pPr>
        <w:autoSpaceDE w:val="0"/>
        <w:autoSpaceDN w:val="0"/>
        <w:adjustRightInd w:val="0"/>
        <w:spacing w:line="276" w:lineRule="auto"/>
        <w:ind w:left="720"/>
        <w:jc w:val="both"/>
      </w:pPr>
      <w:r>
        <w:rPr>
          <w:noProof/>
        </w:rPr>
        <w:pict w14:anchorId="76AE67BF">
          <v:shape id="Imagen 1" o:spid="_x0000_i1029" type="#_x0000_t75" alt="Imagen que contiene Interfaz de usuario gráfica&#10;&#10;Descripción generada automáticamente" style="width:389.95pt;height:97.8pt;visibility:visible;mso-wrap-style:square">
            <v:imagedata r:id="rId28" o:title="Imagen que contiene Interfaz de usuario gráfica&#10;&#10;Descripción generada automáticamente"/>
          </v:shape>
        </w:pict>
      </w:r>
      <w:r w:rsidR="003432B3">
        <w:rPr>
          <w:bCs/>
        </w:rPr>
        <w:t xml:space="preserve">{% </w:t>
      </w:r>
      <w:proofErr w:type="spellStart"/>
      <w:r w:rsidR="003432B3">
        <w:rPr>
          <w:bCs/>
        </w:rPr>
        <w:t>endif</w:t>
      </w:r>
      <w:proofErr w:type="spellEnd"/>
      <w:r w:rsidR="003432B3">
        <w:rPr>
          <w:bCs/>
        </w:rPr>
        <w:t xml:space="preserve"> %} </w:t>
      </w:r>
      <w:r w:rsidR="003432B3">
        <w:t xml:space="preserve">{% </w:t>
      </w:r>
      <w:proofErr w:type="spellStart"/>
      <w:r w:rsidR="003432B3">
        <w:t>if</w:t>
      </w:r>
      <w:proofErr w:type="spellEnd"/>
      <w:r w:rsidR="003432B3">
        <w:t xml:space="preserve"> ley_27609_Si </w:t>
      </w:r>
      <w:proofErr w:type="spellStart"/>
      <w:r w:rsidR="003432B3">
        <w:t>or</w:t>
      </w:r>
      <w:proofErr w:type="spellEnd"/>
      <w:r w:rsidR="003432B3">
        <w:t xml:space="preserve"> ley_27541_Si </w:t>
      </w:r>
      <w:proofErr w:type="spellStart"/>
      <w:r w:rsidR="003432B3">
        <w:t>or</w:t>
      </w:r>
      <w:proofErr w:type="spellEnd"/>
      <w:r w:rsidR="003432B3">
        <w:t xml:space="preserve">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4"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77777777" w:rsidR="003432B3" w:rsidRPr="00DA146B" w:rsidRDefault="003432B3" w:rsidP="003432B3">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4"/>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xml:space="preserve">{% </w:t>
      </w:r>
      <w:proofErr w:type="spellStart"/>
      <w:r w:rsidRPr="000E0CD9">
        <w:rPr>
          <w:bCs/>
        </w:rPr>
        <w:t>endif</w:t>
      </w:r>
      <w:proofErr w:type="spellEnd"/>
      <w:r w:rsidRPr="000E0CD9">
        <w:rPr>
          <w:bCs/>
        </w:rPr>
        <w:t xml:space="preserve"> %}</w:t>
      </w:r>
      <w:r>
        <w:rPr>
          <w:bCs/>
        </w:rPr>
        <w:t xml:space="preserve"> </w:t>
      </w:r>
      <w:r>
        <w:t xml:space="preserve">{% </w:t>
      </w:r>
      <w:proofErr w:type="spellStart"/>
      <w:r>
        <w:t>if</w:t>
      </w:r>
      <w:proofErr w:type="spellEnd"/>
      <w:r>
        <w:t xml:space="preserve"> </w:t>
      </w:r>
      <w:proofErr w:type="spellStart"/>
      <w:r w:rsidRPr="00B60232">
        <w:t>Honorarios_No</w:t>
      </w:r>
      <w:proofErr w:type="spellEnd"/>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5E182453" w14:textId="77777777" w:rsidR="003432B3" w:rsidRDefault="003432B3" w:rsidP="003432B3">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secuenta</w:t>
      </w:r>
      <w:proofErr w:type="spellEnd"/>
      <w:r w:rsidRPr="00000F33">
        <w:t xml:space="preserve"> </w:t>
      </w:r>
      <w:r>
        <w:t xml:space="preserve">. </w:t>
      </w:r>
      <w:r w:rsidRPr="000E0CD9">
        <w:rPr>
          <w:bCs/>
        </w:rPr>
        <w:t xml:space="preserve">{% </w:t>
      </w:r>
      <w:proofErr w:type="spellStart"/>
      <w:r w:rsidRPr="000E0CD9">
        <w:rPr>
          <w:bCs/>
        </w:rPr>
        <w:t>endif</w:t>
      </w:r>
      <w:proofErr w:type="spellEnd"/>
      <w:r w:rsidRPr="000E0CD9">
        <w:rPr>
          <w:bCs/>
        </w:rPr>
        <w:t xml:space="preserve"> %}</w:t>
      </w:r>
    </w:p>
    <w:p w14:paraId="5F367FB5" w14:textId="77777777" w:rsidR="003432B3" w:rsidRDefault="003432B3" w:rsidP="003432B3">
      <w:pPr>
        <w:pStyle w:val="Prrafodelista"/>
        <w:numPr>
          <w:ilvl w:val="0"/>
          <w:numId w:val="16"/>
        </w:numPr>
        <w:autoSpaceDE w:val="0"/>
        <w:autoSpaceDN w:val="0"/>
        <w:adjustRightInd w:val="0"/>
        <w:spacing w:line="276" w:lineRule="auto"/>
        <w:jc w:val="both"/>
      </w:pPr>
      <w:r w:rsidRPr="00512472">
        <w:rPr>
          <w:b/>
          <w:bCs/>
        </w:rPr>
        <w:t>SOLICITO REGULE HONORARIOS</w:t>
      </w:r>
    </w:p>
    <w:p w14:paraId="48CE30C0" w14:textId="77777777" w:rsidR="003432B3" w:rsidRDefault="003432B3" w:rsidP="003432B3">
      <w:pPr>
        <w:autoSpaceDE w:val="0"/>
        <w:autoSpaceDN w:val="0"/>
        <w:adjustRightInd w:val="0"/>
        <w:spacing w:line="276" w:lineRule="auto"/>
        <w:ind w:firstLine="1134"/>
        <w:jc w:val="both"/>
      </w:pPr>
      <w:r>
        <w:t>Solicito regule honorarios y tome como base regulatoria la suma de {{</w:t>
      </w:r>
      <w:proofErr w:type="spellStart"/>
      <w:r w:rsidRPr="00E9369F">
        <w:t>total_liquidacion_en_UMA</w:t>
      </w:r>
      <w:proofErr w:type="spellEnd"/>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3432B3">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w:t>
      </w:r>
      <w:proofErr w:type="spellStart"/>
      <w:r>
        <w:t>abogados:Av</w:t>
      </w:r>
      <w:proofErr w:type="spellEnd"/>
      <w:r>
        <w:t xml:space="preserve">. Sarmiento N º 302/308 de la ciudad de Salta,  domicilio electrónico como persona jurídica registrado bajo el CUIT 30518723487. {% </w:t>
      </w:r>
      <w:proofErr w:type="spellStart"/>
      <w:r>
        <w:t>if</w:t>
      </w:r>
      <w:proofErr w:type="spellEnd"/>
      <w:r>
        <w:t xml:space="preserve"> </w:t>
      </w:r>
      <w:proofErr w:type="spellStart"/>
      <w:r w:rsidRPr="00B05497">
        <w:t>Sancionatorios_Si</w:t>
      </w:r>
      <w:proofErr w:type="spellEnd"/>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3185D3D5" w14:textId="77777777" w:rsidR="003432B3" w:rsidRDefault="003432B3" w:rsidP="003432B3">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761C6FA9" w14:textId="77777777" w:rsidR="003432B3" w:rsidRDefault="003432B3" w:rsidP="003432B3">
      <w:pPr>
        <w:autoSpaceDE w:val="0"/>
        <w:autoSpaceDN w:val="0"/>
        <w:adjustRightInd w:val="0"/>
        <w:ind w:firstLine="993"/>
        <w:jc w:val="both"/>
      </w:pPr>
      <w:r>
        <w:rPr>
          <w:lang w:val="es-AR"/>
        </w:rPr>
        <w:t xml:space="preserve">Habiendo venció del plazo para que la demandada </w:t>
      </w:r>
      <w:proofErr w:type="spellStart"/>
      <w:r>
        <w:rPr>
          <w:lang w:val="es-AR"/>
        </w:rPr>
        <w:t>Anses</w:t>
      </w:r>
      <w:proofErr w:type="spellEnd"/>
      <w:r>
        <w:rPr>
          <w:lang w:val="es-AR"/>
        </w:rPr>
        <w:t xml:space="preserve"> cumpla de manera correcta con la sentencia recaída en autos y teniendo en consideración su reiterada conducta de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3BF4AC11" w14:textId="77777777" w:rsidR="003432B3" w:rsidRDefault="003432B3" w:rsidP="003432B3">
      <w:pPr>
        <w:autoSpaceDE w:val="0"/>
        <w:autoSpaceDN w:val="0"/>
        <w:adjustRightInd w:val="0"/>
        <w:ind w:firstLine="993"/>
        <w:jc w:val="both"/>
        <w:rPr>
          <w:b/>
          <w:bCs/>
        </w:rPr>
      </w:pPr>
    </w:p>
    <w:p w14:paraId="3479E3D0" w14:textId="77777777" w:rsidR="003432B3" w:rsidRDefault="003432B3" w:rsidP="003432B3">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43258205" w14:textId="77777777" w:rsidR="003432B3" w:rsidRDefault="003432B3" w:rsidP="003432B3">
      <w:pPr>
        <w:autoSpaceDE w:val="0"/>
        <w:autoSpaceDN w:val="0"/>
        <w:adjustRightInd w:val="0"/>
        <w:ind w:firstLine="1134"/>
        <w:jc w:val="both"/>
        <w:rPr>
          <w:lang w:val="es-MX"/>
        </w:rPr>
      </w:pPr>
      <w:r>
        <w:rPr>
          <w:lang w:val="es-MX"/>
        </w:rPr>
        <w:t>Es una Tasa porcentual con relación al monto del capital, en la proporción temporal.</w:t>
      </w:r>
    </w:p>
    <w:p w14:paraId="10F9E365" w14:textId="77777777" w:rsidR="003432B3" w:rsidRDefault="003432B3" w:rsidP="003432B3">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5D954A8B" w14:textId="77777777" w:rsidR="003432B3" w:rsidRDefault="003432B3" w:rsidP="003432B3">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4359A0D2" w14:textId="77777777" w:rsidR="003432B3" w:rsidRDefault="003432B3" w:rsidP="003432B3">
      <w:pPr>
        <w:numPr>
          <w:ilvl w:val="0"/>
          <w:numId w:val="2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607B6876" w14:textId="77777777" w:rsidR="003432B3" w:rsidRDefault="003432B3" w:rsidP="003432B3">
      <w:pPr>
        <w:numPr>
          <w:ilvl w:val="0"/>
          <w:numId w:val="28"/>
        </w:numPr>
        <w:autoSpaceDE w:val="0"/>
        <w:autoSpaceDN w:val="0"/>
        <w:adjustRightInd w:val="0"/>
        <w:jc w:val="both"/>
        <w:rPr>
          <w:lang w:val="es-MX"/>
        </w:rPr>
      </w:pPr>
      <w:r>
        <w:rPr>
          <w:lang w:val="es-MX"/>
        </w:rPr>
        <w:t>Fecha de sentencia del Juez.</w:t>
      </w:r>
    </w:p>
    <w:p w14:paraId="79635E57" w14:textId="77777777" w:rsidR="003432B3" w:rsidRDefault="003432B3" w:rsidP="003432B3">
      <w:pPr>
        <w:numPr>
          <w:ilvl w:val="0"/>
          <w:numId w:val="28"/>
        </w:numPr>
        <w:autoSpaceDE w:val="0"/>
        <w:autoSpaceDN w:val="0"/>
        <w:adjustRightInd w:val="0"/>
        <w:jc w:val="both"/>
        <w:rPr>
          <w:lang w:val="es-MX"/>
        </w:rPr>
      </w:pPr>
      <w:r>
        <w:rPr>
          <w:lang w:val="es-MX"/>
        </w:rPr>
        <w:t>Fecha de cierre de la liquidación.</w:t>
      </w:r>
    </w:p>
    <w:p w14:paraId="742729E3" w14:textId="77777777" w:rsidR="003432B3" w:rsidRDefault="003432B3" w:rsidP="003432B3">
      <w:pPr>
        <w:numPr>
          <w:ilvl w:val="0"/>
          <w:numId w:val="28"/>
        </w:numPr>
        <w:autoSpaceDE w:val="0"/>
        <w:autoSpaceDN w:val="0"/>
        <w:adjustRightInd w:val="0"/>
        <w:jc w:val="both"/>
        <w:rPr>
          <w:lang w:val="es-MX"/>
        </w:rPr>
      </w:pPr>
      <w:r>
        <w:rPr>
          <w:lang w:val="es-MX"/>
        </w:rPr>
        <w:t>Desde la fecha de vencimiento de la sentencia ejecutoria.</w:t>
      </w:r>
    </w:p>
    <w:p w14:paraId="1D7ED417" w14:textId="77777777" w:rsidR="003432B3" w:rsidRDefault="003432B3" w:rsidP="003432B3">
      <w:pPr>
        <w:numPr>
          <w:ilvl w:val="0"/>
          <w:numId w:val="2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259B3C1E" w14:textId="77777777" w:rsidR="003432B3" w:rsidRDefault="003432B3" w:rsidP="003432B3">
      <w:pPr>
        <w:autoSpaceDE w:val="0"/>
        <w:autoSpaceDN w:val="0"/>
        <w:adjustRightInd w:val="0"/>
        <w:ind w:firstLine="1134"/>
        <w:jc w:val="both"/>
        <w:rPr>
          <w:lang w:val="es-MX"/>
        </w:rPr>
      </w:pPr>
    </w:p>
    <w:p w14:paraId="4F5E027F" w14:textId="77777777" w:rsidR="003432B3" w:rsidRDefault="003432B3" w:rsidP="003432B3">
      <w:pPr>
        <w:numPr>
          <w:ilvl w:val="0"/>
          <w:numId w:val="2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492936F" w14:textId="77777777" w:rsidR="003432B3" w:rsidRDefault="003432B3" w:rsidP="003432B3">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662EE63C" w14:textId="77777777" w:rsidR="003432B3" w:rsidRDefault="003432B3" w:rsidP="003432B3">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30436EA1"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 xml:space="preserve">Tasa Pasiva del Banco de la Nación Argentina TNA 167.38% </w:t>
      </w:r>
    </w:p>
    <w:p w14:paraId="25F7E05F"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316753BC"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Tuvo que endeudarse con tarjetas de créditos TNA 147.63%, siendo su CFTEA 302,81%</w:t>
      </w:r>
    </w:p>
    <w:p w14:paraId="6404281D"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Solicitar préstamos personales en Banco Nación, TNA 177,87%. CFT 425,20%</w:t>
      </w:r>
    </w:p>
    <w:p w14:paraId="0E83D20E" w14:textId="77777777" w:rsidR="003432B3" w:rsidRDefault="003432B3" w:rsidP="003432B3">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721E1DAD" w14:textId="77777777" w:rsidR="003432B3" w:rsidRDefault="003432B3" w:rsidP="003432B3">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086577B4" w14:textId="77777777" w:rsidR="003432B3" w:rsidRDefault="003432B3" w:rsidP="003432B3">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3432B3" w14:paraId="7A95E5D1" w14:textId="77777777" w:rsidTr="00D506F8">
        <w:trPr>
          <w:trHeight w:val="300"/>
          <w:jc w:val="center"/>
        </w:trPr>
        <w:tc>
          <w:tcPr>
            <w:tcW w:w="1843" w:type="dxa"/>
            <w:noWrap/>
            <w:vAlign w:val="bottom"/>
            <w:hideMark/>
          </w:tcPr>
          <w:p w14:paraId="37ADDFA0" w14:textId="77777777" w:rsidR="003432B3" w:rsidRDefault="003432B3" w:rsidP="00D506F8">
            <w:pPr>
              <w:rPr>
                <w:lang w:val="es-MX"/>
              </w:rPr>
            </w:pPr>
          </w:p>
        </w:tc>
        <w:tc>
          <w:tcPr>
            <w:tcW w:w="1559" w:type="dxa"/>
            <w:noWrap/>
            <w:vAlign w:val="bottom"/>
            <w:hideMark/>
          </w:tcPr>
          <w:p w14:paraId="2468CF8C" w14:textId="77777777" w:rsidR="003432B3" w:rsidRDefault="003432B3" w:rsidP="00D506F8">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63EF0034" w14:textId="77777777" w:rsidR="003432B3" w:rsidRDefault="003432B3" w:rsidP="00D506F8">
            <w:pPr>
              <w:rPr>
                <w:rFonts w:ascii="Calibri" w:hAnsi="Calibri" w:cs="Calibri"/>
                <w:b/>
                <w:bCs/>
                <w:color w:val="000000"/>
                <w:sz w:val="22"/>
                <w:szCs w:val="22"/>
              </w:rPr>
            </w:pPr>
          </w:p>
        </w:tc>
        <w:tc>
          <w:tcPr>
            <w:tcW w:w="1420" w:type="dxa"/>
            <w:noWrap/>
            <w:vAlign w:val="bottom"/>
            <w:hideMark/>
          </w:tcPr>
          <w:p w14:paraId="62E7BCA1" w14:textId="77777777" w:rsidR="003432B3" w:rsidRDefault="003432B3" w:rsidP="00D506F8">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6F3C6259" w14:textId="77777777" w:rsidR="003432B3" w:rsidRDefault="003432B3" w:rsidP="00D506F8">
            <w:pPr>
              <w:rPr>
                <w:rFonts w:ascii="Calibri" w:hAnsi="Calibri" w:cs="Calibri"/>
                <w:color w:val="000000"/>
                <w:sz w:val="22"/>
                <w:szCs w:val="22"/>
              </w:rPr>
            </w:pPr>
          </w:p>
        </w:tc>
      </w:tr>
      <w:tr w:rsidR="003432B3" w14:paraId="611D56E8" w14:textId="77777777" w:rsidTr="00D506F8">
        <w:trPr>
          <w:trHeight w:val="300"/>
          <w:jc w:val="center"/>
        </w:trPr>
        <w:tc>
          <w:tcPr>
            <w:tcW w:w="1843" w:type="dxa"/>
            <w:noWrap/>
            <w:vAlign w:val="bottom"/>
            <w:hideMark/>
          </w:tcPr>
          <w:p w14:paraId="639E7BEF" w14:textId="77777777" w:rsidR="003432B3" w:rsidRDefault="003432B3" w:rsidP="00D506F8">
            <w:pPr>
              <w:rPr>
                <w:sz w:val="20"/>
                <w:szCs w:val="20"/>
                <w:lang w:val="es-AR" w:eastAsia="es-AR"/>
              </w:rPr>
            </w:pPr>
          </w:p>
        </w:tc>
        <w:tc>
          <w:tcPr>
            <w:tcW w:w="1559" w:type="dxa"/>
            <w:noWrap/>
            <w:vAlign w:val="bottom"/>
            <w:hideMark/>
          </w:tcPr>
          <w:p w14:paraId="52056726" w14:textId="77777777" w:rsidR="003432B3" w:rsidRDefault="003432B3" w:rsidP="00D506F8">
            <w:pPr>
              <w:rPr>
                <w:sz w:val="20"/>
                <w:szCs w:val="20"/>
                <w:lang w:val="es-AR" w:eastAsia="es-AR"/>
              </w:rPr>
            </w:pPr>
          </w:p>
        </w:tc>
        <w:tc>
          <w:tcPr>
            <w:tcW w:w="1108" w:type="dxa"/>
            <w:noWrap/>
            <w:vAlign w:val="bottom"/>
            <w:hideMark/>
          </w:tcPr>
          <w:p w14:paraId="34530927" w14:textId="77777777" w:rsidR="003432B3" w:rsidRDefault="003432B3" w:rsidP="00D506F8">
            <w:pPr>
              <w:rPr>
                <w:sz w:val="20"/>
                <w:szCs w:val="20"/>
                <w:lang w:val="es-AR" w:eastAsia="es-AR"/>
              </w:rPr>
            </w:pPr>
          </w:p>
        </w:tc>
        <w:tc>
          <w:tcPr>
            <w:tcW w:w="1420" w:type="dxa"/>
            <w:noWrap/>
            <w:vAlign w:val="bottom"/>
            <w:hideMark/>
          </w:tcPr>
          <w:p w14:paraId="7092E9AB" w14:textId="77777777" w:rsidR="003432B3" w:rsidRDefault="003432B3" w:rsidP="00D506F8">
            <w:pPr>
              <w:rPr>
                <w:sz w:val="20"/>
                <w:szCs w:val="20"/>
                <w:lang w:val="es-AR" w:eastAsia="es-AR"/>
              </w:rPr>
            </w:pPr>
          </w:p>
        </w:tc>
        <w:tc>
          <w:tcPr>
            <w:tcW w:w="1420" w:type="dxa"/>
            <w:noWrap/>
            <w:vAlign w:val="bottom"/>
            <w:hideMark/>
          </w:tcPr>
          <w:p w14:paraId="4F1B306B" w14:textId="77777777" w:rsidR="003432B3" w:rsidRDefault="003432B3" w:rsidP="00D506F8">
            <w:pPr>
              <w:rPr>
                <w:sz w:val="20"/>
                <w:szCs w:val="20"/>
                <w:lang w:val="es-AR" w:eastAsia="es-AR"/>
              </w:rPr>
            </w:pPr>
          </w:p>
        </w:tc>
      </w:tr>
      <w:tr w:rsidR="003432B3" w14:paraId="67FC04AB" w14:textId="77777777" w:rsidTr="00D506F8">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3D9BDA8C"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1F1C05A7"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11119483"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6A7B2BF2"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1251D243"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3432B3" w14:paraId="03F9F50B"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4A4BF407"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5EDD9D90"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76F2822A"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507871D4"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37B3B380"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3432B3" w14:paraId="4674C187"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73A5BAC"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04DBA390"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791E8920"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237F8B36"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6F0C5062"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177,87%</w:t>
            </w:r>
          </w:p>
        </w:tc>
      </w:tr>
      <w:tr w:rsidR="003432B3" w14:paraId="56C0ECCD"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083130B0"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62257ED7"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537FF311"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6E9CC1C4"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0EC2804E"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1.778.700</w:t>
            </w:r>
          </w:p>
        </w:tc>
      </w:tr>
      <w:tr w:rsidR="003432B3" w14:paraId="2A8C5A18"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424964B7"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14A99E12"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4A21C6FF"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0CDBEFCB"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6C8AF956"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2.778.700</w:t>
            </w:r>
          </w:p>
        </w:tc>
      </w:tr>
    </w:tbl>
    <w:p w14:paraId="65691C50" w14:textId="77777777" w:rsidR="003432B3" w:rsidRDefault="003432B3" w:rsidP="003432B3">
      <w:pPr>
        <w:autoSpaceDE w:val="0"/>
        <w:autoSpaceDN w:val="0"/>
        <w:adjustRightInd w:val="0"/>
        <w:ind w:firstLine="1134"/>
        <w:jc w:val="both"/>
        <w:rPr>
          <w:lang w:val="es-MX"/>
        </w:rPr>
      </w:pPr>
    </w:p>
    <w:p w14:paraId="0C7021DA" w14:textId="77777777" w:rsidR="003432B3" w:rsidRDefault="003432B3" w:rsidP="003432B3">
      <w:pPr>
        <w:autoSpaceDE w:val="0"/>
        <w:autoSpaceDN w:val="0"/>
        <w:adjustRightInd w:val="0"/>
        <w:ind w:firstLine="1134"/>
        <w:jc w:val="both"/>
        <w:rPr>
          <w:lang w:val="es-AR"/>
        </w:rPr>
      </w:pPr>
      <w:r>
        <w:rPr>
          <w:lang w:val="es-AR"/>
        </w:rPr>
        <w:t xml:space="preserve">Hago reserva de ampliar la presente liquidación cuando VS fije la tasa, y el modo de liquidar los intereses sancionatorios. </w:t>
      </w:r>
      <w:r w:rsidRPr="000E0CD9">
        <w:rPr>
          <w:bCs/>
        </w:rPr>
        <w:t xml:space="preserve">{% </w:t>
      </w:r>
      <w:proofErr w:type="spellStart"/>
      <w:r w:rsidRPr="000E0CD9">
        <w:rPr>
          <w:bCs/>
        </w:rPr>
        <w:t>endif</w:t>
      </w:r>
      <w:proofErr w:type="spellEnd"/>
      <w:r w:rsidRPr="000E0CD9">
        <w:rPr>
          <w:bCs/>
        </w:rPr>
        <w:t xml:space="preserve"> %}</w:t>
      </w: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212425DB" w14:textId="77777777" w:rsidR="003432B3" w:rsidRDefault="003432B3" w:rsidP="003432B3">
      <w:pPr>
        <w:numPr>
          <w:ilvl w:val="0"/>
          <w:numId w:val="16"/>
        </w:numPr>
        <w:autoSpaceDE w:val="0"/>
        <w:autoSpaceDN w:val="0"/>
        <w:adjustRightInd w:val="0"/>
        <w:jc w:val="both"/>
        <w:rPr>
          <w:lang w:val="es-AR"/>
        </w:rPr>
      </w:pPr>
      <w:r>
        <w:rPr>
          <w:b/>
          <w:bCs/>
        </w:rPr>
        <w:t xml:space="preserve">Actualización monetaria </w:t>
      </w:r>
    </w:p>
    <w:p w14:paraId="02CD11B0" w14:textId="77777777" w:rsidR="003432B3" w:rsidRDefault="003432B3" w:rsidP="003432B3">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102C3939" w14:textId="77777777" w:rsidR="003432B3" w:rsidRDefault="003432B3" w:rsidP="003432B3">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9" w:tgtFrame="_blank" w:history="1">
        <w:r>
          <w:rPr>
            <w:rStyle w:val="Hipervnculo"/>
            <w:i/>
            <w:iCs/>
            <w:color w:val="337AB7"/>
            <w:lang w:eastAsia="es-AR"/>
          </w:rPr>
          <w:t>Fallos: 323:1122, “</w:t>
        </w:r>
        <w:proofErr w:type="spellStart"/>
        <w:r>
          <w:rPr>
            <w:rStyle w:val="Hipervnculo"/>
            <w:i/>
            <w:iCs/>
            <w:color w:val="337AB7"/>
            <w:lang w:eastAsia="es-AR"/>
          </w:rPr>
          <w:t>Bianculli</w:t>
        </w:r>
        <w:proofErr w:type="spellEnd"/>
        <w:r>
          <w:rPr>
            <w:rStyle w:val="Hipervnculo"/>
            <w:i/>
            <w:iCs/>
            <w:color w:val="337AB7"/>
            <w:lang w:eastAsia="es-AR"/>
          </w:rPr>
          <w:t>”</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0B9C009A" w14:textId="77777777" w:rsidR="003432B3" w:rsidRDefault="003432B3" w:rsidP="003432B3">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30" w:history="1">
        <w:r w:rsidRPr="0015171B">
          <w:rPr>
            <w:rStyle w:val="Hipervnculo"/>
            <w:lang w:val="es-AR" w:eastAsia="es-AR"/>
          </w:rPr>
          <w:t>“</w:t>
        </w:r>
        <w:r w:rsidRPr="0015171B">
          <w:rPr>
            <w:rStyle w:val="Hipervnculo"/>
            <w:lang w:eastAsia="es-AR"/>
          </w:rPr>
          <w:t xml:space="preserve">Recurso Queja </w:t>
        </w:r>
        <w:proofErr w:type="spellStart"/>
        <w:r w:rsidRPr="0015171B">
          <w:rPr>
            <w:rStyle w:val="Hipervnculo"/>
            <w:lang w:eastAsia="es-AR"/>
          </w:rPr>
          <w:t>Nº</w:t>
        </w:r>
        <w:proofErr w:type="spellEnd"/>
        <w:r w:rsidRPr="0015171B">
          <w:rPr>
            <w:rStyle w:val="Hipervnculo"/>
            <w:lang w:eastAsia="es-AR"/>
          </w:rPr>
          <w:t xml:space="preserve">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1" w:tgtFrame="_blank" w:history="1">
        <w:r>
          <w:rPr>
            <w:rStyle w:val="Hipervnculo"/>
            <w:i/>
            <w:iCs/>
            <w:color w:val="337AB7"/>
            <w:lang w:eastAsia="es-AR"/>
          </w:rPr>
          <w:t>Fallos: 328:4013</w:t>
        </w:r>
      </w:hyperlink>
      <w:r>
        <w:rPr>
          <w:i/>
          <w:iCs/>
          <w:color w:val="333333"/>
          <w:lang w:eastAsia="es-AR"/>
        </w:rPr>
        <w:t>, “F., L.”, considerandos 11° y 12°).</w:t>
      </w:r>
    </w:p>
    <w:p w14:paraId="7ACFC399" w14:textId="77777777" w:rsidR="003432B3" w:rsidRDefault="003432B3" w:rsidP="003432B3">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F8FB281" w14:textId="77777777" w:rsidR="003432B3" w:rsidRDefault="003432B3" w:rsidP="003432B3">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BFC453" w14:textId="77777777" w:rsidR="003432B3" w:rsidRDefault="003432B3" w:rsidP="003432B3">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2" w:history="1">
        <w:r>
          <w:rPr>
            <w:rStyle w:val="Hipervnculo"/>
            <w:color w:val="0563C1"/>
            <w:lang w:eastAsia="es-AR"/>
          </w:rPr>
          <w:t>“Itzcovich”(</w:t>
        </w:r>
      </w:hyperlink>
      <w:r>
        <w:rPr>
          <w:lang w:eastAsia="es-AR"/>
        </w:rPr>
        <w:t>328:566),</w:t>
      </w:r>
      <w:hyperlink r:id="rId33" w:history="1">
        <w:r>
          <w:rPr>
            <w:rStyle w:val="Hipervnculo"/>
            <w:color w:val="0563C1"/>
            <w:lang w:eastAsia="es-AR"/>
          </w:rPr>
          <w:t>“Sánchez”</w:t>
        </w:r>
      </w:hyperlink>
      <w:r>
        <w:rPr>
          <w:lang w:eastAsia="es-AR"/>
        </w:rPr>
        <w:t>(328:1602),</w:t>
      </w:r>
      <w:hyperlink r:id="rId34" w:history="1">
        <w:r>
          <w:rPr>
            <w:rStyle w:val="Hipervnculo"/>
            <w:color w:val="0563C1"/>
            <w:lang w:eastAsia="es-AR"/>
          </w:rPr>
          <w:t>“Blanco”(</w:t>
        </w:r>
      </w:hyperlink>
      <w:r>
        <w:rPr>
          <w:lang w:eastAsia="es-AR"/>
        </w:rPr>
        <w:t>341:1924)</w:t>
      </w:r>
      <w:hyperlink r:id="rId35" w:history="1">
        <w:r>
          <w:rPr>
            <w:rStyle w:val="Hipervnculo"/>
            <w:color w:val="0563C1"/>
            <w:lang w:eastAsia="es-AR"/>
          </w:rPr>
          <w:t>“Giménez”(</w:t>
        </w:r>
      </w:hyperlink>
      <w:r>
        <w:rPr>
          <w:lang w:eastAsia="es-AR"/>
        </w:rPr>
        <w:t>344:1788),“</w:t>
      </w:r>
      <w:hyperlink r:id="rId36"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55DB663D" w14:textId="77777777" w:rsidR="003432B3" w:rsidRDefault="003432B3" w:rsidP="003432B3">
      <w:pPr>
        <w:spacing w:after="160"/>
        <w:jc w:val="both"/>
      </w:pPr>
      <w:r>
        <w:t xml:space="preserve">Es bueno recordar que la </w:t>
      </w:r>
      <w:hyperlink r:id="rId37" w:history="1">
        <w:r>
          <w:rPr>
            <w:rStyle w:val="Hipervnculo"/>
            <w:color w:val="0563C1"/>
          </w:rPr>
          <w:t>ley 21.864</w:t>
        </w:r>
      </w:hyperlink>
      <w:r>
        <w:t xml:space="preserve"> establece: </w:t>
      </w:r>
    </w:p>
    <w:p w14:paraId="5CEE13F1"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347FDFF7"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28BFD149"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61CCAD17" w14:textId="77777777" w:rsidR="003432B3" w:rsidRDefault="003432B3" w:rsidP="003432B3">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041947D1" w14:textId="77777777" w:rsidR="003432B3" w:rsidRDefault="003432B3" w:rsidP="003432B3">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58E4C516" w14:textId="77777777" w:rsidR="003432B3" w:rsidRDefault="003432B3" w:rsidP="003432B3">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5B69C49E" w14:textId="77777777" w:rsidR="003432B3" w:rsidRDefault="003432B3" w:rsidP="003432B3">
      <w:pPr>
        <w:ind w:firstLine="709"/>
        <w:jc w:val="both"/>
      </w:pPr>
    </w:p>
    <w:p w14:paraId="03A8C342"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7C5776FE"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427CDB12"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b/>
          <w:bCs/>
          <w:lang w:eastAsia="es-AR"/>
        </w:rPr>
      </w:pPr>
    </w:p>
    <w:p w14:paraId="4AED117D" w14:textId="77777777" w:rsidR="003432B3" w:rsidRDefault="003432B3" w:rsidP="003432B3">
      <w:pPr>
        <w:shd w:val="clear" w:color="auto" w:fill="FFFFFF"/>
        <w:jc w:val="both"/>
        <w:rPr>
          <w:color w:val="333333"/>
          <w:lang w:eastAsia="es-AR"/>
        </w:rPr>
      </w:pPr>
    </w:p>
    <w:p w14:paraId="03C4BAFC" w14:textId="77777777" w:rsidR="003432B3" w:rsidRDefault="003432B3" w:rsidP="003432B3">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D460F78" w14:textId="77777777" w:rsidR="003432B3" w:rsidRDefault="003432B3" w:rsidP="003432B3">
      <w:pPr>
        <w:shd w:val="clear" w:color="auto" w:fill="FFFFFF"/>
        <w:ind w:firstLine="480"/>
        <w:jc w:val="both"/>
        <w:rPr>
          <w:color w:val="333333"/>
          <w:lang w:eastAsia="es-AR"/>
        </w:rPr>
      </w:pPr>
    </w:p>
    <w:p w14:paraId="73CC31BA" w14:textId="77777777" w:rsidR="003432B3" w:rsidRDefault="003432B3" w:rsidP="003432B3">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7B9CA32E" w14:textId="77777777" w:rsidR="003432B3" w:rsidRDefault="003432B3" w:rsidP="003432B3">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432D0A3B" w14:textId="77777777" w:rsidR="003432B3" w:rsidRPr="007A46B7" w:rsidRDefault="003432B3" w:rsidP="003432B3">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31EE5047" w14:textId="77777777" w:rsidR="003432B3" w:rsidRPr="00AC149E" w:rsidRDefault="003432B3" w:rsidP="003432B3">
      <w:pPr>
        <w:autoSpaceDE w:val="0"/>
        <w:autoSpaceDN w:val="0"/>
        <w:adjustRightInd w:val="0"/>
        <w:spacing w:line="276" w:lineRule="auto"/>
        <w:jc w:val="both"/>
        <w:rPr>
          <w:bCs/>
        </w:rPr>
      </w:pPr>
      <w:r w:rsidRPr="003E0AF8">
        <w:rPr>
          <w:bCs/>
        </w:rPr>
        <w:t>{</w:t>
      </w:r>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1A81135" w14:textId="77777777" w:rsidR="003432B3" w:rsidRPr="00544398" w:rsidRDefault="003432B3" w:rsidP="003432B3">
      <w:pPr>
        <w:numPr>
          <w:ilvl w:val="0"/>
          <w:numId w:val="16"/>
        </w:numPr>
        <w:autoSpaceDE w:val="0"/>
        <w:autoSpaceDN w:val="0"/>
        <w:adjustRightInd w:val="0"/>
        <w:spacing w:line="276" w:lineRule="auto"/>
        <w:jc w:val="both"/>
        <w:rPr>
          <w:b/>
        </w:rPr>
      </w:pPr>
      <w:r w:rsidRPr="00544398">
        <w:rPr>
          <w:b/>
        </w:rPr>
        <w:t>SOLICITO FIJE INDEMNIZACION POR DAÑOS</w:t>
      </w:r>
    </w:p>
    <w:p w14:paraId="67A903DB" w14:textId="77777777" w:rsidR="003432B3" w:rsidRPr="00544398" w:rsidRDefault="003432B3" w:rsidP="003432B3">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dado que no cumple con la obligación específica a su cargo, negándose a  reajustar el haber de mi mandante por lo que es un motivo más que valido para que se lo condene a pagar una indemnización por el daño causado</w:t>
      </w:r>
      <w:r>
        <w:t xml:space="preserve"> o, en su defecto pagar la deuda debidamente actualizada.</w:t>
      </w:r>
    </w:p>
    <w:p w14:paraId="5A05CE16" w14:textId="77777777" w:rsidR="003432B3" w:rsidRPr="00544398" w:rsidRDefault="003432B3" w:rsidP="003432B3">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t>.</w:t>
      </w:r>
      <w:r w:rsidRPr="00544398">
        <w:t xml:space="preserve"> 22 de la CN, fallos de la CSJN 308:1118; 327:3753.</w:t>
      </w:r>
    </w:p>
    <w:p w14:paraId="2BC0008E" w14:textId="77777777" w:rsidR="003432B3" w:rsidRPr="00DC57B8" w:rsidRDefault="003432B3" w:rsidP="003432B3">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FE203E6" w14:textId="77777777" w:rsidR="003432B3" w:rsidRPr="00544398" w:rsidRDefault="003432B3" w:rsidP="003432B3">
      <w:pPr>
        <w:autoSpaceDE w:val="0"/>
        <w:autoSpaceDN w:val="0"/>
        <w:adjustRightInd w:val="0"/>
        <w:spacing w:line="276" w:lineRule="auto"/>
        <w:ind w:firstLine="1134"/>
        <w:jc w:val="both"/>
        <w:rPr>
          <w:b/>
          <w:lang w:val="es-AR"/>
        </w:rPr>
      </w:pPr>
      <w:r w:rsidRPr="00544398">
        <w:rPr>
          <w:lang w:val="es-AR"/>
        </w:rPr>
        <w:t xml:space="preserve">El </w:t>
      </w:r>
      <w:r>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la condena, aniquila el mismo por la omisión durante casi una década de pagar el haber integral fijado en la sentencia, y los intereses fijados en la misma.</w:t>
      </w:r>
    </w:p>
    <w:p w14:paraId="1CBC973A" w14:textId="77777777" w:rsidR="003432B3" w:rsidRPr="00544398" w:rsidRDefault="003432B3" w:rsidP="003432B3">
      <w:pPr>
        <w:autoSpaceDE w:val="0"/>
        <w:autoSpaceDN w:val="0"/>
        <w:adjustRightInd w:val="0"/>
        <w:spacing w:line="276" w:lineRule="auto"/>
        <w:ind w:firstLine="1134"/>
        <w:jc w:val="both"/>
        <w:rPr>
          <w:lang w:val="es-AR"/>
        </w:rPr>
      </w:pPr>
      <w:r w:rsidRPr="00544398">
        <w:rPr>
          <w:lang w:val="es-AR"/>
        </w:rPr>
        <w:t>Como corolario de esta</w:t>
      </w:r>
      <w:r>
        <w:rPr>
          <w:lang w:val="es-AR"/>
        </w:rPr>
        <w:t>s</w:t>
      </w:r>
      <w:r w:rsidRPr="00544398">
        <w:rPr>
          <w:lang w:val="es-AR"/>
        </w:rPr>
        <w:t xml:space="preserve"> peticiones no puedo dejar de preguntarme que Sanción cabe por incumplir una sentencia judicial. ¿no tiene ninguna consecuencia, al menos para el Estado Nacional?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civilmente a los encargados de cumplirla, entonces que nos queda…. </w:t>
      </w:r>
    </w:p>
    <w:p w14:paraId="0A024B8A" w14:textId="77777777" w:rsidR="003432B3" w:rsidRPr="00544398" w:rsidRDefault="003432B3" w:rsidP="003432B3">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15189AD8" w14:textId="77777777" w:rsidR="003432B3" w:rsidRPr="00544398" w:rsidRDefault="003432B3" w:rsidP="003432B3">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6BF8FC4D" w14:textId="77777777" w:rsidR="003432B3" w:rsidRDefault="003432B3" w:rsidP="003432B3">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Pr>
          <w:lang w:val="es-AR"/>
        </w:rPr>
        <w:t xml:space="preserve">{% </w:t>
      </w:r>
      <w:proofErr w:type="spellStart"/>
      <w:r>
        <w:rPr>
          <w:lang w:val="es-AR"/>
        </w:rPr>
        <w:t>endif</w:t>
      </w:r>
      <w:proofErr w:type="spellEnd"/>
      <w:r>
        <w:rPr>
          <w:lang w:val="es-AR"/>
        </w:rPr>
        <w:t xml:space="preserve"> %}</w:t>
      </w:r>
    </w:p>
    <w:p w14:paraId="49F3F9C7" w14:textId="77777777" w:rsidR="003432B3" w:rsidRDefault="003432B3" w:rsidP="003432B3">
      <w:pPr>
        <w:autoSpaceDE w:val="0"/>
        <w:autoSpaceDN w:val="0"/>
        <w:adjustRightInd w:val="0"/>
        <w:spacing w:line="276" w:lineRule="auto"/>
        <w:rPr>
          <w:b/>
        </w:rPr>
      </w:pPr>
      <w:bookmarkStart w:id="5" w:name="_Hlk73292622"/>
    </w:p>
    <w:bookmarkEnd w:id="5"/>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6C094A">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6C094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06F49" w14:textId="77777777" w:rsidR="00397591" w:rsidRDefault="00397591" w:rsidP="00544398">
      <w:r>
        <w:separator/>
      </w:r>
    </w:p>
  </w:endnote>
  <w:endnote w:type="continuationSeparator" w:id="0">
    <w:p w14:paraId="429A4332" w14:textId="77777777" w:rsidR="00397591" w:rsidRDefault="00397591"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0CC0E" w14:textId="77777777" w:rsidR="00397591" w:rsidRDefault="00397591" w:rsidP="00544398">
      <w:r>
        <w:separator/>
      </w:r>
    </w:p>
  </w:footnote>
  <w:footnote w:type="continuationSeparator" w:id="0">
    <w:p w14:paraId="798F1188" w14:textId="77777777" w:rsidR="00397591" w:rsidRDefault="00397591" w:rsidP="00544398">
      <w:r>
        <w:continuationSeparator/>
      </w:r>
    </w:p>
  </w:footnote>
  <w:footnote w:id="1">
    <w:p w14:paraId="0676146D" w14:textId="77777777" w:rsidR="003432B3" w:rsidRPr="00F839E1" w:rsidRDefault="003432B3" w:rsidP="003432B3">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7AFA3CD0" w14:textId="77777777" w:rsidR="003432B3" w:rsidRDefault="003432B3" w:rsidP="003432B3">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684378EA" w14:textId="77777777" w:rsidR="003432B3" w:rsidRDefault="003432B3" w:rsidP="003432B3">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7F829AE5" w14:textId="77777777" w:rsidR="003432B3" w:rsidRDefault="003432B3" w:rsidP="003432B3">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7"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0"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4"/>
  </w:num>
  <w:num w:numId="2" w16cid:durableId="1394767369">
    <w:abstractNumId w:val="12"/>
  </w:num>
  <w:num w:numId="3" w16cid:durableId="353115471">
    <w:abstractNumId w:val="22"/>
  </w:num>
  <w:num w:numId="4" w16cid:durableId="536703649">
    <w:abstractNumId w:val="20"/>
  </w:num>
  <w:num w:numId="5" w16cid:durableId="1694653026">
    <w:abstractNumId w:val="17"/>
  </w:num>
  <w:num w:numId="6" w16cid:durableId="789976807">
    <w:abstractNumId w:val="18"/>
  </w:num>
  <w:num w:numId="7" w16cid:durableId="1638993850">
    <w:abstractNumId w:val="37"/>
  </w:num>
  <w:num w:numId="8" w16cid:durableId="371030438">
    <w:abstractNumId w:val="33"/>
  </w:num>
  <w:num w:numId="9" w16cid:durableId="514657670">
    <w:abstractNumId w:val="4"/>
  </w:num>
  <w:num w:numId="10" w16cid:durableId="68189566">
    <w:abstractNumId w:val="13"/>
  </w:num>
  <w:num w:numId="11" w16cid:durableId="564991493">
    <w:abstractNumId w:val="21"/>
  </w:num>
  <w:num w:numId="12" w16cid:durableId="2145542646">
    <w:abstractNumId w:val="6"/>
  </w:num>
  <w:num w:numId="13" w16cid:durableId="1446928861">
    <w:abstractNumId w:val="34"/>
  </w:num>
  <w:num w:numId="14" w16cid:durableId="817115184">
    <w:abstractNumId w:val="3"/>
  </w:num>
  <w:num w:numId="15" w16cid:durableId="1544174658">
    <w:abstractNumId w:val="0"/>
  </w:num>
  <w:num w:numId="16" w16cid:durableId="1959095858">
    <w:abstractNumId w:val="11"/>
  </w:num>
  <w:num w:numId="17" w16cid:durableId="1063678052">
    <w:abstractNumId w:val="23"/>
  </w:num>
  <w:num w:numId="18" w16cid:durableId="81950900">
    <w:abstractNumId w:val="19"/>
  </w:num>
  <w:num w:numId="19" w16cid:durableId="1660962654">
    <w:abstractNumId w:val="10"/>
  </w:num>
  <w:num w:numId="20" w16cid:durableId="491677715">
    <w:abstractNumId w:val="31"/>
  </w:num>
  <w:num w:numId="21" w16cid:durableId="1676223724">
    <w:abstractNumId w:val="35"/>
  </w:num>
  <w:num w:numId="22" w16cid:durableId="518199460">
    <w:abstractNumId w:val="9"/>
  </w:num>
  <w:num w:numId="23" w16cid:durableId="291911203">
    <w:abstractNumId w:val="1"/>
  </w:num>
  <w:num w:numId="24" w16cid:durableId="762149399">
    <w:abstractNumId w:val="15"/>
  </w:num>
  <w:num w:numId="25" w16cid:durableId="457534302">
    <w:abstractNumId w:val="29"/>
  </w:num>
  <w:num w:numId="26" w16cid:durableId="1371344008">
    <w:abstractNumId w:val="32"/>
  </w:num>
  <w:num w:numId="27" w16cid:durableId="1643345352">
    <w:abstractNumId w:val="25"/>
  </w:num>
  <w:num w:numId="28" w16cid:durableId="1154564874">
    <w:abstractNumId w:val="38"/>
  </w:num>
  <w:num w:numId="29" w16cid:durableId="144013780">
    <w:abstractNumId w:val="36"/>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27"/>
  </w:num>
  <w:num w:numId="35" w16cid:durableId="1882857242">
    <w:abstractNumId w:val="16"/>
  </w:num>
  <w:num w:numId="36" w16cid:durableId="1386949680">
    <w:abstractNumId w:val="26"/>
  </w:num>
  <w:num w:numId="37" w16cid:durableId="1596865373">
    <w:abstractNumId w:val="30"/>
  </w:num>
  <w:num w:numId="38" w16cid:durableId="546188242">
    <w:abstractNumId w:val="5"/>
  </w:num>
  <w:num w:numId="39" w16cid:durableId="1291397354">
    <w:abstractNumId w:val="28"/>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5"/>
  </w:num>
  <w:num w:numId="42" w16cid:durableId="2116511693">
    <w:abstractNumId w:val="38"/>
  </w:num>
  <w:num w:numId="43" w16cid:durableId="1850369311">
    <w:abstractNumId w:val="36"/>
  </w:num>
  <w:num w:numId="44" w16cid:durableId="32585970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3954"/>
    <w:rsid w:val="000B0004"/>
    <w:rsid w:val="000B05C2"/>
    <w:rsid w:val="000B24DF"/>
    <w:rsid w:val="000C10B7"/>
    <w:rsid w:val="000C3B50"/>
    <w:rsid w:val="000D3E80"/>
    <w:rsid w:val="000D4D00"/>
    <w:rsid w:val="000D7C9A"/>
    <w:rsid w:val="000E250F"/>
    <w:rsid w:val="000E548B"/>
    <w:rsid w:val="000F16D1"/>
    <w:rsid w:val="000F1F8D"/>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D0D44"/>
    <w:rsid w:val="002D16BD"/>
    <w:rsid w:val="002D3DB2"/>
    <w:rsid w:val="002D50A8"/>
    <w:rsid w:val="002E6FDD"/>
    <w:rsid w:val="00300140"/>
    <w:rsid w:val="0030151D"/>
    <w:rsid w:val="00304669"/>
    <w:rsid w:val="003059A3"/>
    <w:rsid w:val="00325EE8"/>
    <w:rsid w:val="003273DA"/>
    <w:rsid w:val="00332CCB"/>
    <w:rsid w:val="003432B3"/>
    <w:rsid w:val="00351066"/>
    <w:rsid w:val="00351CE0"/>
    <w:rsid w:val="0035686A"/>
    <w:rsid w:val="003609CD"/>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328ED"/>
    <w:rsid w:val="00433AE3"/>
    <w:rsid w:val="00434661"/>
    <w:rsid w:val="00437EF4"/>
    <w:rsid w:val="00440856"/>
    <w:rsid w:val="00441402"/>
    <w:rsid w:val="00444858"/>
    <w:rsid w:val="00452F07"/>
    <w:rsid w:val="0045440C"/>
    <w:rsid w:val="0046169C"/>
    <w:rsid w:val="004649E1"/>
    <w:rsid w:val="00465418"/>
    <w:rsid w:val="00470E42"/>
    <w:rsid w:val="004724A4"/>
    <w:rsid w:val="00482DBB"/>
    <w:rsid w:val="00484055"/>
    <w:rsid w:val="00487E1F"/>
    <w:rsid w:val="00490368"/>
    <w:rsid w:val="00493D7E"/>
    <w:rsid w:val="00495C3C"/>
    <w:rsid w:val="004A01A9"/>
    <w:rsid w:val="004A77F5"/>
    <w:rsid w:val="004B37D2"/>
    <w:rsid w:val="004B3A3B"/>
    <w:rsid w:val="004B433C"/>
    <w:rsid w:val="004C3C07"/>
    <w:rsid w:val="004C6AF1"/>
    <w:rsid w:val="004C7ED2"/>
    <w:rsid w:val="004D060E"/>
    <w:rsid w:val="004D3E7F"/>
    <w:rsid w:val="004D50D6"/>
    <w:rsid w:val="004D6FCF"/>
    <w:rsid w:val="004E13CC"/>
    <w:rsid w:val="004E15B1"/>
    <w:rsid w:val="004E47C1"/>
    <w:rsid w:val="004E5E90"/>
    <w:rsid w:val="004E7FA7"/>
    <w:rsid w:val="005011D9"/>
    <w:rsid w:val="0050381F"/>
    <w:rsid w:val="00503821"/>
    <w:rsid w:val="00504693"/>
    <w:rsid w:val="00505DBA"/>
    <w:rsid w:val="0051308D"/>
    <w:rsid w:val="0051413C"/>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701454"/>
    <w:rsid w:val="0070652F"/>
    <w:rsid w:val="00706C83"/>
    <w:rsid w:val="00712FEB"/>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6310"/>
    <w:rsid w:val="008C65BE"/>
    <w:rsid w:val="008D0698"/>
    <w:rsid w:val="008D15B9"/>
    <w:rsid w:val="008D6706"/>
    <w:rsid w:val="008E0128"/>
    <w:rsid w:val="008E6B50"/>
    <w:rsid w:val="008F3D97"/>
    <w:rsid w:val="008F5ED6"/>
    <w:rsid w:val="00900FFF"/>
    <w:rsid w:val="00903B8A"/>
    <w:rsid w:val="0090413C"/>
    <w:rsid w:val="00904CD0"/>
    <w:rsid w:val="00916E36"/>
    <w:rsid w:val="00917FF3"/>
    <w:rsid w:val="00920A5B"/>
    <w:rsid w:val="009222A3"/>
    <w:rsid w:val="009247D7"/>
    <w:rsid w:val="009301F0"/>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78C9"/>
    <w:rsid w:val="00A70BD9"/>
    <w:rsid w:val="00A84118"/>
    <w:rsid w:val="00A97ADA"/>
    <w:rsid w:val="00AA2E52"/>
    <w:rsid w:val="00AB62F5"/>
    <w:rsid w:val="00AC2E5B"/>
    <w:rsid w:val="00AF4BE1"/>
    <w:rsid w:val="00B01D5B"/>
    <w:rsid w:val="00B03406"/>
    <w:rsid w:val="00B0623E"/>
    <w:rsid w:val="00B10030"/>
    <w:rsid w:val="00B20124"/>
    <w:rsid w:val="00B304C9"/>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C3885"/>
    <w:rsid w:val="00DC4E56"/>
    <w:rsid w:val="00DC57B8"/>
    <w:rsid w:val="00DD0142"/>
    <w:rsid w:val="00DD0392"/>
    <w:rsid w:val="00DD226B"/>
    <w:rsid w:val="00DD4BC1"/>
    <w:rsid w:val="00DD67BD"/>
    <w:rsid w:val="00DE444A"/>
    <w:rsid w:val="00E105F7"/>
    <w:rsid w:val="00E3636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39" Type="http://schemas.openxmlformats.org/officeDocument/2006/relationships/theme" Target="theme/theme1.xm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4966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583894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consultaSumarios/buscarTomoPagina.html?tomo=323&amp;pagina=11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796151" TargetMode="External"/><Relationship Id="rId37" Type="http://schemas.openxmlformats.org/officeDocument/2006/relationships/hyperlink" Target="https://www.argentina.gob.ar/normativa/nacional/ley-21864-48989/actualizacion" TargetMode="Externa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image" Target="media/image6.png"/><Relationship Id="rId36" Type="http://schemas.openxmlformats.org/officeDocument/2006/relationships/hyperlink" Target="https://sjconsulta.csjn.gov.ar/sjconsulta/documentos/verDocumentoByIdLinksJSP.html?idDocumento=7717371"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consultaSumarios/buscarTomoPagina.html?tomo=328&amp;pagina=401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documentos/verDocumentoByIdLinksJSP.html?idDocumento=7927263&amp;cache=1709292121762" TargetMode="External"/><Relationship Id="rId35" Type="http://schemas.openxmlformats.org/officeDocument/2006/relationships/hyperlink" Target="https://sjconsulta.csjn.gov.ar/sjconsulta/documentos/verDocumentoByIdLinksJSP.html?idDocumento=767891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23</Pages>
  <Words>9309</Words>
  <Characters>51205</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60394</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19</cp:revision>
  <cp:lastPrinted>2023-09-18T13:30:00Z</cp:lastPrinted>
  <dcterms:created xsi:type="dcterms:W3CDTF">2024-07-09T16:44:00Z</dcterms:created>
  <dcterms:modified xsi:type="dcterms:W3CDTF">2024-12-18T18:22:00Z</dcterms:modified>
</cp:coreProperties>
</file>