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93A34" w14:textId="77777777" w:rsidR="001C182E" w:rsidRDefault="00A5011E" w:rsidP="0064165E">
      <w:pPr>
        <w:autoSpaceDE w:val="0"/>
        <w:autoSpaceDN w:val="0"/>
        <w:adjustRightInd w:val="0"/>
        <w:jc w:val="both"/>
      </w:pPr>
      <w:r>
        <w:rPr>
          <w:b/>
          <w:bCs/>
          <w:u w:val="single"/>
        </w:rPr>
        <w:t xml:space="preserve">Impugno. </w:t>
      </w:r>
      <w:r w:rsidR="00444858" w:rsidRPr="00677014">
        <w:rPr>
          <w:b/>
          <w:bCs/>
          <w:u w:val="single"/>
        </w:rPr>
        <w:t>ADJUNTO PLANILLA DE LIQUIDACION</w:t>
      </w:r>
      <w:r w:rsidR="00220B58" w:rsidRPr="00677014">
        <w:rPr>
          <w:b/>
          <w:bCs/>
          <w:u w:val="single"/>
        </w:rPr>
        <w:t xml:space="preserve"> </w:t>
      </w:r>
      <w:r>
        <w:rPr>
          <w:b/>
          <w:bCs/>
          <w:u w:val="single"/>
        </w:rPr>
        <w:t>por diferencias</w:t>
      </w:r>
    </w:p>
    <w:p w14:paraId="239A9F47" w14:textId="77777777" w:rsidR="00CD7E18" w:rsidRDefault="00CD7E18" w:rsidP="0064165E">
      <w:pPr>
        <w:autoSpaceDE w:val="0"/>
        <w:autoSpaceDN w:val="0"/>
        <w:adjustRightInd w:val="0"/>
        <w:jc w:val="both"/>
      </w:pPr>
    </w:p>
    <w:p w14:paraId="61217806" w14:textId="77777777" w:rsidR="004A01A9" w:rsidRPr="00241391" w:rsidRDefault="004A01A9" w:rsidP="004A01A9">
      <w:pPr>
        <w:autoSpaceDE w:val="0"/>
        <w:autoSpaceDN w:val="0"/>
        <w:adjustRightInd w:val="0"/>
        <w:spacing w:line="276" w:lineRule="auto"/>
        <w:jc w:val="both"/>
      </w:pPr>
      <w:r w:rsidRPr="00241391">
        <w:t>Señor Juez:</w:t>
      </w:r>
    </w:p>
    <w:p w14:paraId="5C067158" w14:textId="77777777" w:rsidR="004A01A9" w:rsidRDefault="004A01A9" w:rsidP="004A01A9">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r w:rsidRPr="00241391">
        <w:t xml:space="preserve">Nº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w:t>
      </w:r>
      <w:r w:rsidRPr="00AC6EFE">
        <w:rPr>
          <w:b/>
          <w:bCs/>
        </w:rPr>
        <w:t>cliente</w:t>
      </w:r>
      <w:r>
        <w:rPr>
          <w:b/>
          <w:bCs/>
        </w:rPr>
        <w:t xml:space="preserve">}} </w:t>
      </w:r>
      <w:r w:rsidRPr="00947C76">
        <w:rPr>
          <w:b/>
          <w:bCs/>
        </w:rPr>
        <w:t xml:space="preserve">c/ ANSES s/ REAJUSTES VARIOS” </w:t>
      </w:r>
      <w:r w:rsidRPr="000F1642">
        <w:rPr>
          <w:b/>
          <w:bCs/>
        </w:rPr>
        <w:t>Expte</w:t>
      </w:r>
      <w:r w:rsidRPr="004E7FA7">
        <w:t xml:space="preserve">. Nº </w:t>
      </w:r>
      <w:r>
        <w:t>{{</w:t>
      </w:r>
      <w:r w:rsidRPr="004A1A81">
        <w:t>expediente</w:t>
      </w:r>
      <w:r>
        <w:t xml:space="preserve">}} </w:t>
      </w:r>
      <w:r w:rsidRPr="00166649">
        <w:t>a V.S. muy respetuosamente digo:</w:t>
      </w:r>
    </w:p>
    <w:p w14:paraId="7E371DC6" w14:textId="77777777" w:rsidR="004A01A9" w:rsidRDefault="004A01A9" w:rsidP="004A01A9">
      <w:pPr>
        <w:autoSpaceDE w:val="0"/>
        <w:autoSpaceDN w:val="0"/>
        <w:adjustRightInd w:val="0"/>
        <w:spacing w:line="276" w:lineRule="auto"/>
        <w:ind w:firstLine="1134"/>
        <w:jc w:val="both"/>
      </w:pPr>
    </w:p>
    <w:p w14:paraId="0843C088" w14:textId="7E3D62AA" w:rsidR="004A01A9" w:rsidRPr="004A01A9" w:rsidRDefault="004A01A9" w:rsidP="004A01A9">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0F4882AF" w14:textId="366B70EC" w:rsidR="004A01A9" w:rsidRDefault="004A01A9" w:rsidP="004A01A9">
      <w:pPr>
        <w:numPr>
          <w:ilvl w:val="0"/>
          <w:numId w:val="18"/>
        </w:numPr>
        <w:autoSpaceDE w:val="0"/>
        <w:autoSpaceDN w:val="0"/>
        <w:adjustRightInd w:val="0"/>
        <w:spacing w:line="276" w:lineRule="auto"/>
        <w:jc w:val="both"/>
      </w:pPr>
      <w:r>
        <w:t>Impugno liquidación de Anses.</w:t>
      </w:r>
    </w:p>
    <w:p w14:paraId="39F1C04F" w14:textId="4C846CA3" w:rsidR="004A01A9" w:rsidRDefault="004A01A9" w:rsidP="004A01A9">
      <w:pPr>
        <w:numPr>
          <w:ilvl w:val="0"/>
          <w:numId w:val="18"/>
        </w:numPr>
        <w:autoSpaceDE w:val="0"/>
        <w:autoSpaceDN w:val="0"/>
        <w:adjustRightInd w:val="0"/>
        <w:spacing w:line="276" w:lineRule="auto"/>
        <w:jc w:val="both"/>
      </w:pPr>
      <w:r>
        <w:t xml:space="preserve">De conformidad a lo previsto por el art. 503 del C.P.C.C, adjunto planilla de liquidación de las sentencias recaídas en autos y realizada de conformidad a las bases que allí se fijan. </w:t>
      </w:r>
    </w:p>
    <w:p w14:paraId="0A6B6860" w14:textId="77777777" w:rsidR="004A01A9" w:rsidRPr="0045440C" w:rsidRDefault="004A01A9" w:rsidP="004A01A9">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if </w:t>
      </w:r>
      <w:r w:rsidRPr="00B60232">
        <w:t>Honorarios_No</w:t>
      </w:r>
      <w:r>
        <w:t xml:space="preserve"> %}</w:t>
      </w:r>
    </w:p>
    <w:p w14:paraId="558FDDE6" w14:textId="77777777" w:rsidR="004A01A9" w:rsidRPr="0045440C" w:rsidRDefault="004A01A9" w:rsidP="004A01A9">
      <w:pPr>
        <w:numPr>
          <w:ilvl w:val="0"/>
          <w:numId w:val="18"/>
        </w:numPr>
        <w:autoSpaceDE w:val="0"/>
        <w:autoSpaceDN w:val="0"/>
        <w:adjustRightInd w:val="0"/>
        <w:spacing w:line="276" w:lineRule="auto"/>
        <w:jc w:val="both"/>
      </w:pPr>
      <w:r w:rsidRPr="0045440C">
        <w:t>Intime a la demandada a reajustar el haber bajo apercibimiento de aplicar astreintes ejemplificativas.</w:t>
      </w:r>
      <w:r>
        <w:t>{% endif %}</w:t>
      </w:r>
    </w:p>
    <w:p w14:paraId="0B40B526" w14:textId="77777777" w:rsidR="004A01A9" w:rsidRDefault="004A01A9" w:rsidP="004A01A9">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16CABD42" w14:textId="28070C40" w:rsidR="00D247C0" w:rsidRDefault="004A01A9" w:rsidP="00D247C0">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(pasivo comunicado 14290 BCRA) atento al periodo inflacionario que vivimos y la demora del juzgado producto del incumplimiento sistemática de Anses en cumplir INTEGRALMENTE la manda judicial.</w:t>
      </w:r>
      <w:r w:rsidR="00D247C0" w:rsidRPr="00D247C0">
        <w:t xml:space="preserve"> </w:t>
      </w:r>
      <w:r w:rsidR="00D247C0">
        <w:t>{% if ley_27609_Si or ley_27541_Si or ley_27426_Si %}</w:t>
      </w:r>
    </w:p>
    <w:p w14:paraId="4C721832" w14:textId="2776A946" w:rsidR="004A01A9" w:rsidRDefault="00D247C0" w:rsidP="00D247C0">
      <w:pPr>
        <w:numPr>
          <w:ilvl w:val="0"/>
          <w:numId w:val="18"/>
        </w:numPr>
        <w:autoSpaceDE w:val="0"/>
        <w:autoSpaceDN w:val="0"/>
        <w:adjustRightInd w:val="0"/>
        <w:spacing w:line="276" w:lineRule="auto"/>
        <w:jc w:val="both"/>
      </w:pPr>
      <w:r>
        <w:t>Dejo planteada la inconstitucionalidad de la {% if ley_27609_Si %} ley 27.609 {% endif %}{% if ley_27541_Si %}, ley 27.541 {% endif %}{% if ley_27426_Si %}, ley 27.426 {% endif %}.{% endif %}</w:t>
      </w:r>
    </w:p>
    <w:p w14:paraId="1DB9FFF6" w14:textId="7F00A6D5" w:rsidR="004A01A9" w:rsidRDefault="00793ACB" w:rsidP="004A01A9">
      <w:pPr>
        <w:numPr>
          <w:ilvl w:val="0"/>
          <w:numId w:val="18"/>
        </w:numPr>
        <w:autoSpaceDE w:val="0"/>
        <w:autoSpaceDN w:val="0"/>
        <w:adjustRightInd w:val="0"/>
        <w:spacing w:line="276" w:lineRule="auto"/>
        <w:jc w:val="both"/>
      </w:pPr>
      <w:r w:rsidRPr="003E4E89">
        <w:t xml:space="preserve">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w:t>
      </w:r>
      <w:r w:rsidRPr="003E4E89">
        <w:lastRenderedPageBreak/>
        <w:t>intereses, frutos y accesorios como parte de la base regulatoria</w:t>
      </w:r>
      <w:r>
        <w:t>.</w:t>
      </w:r>
      <w:r w:rsidR="004A01A9">
        <w:t xml:space="preserve">{% if </w:t>
      </w:r>
      <w:r w:rsidR="004A01A9" w:rsidRPr="000F370A">
        <w:t>Edad_Avanzada_Si</w:t>
      </w:r>
      <w:r w:rsidR="004A01A9">
        <w:t xml:space="preserve"> %}</w:t>
      </w:r>
    </w:p>
    <w:p w14:paraId="039D54E4" w14:textId="010BC831" w:rsidR="004A01A9" w:rsidRDefault="00717680" w:rsidP="004A01A9">
      <w:pPr>
        <w:numPr>
          <w:ilvl w:val="0"/>
          <w:numId w:val="18"/>
        </w:numPr>
        <w:autoSpaceDE w:val="0"/>
        <w:autoSpaceDN w:val="0"/>
        <w:adjustRightInd w:val="0"/>
        <w:spacing w:line="276" w:lineRule="auto"/>
        <w:jc w:val="both"/>
      </w:pPr>
      <w:r w:rsidRPr="003E4E89">
        <w:t xml:space="preserve">Solicito que se otorgue prioridad de pago en favor de mi mandante, en virtud de su edad avanzada, conforme a lo dispuesto en el artículo 4 de la Resolución de la Secretaría de Seguridad Social </w:t>
      </w:r>
      <w:hyperlink r:id="rId7" w:history="1">
        <w:r w:rsidRPr="003E4E89">
          <w:rPr>
            <w:rStyle w:val="Hipervnculo"/>
          </w:rPr>
          <w:t>N° 56/97</w:t>
        </w:r>
      </w:hyperlink>
      <w:r w:rsidRPr="003E4E89">
        <w:t>. Asimismo, solicito que se notifique expresamente esta resolución a la demandada ANSES y se la intime a otorgar trámite prioritario al expediente administrativo correspondiente.</w:t>
      </w:r>
      <w:r w:rsidR="004A01A9">
        <w:t>{% endif %}</w:t>
      </w:r>
    </w:p>
    <w:p w14:paraId="7904BE08" w14:textId="77777777" w:rsidR="0045440C" w:rsidRDefault="0045440C" w:rsidP="0064165E">
      <w:pPr>
        <w:autoSpaceDE w:val="0"/>
        <w:autoSpaceDN w:val="0"/>
        <w:adjustRightInd w:val="0"/>
        <w:ind w:firstLine="1134"/>
        <w:jc w:val="both"/>
      </w:pPr>
    </w:p>
    <w:p w14:paraId="45FB3E21" w14:textId="77777777" w:rsidR="009744EF" w:rsidRPr="0045440C" w:rsidRDefault="009744EF" w:rsidP="009744EF">
      <w:pPr>
        <w:autoSpaceDE w:val="0"/>
        <w:autoSpaceDN w:val="0"/>
        <w:adjustRightInd w:val="0"/>
        <w:ind w:left="720"/>
        <w:jc w:val="both"/>
      </w:pPr>
    </w:p>
    <w:p w14:paraId="528B5054" w14:textId="77777777" w:rsidR="009744EF" w:rsidRDefault="009744EF" w:rsidP="009744EF">
      <w:pPr>
        <w:numPr>
          <w:ilvl w:val="0"/>
          <w:numId w:val="16"/>
        </w:numPr>
        <w:autoSpaceDE w:val="0"/>
        <w:autoSpaceDN w:val="0"/>
        <w:adjustRightInd w:val="0"/>
        <w:ind w:left="0" w:firstLine="1134"/>
        <w:jc w:val="both"/>
        <w:rPr>
          <w:b/>
          <w:bCs/>
        </w:rPr>
      </w:pPr>
      <w:r w:rsidRPr="00185B07">
        <w:rPr>
          <w:b/>
          <w:bCs/>
        </w:rPr>
        <w:t>Impugno liquidación:</w:t>
      </w:r>
    </w:p>
    <w:p w14:paraId="45958646" w14:textId="77777777" w:rsidR="009744EF" w:rsidRDefault="009744EF" w:rsidP="009744EF">
      <w:pPr>
        <w:autoSpaceDE w:val="0"/>
        <w:autoSpaceDN w:val="0"/>
        <w:adjustRightInd w:val="0"/>
        <w:ind w:firstLine="993"/>
        <w:jc w:val="both"/>
      </w:pPr>
      <w:r w:rsidRPr="00185B07">
        <w:t>La liquidación de Anses adolece de los siguientes errores, que tornan invalida toda la liquidación.</w:t>
      </w:r>
    </w:p>
    <w:p w14:paraId="144D0A84" w14:textId="77777777" w:rsidR="009744EF" w:rsidRDefault="009744EF" w:rsidP="009744EF">
      <w:pPr>
        <w:numPr>
          <w:ilvl w:val="0"/>
          <w:numId w:val="36"/>
        </w:numPr>
        <w:autoSpaceDE w:val="0"/>
        <w:autoSpaceDN w:val="0"/>
        <w:adjustRightInd w:val="0"/>
      </w:pPr>
      <w:r>
        <w:t>NO reajusta PBU por lo cual toda la liquidación deviene errónea.</w:t>
      </w:r>
    </w:p>
    <w:p w14:paraId="6A9930AF" w14:textId="77777777" w:rsidR="009744EF" w:rsidRPr="008932B0" w:rsidRDefault="009744EF" w:rsidP="009744EF">
      <w:pPr>
        <w:numPr>
          <w:ilvl w:val="0"/>
          <w:numId w:val="36"/>
        </w:numPr>
        <w:autoSpaceDE w:val="0"/>
        <w:autoSpaceDN w:val="0"/>
        <w:adjustRightInd w:val="0"/>
        <w:jc w:val="both"/>
        <w:rPr>
          <w:b/>
          <w:bCs/>
        </w:rPr>
      </w:pPr>
      <w:r>
        <w:t>Corta los intereses tres meses antes del cierre de la liquidación.</w:t>
      </w:r>
    </w:p>
    <w:p w14:paraId="62892C24" w14:textId="77777777" w:rsidR="009744EF" w:rsidRDefault="009744EF" w:rsidP="009744EF">
      <w:pPr>
        <w:autoSpaceDE w:val="0"/>
        <w:autoSpaceDN w:val="0"/>
        <w:adjustRightInd w:val="0"/>
        <w:jc w:val="both"/>
      </w:pPr>
    </w:p>
    <w:p w14:paraId="5DADC5B3" w14:textId="77777777" w:rsidR="00224216" w:rsidRPr="00C14A7C" w:rsidRDefault="00224216" w:rsidP="00224216">
      <w:pPr>
        <w:autoSpaceDE w:val="0"/>
        <w:autoSpaceDN w:val="0"/>
        <w:adjustRightInd w:val="0"/>
        <w:spacing w:line="276" w:lineRule="auto"/>
        <w:ind w:firstLine="1134"/>
        <w:jc w:val="both"/>
        <w:rPr>
          <w:u w:val="single"/>
        </w:rPr>
      </w:pPr>
      <w:bookmarkStart w:id="0" w:name="_Hlk536778973"/>
    </w:p>
    <w:p w14:paraId="6E865DA2" w14:textId="77777777" w:rsidR="00224216" w:rsidRDefault="00224216" w:rsidP="00224216">
      <w:pPr>
        <w:numPr>
          <w:ilvl w:val="0"/>
          <w:numId w:val="16"/>
        </w:numPr>
        <w:autoSpaceDE w:val="0"/>
        <w:autoSpaceDN w:val="0"/>
        <w:adjustRightInd w:val="0"/>
        <w:spacing w:line="276" w:lineRule="auto"/>
        <w:ind w:left="0" w:firstLine="1134"/>
        <w:jc w:val="both"/>
      </w:pPr>
      <w:r>
        <w:t xml:space="preserve"> </w:t>
      </w:r>
      <w:r w:rsidRPr="0045440C">
        <w:rPr>
          <w:b/>
          <w:bCs/>
        </w:rPr>
        <w:t>Documenta</w:t>
      </w:r>
      <w:r>
        <w:t>l: La planilla se confecciono en base a la información brindada por la Anses (PRPA más recibos) y las sentencias recaídas en autos:</w:t>
      </w:r>
    </w:p>
    <w:p w14:paraId="33C3087D" w14:textId="77777777" w:rsidR="00224216" w:rsidRDefault="00224216" w:rsidP="00224216">
      <w:pPr>
        <w:autoSpaceDE w:val="0"/>
        <w:autoSpaceDN w:val="0"/>
        <w:adjustRightInd w:val="0"/>
        <w:spacing w:line="276" w:lineRule="auto"/>
        <w:ind w:left="1134"/>
        <w:jc w:val="both"/>
      </w:pPr>
      <w:r>
        <w:t>Sentencia de 1 ra instancia de fecha: {{</w:t>
      </w:r>
      <w:r w:rsidRPr="004A1A81">
        <w:t>Fecha_Sentencia_Primera</w:t>
      </w:r>
      <w:r>
        <w:t>}}</w:t>
      </w:r>
    </w:p>
    <w:p w14:paraId="5C2967F8" w14:textId="77777777" w:rsidR="00224216" w:rsidRDefault="00224216" w:rsidP="00224216">
      <w:pPr>
        <w:autoSpaceDE w:val="0"/>
        <w:autoSpaceDN w:val="0"/>
        <w:adjustRightInd w:val="0"/>
        <w:spacing w:line="276" w:lineRule="auto"/>
        <w:ind w:left="1134"/>
        <w:jc w:val="both"/>
      </w:pPr>
      <w:r>
        <w:t xml:space="preserve">{% if </w:t>
      </w:r>
      <w:r w:rsidRPr="006C5E8F">
        <w:t>Sentencia_2da_Si</w:t>
      </w:r>
      <w:r>
        <w:t xml:space="preserve"> %}</w:t>
      </w:r>
    </w:p>
    <w:p w14:paraId="3B8676A7" w14:textId="77777777" w:rsidR="00224216" w:rsidRDefault="00224216" w:rsidP="00224216">
      <w:pPr>
        <w:autoSpaceDE w:val="0"/>
        <w:autoSpaceDN w:val="0"/>
        <w:adjustRightInd w:val="0"/>
        <w:spacing w:line="276" w:lineRule="auto"/>
        <w:ind w:left="1134"/>
        <w:jc w:val="both"/>
      </w:pPr>
      <w:r>
        <w:t>Sentencia de 2 da instancia,  {{</w:t>
      </w:r>
      <w:r w:rsidRPr="000D7A6C">
        <w:t>Sala</w:t>
      </w:r>
      <w:r>
        <w:t>}}, de fecha: {{</w:t>
      </w:r>
      <w:r w:rsidRPr="000D7A6C">
        <w:t>Sentencia_de_Segunda</w:t>
      </w:r>
      <w:r>
        <w:t>}}{% endif %}</w:t>
      </w:r>
    </w:p>
    <w:p w14:paraId="3082AB2D" w14:textId="77777777" w:rsidR="00224216" w:rsidRDefault="00224216" w:rsidP="00224216">
      <w:pPr>
        <w:autoSpaceDE w:val="0"/>
        <w:autoSpaceDN w:val="0"/>
        <w:adjustRightInd w:val="0"/>
        <w:spacing w:line="276" w:lineRule="auto"/>
        <w:ind w:firstLine="993"/>
        <w:jc w:val="both"/>
      </w:pPr>
      <w:r>
        <w:t>Solicito intime a Anses a adjuntar el RUB de mi mandante desde la Fecha inicial de pago hasta la actualidad, si VS lo considera necesario, adjunto los recibos obrantes en mi poder, y computo del haber de caja, reajustado y retroactivo que forman parte del presente escrito.</w:t>
      </w:r>
    </w:p>
    <w:p w14:paraId="1FEDB444" w14:textId="77777777" w:rsidR="00224216" w:rsidRDefault="00224216" w:rsidP="00224216">
      <w:pPr>
        <w:autoSpaceDE w:val="0"/>
        <w:autoSpaceDN w:val="0"/>
        <w:adjustRightInd w:val="0"/>
        <w:spacing w:line="276" w:lineRule="auto"/>
        <w:ind w:firstLine="993"/>
        <w:jc w:val="both"/>
      </w:pPr>
    </w:p>
    <w:p w14:paraId="7D296326" w14:textId="77777777" w:rsidR="00224216" w:rsidRDefault="00224216" w:rsidP="00224216">
      <w:pPr>
        <w:autoSpaceDE w:val="0"/>
        <w:autoSpaceDN w:val="0"/>
        <w:adjustRightInd w:val="0"/>
        <w:spacing w:line="276" w:lineRule="auto"/>
        <w:ind w:firstLine="993"/>
        <w:jc w:val="both"/>
      </w:pPr>
    </w:p>
    <w:p w14:paraId="37CDAFD4" w14:textId="77777777" w:rsidR="00224216" w:rsidRDefault="00224216" w:rsidP="00224216">
      <w:pPr>
        <w:autoSpaceDE w:val="0"/>
        <w:autoSpaceDN w:val="0"/>
        <w:adjustRightInd w:val="0"/>
        <w:spacing w:line="276" w:lineRule="auto"/>
        <w:jc w:val="both"/>
      </w:pPr>
    </w:p>
    <w:p w14:paraId="68DF17C7" w14:textId="77777777" w:rsidR="00224216" w:rsidRDefault="00224216" w:rsidP="00224216">
      <w:pPr>
        <w:autoSpaceDE w:val="0"/>
        <w:autoSpaceDN w:val="0"/>
        <w:adjustRightInd w:val="0"/>
        <w:spacing w:line="276" w:lineRule="auto"/>
        <w:ind w:firstLine="993"/>
        <w:jc w:val="both"/>
      </w:pPr>
    </w:p>
    <w:p w14:paraId="51A01D3C" w14:textId="77777777" w:rsidR="00224216" w:rsidRPr="0045440C" w:rsidRDefault="00224216" w:rsidP="00224216">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068E6EE0" w14:textId="77777777" w:rsidR="00224216" w:rsidRPr="001004A0" w:rsidRDefault="00224216" w:rsidP="00224216">
      <w:pPr>
        <w:autoSpaceDE w:val="0"/>
        <w:autoSpaceDN w:val="0"/>
        <w:adjustRightInd w:val="0"/>
        <w:spacing w:line="276" w:lineRule="auto"/>
        <w:ind w:firstLine="1134"/>
        <w:jc w:val="both"/>
        <w:rPr>
          <w:b/>
          <w:bCs/>
        </w:rPr>
      </w:pPr>
      <w:r>
        <w:t xml:space="preserve">Que vengo por la presente a promover ejecución de sentencia por las diferencias e intereses de los haberes no redeterminados por la ANSeS adeudados por el período comprendido entre </w:t>
      </w:r>
      <w:r>
        <w:rPr>
          <w:b/>
          <w:bCs/>
        </w:rPr>
        <w:t>{{</w:t>
      </w:r>
      <w:r w:rsidRPr="000E6A17">
        <w:rPr>
          <w:b/>
          <w:bCs/>
        </w:rPr>
        <w:t>Fecha_Inicial_de_Pago</w:t>
      </w:r>
      <w:r>
        <w:rPr>
          <w:b/>
          <w:bCs/>
        </w:rPr>
        <w:t>}} al {{</w:t>
      </w:r>
      <w:r w:rsidRPr="00274162">
        <w:rPr>
          <w:b/>
          <w:bCs/>
        </w:rPr>
        <w:t>Fecha_de_cierre_de_liquidación</w:t>
      </w:r>
      <w:r>
        <w:rPr>
          <w:b/>
          <w:bCs/>
        </w:rPr>
        <w:t xml:space="preserve">}} </w:t>
      </w:r>
      <w:r>
        <w:t xml:space="preserve">{% if </w:t>
      </w:r>
      <w:r w:rsidRPr="001B0EE2">
        <w:t>Pension_Si</w:t>
      </w:r>
      <w:r>
        <w:t xml:space="preserve"> %}</w:t>
      </w:r>
    </w:p>
    <w:p w14:paraId="21404651" w14:textId="77777777" w:rsidR="00224216" w:rsidRDefault="00224216" w:rsidP="00224216">
      <w:pPr>
        <w:numPr>
          <w:ilvl w:val="0"/>
          <w:numId w:val="24"/>
        </w:numPr>
        <w:autoSpaceDE w:val="0"/>
        <w:autoSpaceDN w:val="0"/>
        <w:adjustRightInd w:val="0"/>
        <w:ind w:left="0" w:firstLine="1058"/>
        <w:jc w:val="both"/>
      </w:pPr>
      <w:r>
        <w:t>{{cliente}} fallece en fecha {{</w:t>
      </w:r>
      <w:r w:rsidRPr="00B158C3">
        <w:t>fecha_fallecimiento</w:t>
      </w:r>
      <w:r>
        <w:t>}}, siendo su {{</w:t>
      </w:r>
      <w:r w:rsidRPr="00B158C3">
        <w:t>Receptor</w:t>
      </w:r>
      <w:r>
        <w:t>}}, {{</w:t>
      </w:r>
      <w:r w:rsidRPr="005C65E0">
        <w:t>nombre_receptor</w:t>
      </w:r>
      <w:r>
        <w:t>}}, quien percibe actualmente la pensión, por un porcentaje del {{</w:t>
      </w:r>
      <w:r w:rsidRPr="002832CA">
        <w:t>Porcentaje_Pension</w:t>
      </w:r>
      <w:r>
        <w:t>}}. {% endif %}{% if Error_Material_Si %}</w:t>
      </w:r>
    </w:p>
    <w:p w14:paraId="39D65B15" w14:textId="77777777" w:rsidR="00224216" w:rsidRDefault="00224216" w:rsidP="00224216">
      <w:pPr>
        <w:numPr>
          <w:ilvl w:val="0"/>
          <w:numId w:val="24"/>
        </w:numPr>
        <w:autoSpaceDE w:val="0"/>
        <w:autoSpaceDN w:val="0"/>
        <w:adjustRightInd w:val="0"/>
        <w:spacing w:line="276" w:lineRule="auto"/>
        <w:ind w:left="0" w:firstLine="1058"/>
        <w:jc w:val="both"/>
        <w:rPr>
          <w:lang w:val="es-AR"/>
        </w:rPr>
      </w:pPr>
      <w:r>
        <w:rPr>
          <w:b/>
          <w:bCs/>
        </w:rPr>
        <w:t>Remuneraciones</w:t>
      </w:r>
      <w:r w:rsidRPr="00AC666F">
        <w:t>:</w:t>
      </w:r>
      <w:r>
        <w:rPr>
          <w:lang w:val="es-AR"/>
        </w:rPr>
        <w:t xml:space="preserve"> Conforme ordena la sentencia se modificaron las remuneraciones del periodo</w:t>
      </w:r>
      <w:r>
        <w:t xml:space="preserve"> {{</w:t>
      </w:r>
      <w:r w:rsidRPr="00200403">
        <w:t xml:space="preserve"> Error_Material_primer_fecha</w:t>
      </w:r>
      <w:r>
        <w:t>}} al {{</w:t>
      </w:r>
      <w:r w:rsidRPr="00200403">
        <w:t xml:space="preserve"> Error_Material_ultima_fecha</w:t>
      </w:r>
      <w:r>
        <w:t>}},</w:t>
      </w:r>
      <w:r>
        <w:rPr>
          <w:lang w:val="es-AR"/>
        </w:rPr>
        <w:t xml:space="preserve">por cuanto existía un error material. {% endif %}.{% if </w:t>
      </w:r>
      <w:r w:rsidRPr="00BF4F68">
        <w:rPr>
          <w:lang w:val="es-AR"/>
        </w:rPr>
        <w:t>Sumas_Si</w:t>
      </w:r>
      <w:r>
        <w:rPr>
          <w:lang w:val="es-AR"/>
        </w:rPr>
        <w:t xml:space="preserve"> %}</w:t>
      </w:r>
    </w:p>
    <w:p w14:paraId="6F70FD4F" w14:textId="77777777" w:rsidR="00224216" w:rsidRPr="006E4D6C" w:rsidRDefault="00224216" w:rsidP="00224216">
      <w:pPr>
        <w:numPr>
          <w:ilvl w:val="0"/>
          <w:numId w:val="24"/>
        </w:numPr>
        <w:autoSpaceDE w:val="0"/>
        <w:autoSpaceDN w:val="0"/>
        <w:adjustRightInd w:val="0"/>
        <w:spacing w:line="276" w:lineRule="auto"/>
        <w:ind w:left="0" w:firstLine="1058"/>
        <w:jc w:val="both"/>
        <w:rPr>
          <w:lang w:val="es-AR"/>
        </w:rPr>
      </w:pPr>
      <w:r>
        <w:rPr>
          <w:b/>
          <w:bCs/>
        </w:rPr>
        <w:t>Haber inicial</w:t>
      </w:r>
      <w:r w:rsidRPr="000A40BB">
        <w:t>:</w:t>
      </w:r>
      <w:r>
        <w:rPr>
          <w:lang w:val="es-AR"/>
        </w:rPr>
        <w:t xml:space="preserve"> Previo a proceder a la redeterminación del haber se procedió a incorporar las sumas no remunerativas percibidas por mi mandante, según lo ordenara la sentencia, para realizar el re calculo del haber inicial.{% endif %}{% if </w:t>
      </w:r>
      <w:r w:rsidRPr="006B26C8">
        <w:rPr>
          <w:lang w:val="es-AR"/>
        </w:rPr>
        <w:t>PBU_Si</w:t>
      </w:r>
      <w:r>
        <w:rPr>
          <w:lang w:val="es-AR"/>
        </w:rPr>
        <w:t xml:space="preserve"> %}</w:t>
      </w:r>
    </w:p>
    <w:p w14:paraId="5CB2A0E1" w14:textId="77777777" w:rsidR="00224216" w:rsidRPr="000F1642" w:rsidRDefault="00224216" w:rsidP="00224216">
      <w:pPr>
        <w:numPr>
          <w:ilvl w:val="0"/>
          <w:numId w:val="24"/>
        </w:numPr>
        <w:autoSpaceDE w:val="0"/>
        <w:autoSpaceDN w:val="0"/>
        <w:adjustRightInd w:val="0"/>
        <w:ind w:left="0" w:firstLine="1058"/>
        <w:jc w:val="both"/>
      </w:pPr>
      <w:r>
        <w:rPr>
          <w:b/>
          <w:bCs/>
        </w:rPr>
        <w:t xml:space="preserve">PBU: </w:t>
      </w:r>
      <w:r>
        <w:t>Se reajusto la PBU conforme Soule/Blanco, comparando la confiscatoriedad con el haber reajustado. La confiscatoriedad es del {{</w:t>
      </w:r>
      <w:r w:rsidRPr="00574D0E">
        <w:t xml:space="preserve"> Porcentaje_PBU</w:t>
      </w:r>
      <w:r>
        <w:t>}}%, por lo cual se reajusto la misma y se realizó la quita del 15% según lo ordenado, conformándose una nueva PBU $ {{</w:t>
      </w:r>
      <w:r w:rsidRPr="006B26C8">
        <w:t>Monto_PBU</w:t>
      </w:r>
      <w:r>
        <w:t>}} {% endif %}</w:t>
      </w:r>
    </w:p>
    <w:p w14:paraId="4BD2C835" w14:textId="77777777" w:rsidR="00224216" w:rsidRDefault="00224216" w:rsidP="00224216">
      <w:pPr>
        <w:numPr>
          <w:ilvl w:val="0"/>
          <w:numId w:val="24"/>
        </w:numPr>
        <w:autoSpaceDE w:val="0"/>
        <w:autoSpaceDN w:val="0"/>
        <w:adjustRightInd w:val="0"/>
        <w:spacing w:line="276" w:lineRule="auto"/>
        <w:ind w:left="0" w:firstLine="1058"/>
        <w:jc w:val="both"/>
      </w:pPr>
      <w:r>
        <w:rPr>
          <w:b/>
          <w:bCs/>
        </w:rPr>
        <w:t xml:space="preserve">Percibido: </w:t>
      </w:r>
      <w:r>
        <w:t>{{</w:t>
      </w:r>
      <w:r w:rsidRPr="009B372A">
        <w:t xml:space="preserve"> Percibido</w:t>
      </w:r>
      <w:r>
        <w:t xml:space="preserve"> }}</w:t>
      </w:r>
    </w:p>
    <w:p w14:paraId="70576561" w14:textId="77777777" w:rsidR="00224216" w:rsidRPr="00477CCD" w:rsidRDefault="00224216" w:rsidP="00224216">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r>
        <w:rPr>
          <w:lang w:val="es-AR"/>
        </w:rPr>
        <w:t xml:space="preserve">{{ </w:t>
      </w:r>
      <w:r w:rsidRPr="001F1BCD">
        <w:rPr>
          <w:lang w:val="es-AR"/>
        </w:rPr>
        <w:t>Reclamado</w:t>
      </w:r>
      <w:r>
        <w:rPr>
          <w:lang w:val="es-AR"/>
        </w:rPr>
        <w:t xml:space="preserve"> }} {% if </w:t>
      </w:r>
      <w:r w:rsidRPr="001F1BCD">
        <w:rPr>
          <w:lang w:val="es-AR"/>
        </w:rPr>
        <w:t>RH_Si</w:t>
      </w:r>
      <w:r>
        <w:rPr>
          <w:lang w:val="es-AR"/>
        </w:rPr>
        <w:t xml:space="preserve"> %}</w:t>
      </w:r>
    </w:p>
    <w:p w14:paraId="63D9290E" w14:textId="77777777" w:rsidR="00224216" w:rsidRPr="00CA5133" w:rsidRDefault="00224216" w:rsidP="00224216">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Pr>
          <w:lang w:val="es-AR"/>
        </w:rPr>
        <w:t>Percibió desde el {{</w:t>
      </w:r>
      <w:r w:rsidRPr="00211800">
        <w:rPr>
          <w:lang w:val="es-AR"/>
        </w:rPr>
        <w:t>primer_fecha_RH</w:t>
      </w:r>
      <w:r>
        <w:rPr>
          <w:lang w:val="es-AR"/>
        </w:rPr>
        <w:t>}} al {{</w:t>
      </w:r>
      <w:r w:rsidRPr="00211800">
        <w:t xml:space="preserve"> </w:t>
      </w:r>
      <w:r w:rsidRPr="00211800">
        <w:rPr>
          <w:lang w:val="es-AR"/>
        </w:rPr>
        <w:t>ultima_fecha_RH</w:t>
      </w:r>
      <w:r>
        <w:rPr>
          <w:lang w:val="es-AR"/>
        </w:rPr>
        <w:t>}}, la cual se consideró para la conformación del percibido.</w:t>
      </w:r>
      <w:r w:rsidRPr="00296CBB">
        <w:t xml:space="preserve"> {% else %}</w:t>
      </w:r>
    </w:p>
    <w:p w14:paraId="1D08F0CE" w14:textId="77777777" w:rsidR="00224216" w:rsidRDefault="00224216" w:rsidP="00224216">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 endif %} {% if </w:t>
      </w:r>
      <w:r w:rsidRPr="00857B25">
        <w:rPr>
          <w:lang w:val="es-AR"/>
        </w:rPr>
        <w:t>AC_Si</w:t>
      </w:r>
      <w:r>
        <w:rPr>
          <w:lang w:val="es-AR"/>
        </w:rPr>
        <w:t xml:space="preserve"> %}</w:t>
      </w:r>
    </w:p>
    <w:p w14:paraId="7B0AC5D4" w14:textId="77777777" w:rsidR="00224216" w:rsidRPr="00CC1DB3" w:rsidRDefault="00224216" w:rsidP="00224216">
      <w:pPr>
        <w:numPr>
          <w:ilvl w:val="0"/>
          <w:numId w:val="24"/>
        </w:numPr>
        <w:autoSpaceDE w:val="0"/>
        <w:autoSpaceDN w:val="0"/>
        <w:adjustRightInd w:val="0"/>
        <w:spacing w:line="276" w:lineRule="auto"/>
        <w:ind w:left="0" w:firstLine="1058"/>
        <w:jc w:val="both"/>
      </w:pPr>
      <w:r>
        <w:rPr>
          <w:b/>
          <w:bCs/>
        </w:rPr>
        <w:t xml:space="preserve">Asignación complementaria: </w:t>
      </w:r>
      <w:r>
        <w:rPr>
          <w:lang w:val="es-AR"/>
        </w:rPr>
        <w:t>Percibió la asignación desde {{</w:t>
      </w:r>
      <w:r w:rsidRPr="00C27ACD">
        <w:t xml:space="preserve"> </w:t>
      </w:r>
      <w:r w:rsidRPr="00C27ACD">
        <w:rPr>
          <w:lang w:val="es-AR"/>
        </w:rPr>
        <w:t xml:space="preserve">primer_fecha_AC </w:t>
      </w:r>
      <w:r>
        <w:rPr>
          <w:lang w:val="es-AR"/>
        </w:rPr>
        <w:t>}} al {{</w:t>
      </w:r>
      <w:r w:rsidRPr="00C27ACD">
        <w:t xml:space="preserve"> </w:t>
      </w:r>
      <w:r w:rsidRPr="00C27ACD">
        <w:rPr>
          <w:lang w:val="es-AR"/>
        </w:rPr>
        <w:t>ultima_fecha_AC</w:t>
      </w:r>
      <w:r>
        <w:rPr>
          <w:lang w:val="es-AR"/>
        </w:rPr>
        <w:t xml:space="preserve">}} y la misma fue considerada para la conformación del percibido. {% else %} </w:t>
      </w:r>
    </w:p>
    <w:p w14:paraId="675462A7" w14:textId="77777777" w:rsidR="00224216" w:rsidRDefault="00224216" w:rsidP="00224216">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 endif %}{% if </w:t>
      </w:r>
      <w:r w:rsidRPr="000D595C">
        <w:rPr>
          <w:lang w:val="es-AR"/>
        </w:rPr>
        <w:t>SP_Si</w:t>
      </w:r>
      <w:r>
        <w:rPr>
          <w:lang w:val="es-AR"/>
        </w:rPr>
        <w:t xml:space="preserve"> %}</w:t>
      </w:r>
    </w:p>
    <w:p w14:paraId="2B599EA0" w14:textId="77777777" w:rsidR="00224216" w:rsidRPr="00CC1DB3" w:rsidRDefault="00224216" w:rsidP="00224216">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Percibió suplemento dinerario creado por el art 125 bis Ley 24.241 (s/texto Ley 27.426, Art. 5°) hasta alcanzar el 82% del SMVM. {% else %}</w:t>
      </w:r>
    </w:p>
    <w:p w14:paraId="0E27DF17" w14:textId="77777777" w:rsidR="009C7E0F" w:rsidRPr="00CC1DB3" w:rsidRDefault="00224216" w:rsidP="009C7E0F">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No Percibió suplemento dinerario supera el 82% del SMVM. {% endif %}</w:t>
      </w:r>
      <w:r w:rsidR="009C7E0F">
        <w:t xml:space="preserve"> {% if Badaro_Si == False %}</w:t>
      </w:r>
    </w:p>
    <w:p w14:paraId="2AA63ABE" w14:textId="77777777" w:rsidR="009C7E0F" w:rsidRDefault="009C7E0F" w:rsidP="009C7E0F">
      <w:pPr>
        <w:numPr>
          <w:ilvl w:val="0"/>
          <w:numId w:val="24"/>
        </w:numPr>
        <w:autoSpaceDE w:val="0"/>
        <w:autoSpaceDN w:val="0"/>
        <w:adjustRightInd w:val="0"/>
        <w:spacing w:line="276" w:lineRule="auto"/>
        <w:ind w:left="0" w:firstLine="1058"/>
        <w:jc w:val="both"/>
      </w:pPr>
      <w:r w:rsidRPr="00C61F24">
        <w:rPr>
          <w:b/>
          <w:bCs/>
        </w:rPr>
        <w:t>Tope</w:t>
      </w:r>
    </w:p>
    <w:p w14:paraId="46284624" w14:textId="77777777" w:rsidR="009C7E0F" w:rsidRDefault="009C7E0F" w:rsidP="009C7E0F">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 xml:space="preserve">. </w:t>
      </w:r>
    </w:p>
    <w:p w14:paraId="1217B8FC" w14:textId="77777777" w:rsidR="009C7E0F" w:rsidRDefault="009C7E0F" w:rsidP="009C7E0F">
      <w:pPr>
        <w:numPr>
          <w:ilvl w:val="0"/>
          <w:numId w:val="25"/>
        </w:numPr>
        <w:autoSpaceDE w:val="0"/>
        <w:autoSpaceDN w:val="0"/>
        <w:adjustRightInd w:val="0"/>
        <w:spacing w:line="276" w:lineRule="auto"/>
        <w:jc w:val="both"/>
      </w:pPr>
      <w:r>
        <w:t>Se aplico el tope de la PC máxima Art 26.</w:t>
      </w:r>
    </w:p>
    <w:p w14:paraId="33205039" w14:textId="77777777" w:rsidR="009C7E0F" w:rsidRDefault="009C7E0F" w:rsidP="009C7E0F">
      <w:pPr>
        <w:numPr>
          <w:ilvl w:val="0"/>
          <w:numId w:val="25"/>
        </w:numPr>
        <w:autoSpaceDE w:val="0"/>
        <w:autoSpaceDN w:val="0"/>
        <w:adjustRightInd w:val="0"/>
        <w:spacing w:line="276" w:lineRule="auto"/>
        <w:jc w:val="both"/>
      </w:pPr>
      <w:r>
        <w:t xml:space="preserve">Se aplico el tope remuneración actualizada </w:t>
      </w:r>
    </w:p>
    <w:p w14:paraId="79B268C7" w14:textId="77777777" w:rsidR="009C7E0F" w:rsidRDefault="009C7E0F" w:rsidP="009C7E0F">
      <w:pPr>
        <w:numPr>
          <w:ilvl w:val="0"/>
          <w:numId w:val="25"/>
        </w:numPr>
        <w:autoSpaceDE w:val="0"/>
        <w:autoSpaceDN w:val="0"/>
        <w:adjustRightInd w:val="0"/>
        <w:spacing w:line="276" w:lineRule="auto"/>
        <w:jc w:val="both"/>
      </w:pPr>
      <w:r>
        <w:t>Se aplico tope del art 24 de la ley 24.241.  {% endif %} {% if Badaro_Si %}</w:t>
      </w:r>
    </w:p>
    <w:p w14:paraId="4C6AA4D6" w14:textId="77777777" w:rsidR="009C7E0F" w:rsidRDefault="009C7E0F" w:rsidP="009C7E0F">
      <w:pPr>
        <w:numPr>
          <w:ilvl w:val="0"/>
          <w:numId w:val="24"/>
        </w:numPr>
        <w:autoSpaceDE w:val="0"/>
        <w:autoSpaceDN w:val="0"/>
        <w:adjustRightInd w:val="0"/>
        <w:spacing w:line="276" w:lineRule="auto"/>
        <w:ind w:left="0" w:firstLine="1058"/>
        <w:jc w:val="both"/>
      </w:pPr>
      <w:r w:rsidRPr="00C61F24">
        <w:rPr>
          <w:b/>
          <w:bCs/>
        </w:rPr>
        <w:t>Tope</w:t>
      </w:r>
    </w:p>
    <w:p w14:paraId="32427A0A" w14:textId="77777777" w:rsidR="009C7E0F" w:rsidRDefault="009C7E0F" w:rsidP="009C7E0F">
      <w:pPr>
        <w:numPr>
          <w:ilvl w:val="0"/>
          <w:numId w:val="25"/>
        </w:numPr>
        <w:autoSpaceDE w:val="0"/>
        <w:autoSpaceDN w:val="0"/>
        <w:adjustRightInd w:val="0"/>
        <w:spacing w:line="276" w:lineRule="auto"/>
        <w:jc w:val="both"/>
      </w:pPr>
      <w:r w:rsidRPr="00535F0F">
        <w:t xml:space="preserve">Se aplico el tope del artículo 9 inc. </w:t>
      </w:r>
      <w:r>
        <w:t>2</w:t>
      </w:r>
      <w:r w:rsidRPr="00535F0F">
        <w:t xml:space="preserve"> de la ley 24.463</w:t>
      </w:r>
      <w:r>
        <w:t xml:space="preserve">. </w:t>
      </w:r>
    </w:p>
    <w:p w14:paraId="28272091" w14:textId="6C747569" w:rsidR="00224216" w:rsidRPr="009C7E0F" w:rsidRDefault="009C7E0F" w:rsidP="009C7E0F">
      <w:pPr>
        <w:autoSpaceDE w:val="0"/>
        <w:autoSpaceDN w:val="0"/>
        <w:adjustRightInd w:val="0"/>
        <w:spacing w:line="276" w:lineRule="auto"/>
        <w:ind w:left="1418"/>
        <w:jc w:val="both"/>
      </w:pPr>
      <w:r>
        <w:t>{% endif %}</w:t>
      </w:r>
    </w:p>
    <w:p w14:paraId="51A8351B" w14:textId="77777777" w:rsidR="00224216" w:rsidRDefault="00224216" w:rsidP="00224216">
      <w:pPr>
        <w:autoSpaceDE w:val="0"/>
        <w:autoSpaceDN w:val="0"/>
        <w:adjustRightInd w:val="0"/>
        <w:spacing w:line="276" w:lineRule="auto"/>
        <w:ind w:firstLine="1058"/>
        <w:jc w:val="both"/>
      </w:pPr>
    </w:p>
    <w:p w14:paraId="3D0A2FA4" w14:textId="77777777" w:rsidR="00224216" w:rsidRPr="00C6431A" w:rsidRDefault="00224216" w:rsidP="00224216">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4AD27075" w14:textId="77777777" w:rsidR="00224216" w:rsidRPr="000D6B2B" w:rsidRDefault="00224216" w:rsidP="00224216">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06311618" w14:textId="77777777" w:rsidR="00224216" w:rsidRPr="008E4D93" w:rsidRDefault="00224216" w:rsidP="00224216">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w:t>
      </w:r>
      <w:r w:rsidRPr="00334E53">
        <w:t xml:space="preserve"> Fecha_de_cierre_de_intereses</w:t>
      </w:r>
      <w:r>
        <w:t>}} aplicando para ello la Tasa</w:t>
      </w:r>
      <w:r w:rsidRPr="000D6B2B">
        <w:t xml:space="preserve"> Pasiva para uso de la Justicia (Com. 14290 BCRA)</w:t>
      </w:r>
      <w:r>
        <w:t xml:space="preserve">. </w:t>
      </w:r>
      <w:r w:rsidRPr="008E4D93">
        <w:t>{% if Segunda_Liquidacion_Si %}</w:t>
      </w:r>
    </w:p>
    <w:p w14:paraId="2429452D" w14:textId="77777777" w:rsidR="00224216" w:rsidRPr="008E4D93" w:rsidRDefault="00224216" w:rsidP="00224216">
      <w:pPr>
        <w:autoSpaceDE w:val="0"/>
        <w:autoSpaceDN w:val="0"/>
        <w:adjustRightInd w:val="0"/>
        <w:spacing w:line="276" w:lineRule="auto"/>
        <w:jc w:val="both"/>
      </w:pPr>
      <w:r w:rsidRPr="008E4D93">
        <w:rPr>
          <w:b/>
          <w:bCs/>
        </w:rPr>
        <w:t>Opción 1 {% endif %}</w:t>
      </w:r>
    </w:p>
    <w:p w14:paraId="5E4F9A80" w14:textId="77777777" w:rsidR="00224216" w:rsidRPr="00651855" w:rsidRDefault="00224216" w:rsidP="00224216">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2EE70175" w14:textId="77777777" w:rsidR="00224216" w:rsidRPr="000A6F4D" w:rsidRDefault="00224216" w:rsidP="00224216">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{{Haber_de_Alta}}.</w:t>
      </w:r>
      <w:r>
        <w:t xml:space="preserve"> </w:t>
      </w:r>
      <w:r w:rsidRPr="000A6F4D">
        <w:t>{% if pagos_Si %}</w:t>
      </w:r>
    </w:p>
    <w:p w14:paraId="6F2FC0FD" w14:textId="77777777" w:rsidR="00224216" w:rsidRDefault="00224216" w:rsidP="00224216">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{{parrafo_descuentos}} {% endif %}</w:t>
      </w:r>
    </w:p>
    <w:p w14:paraId="160BA1CC" w14:textId="77777777" w:rsidR="00224216" w:rsidRDefault="00224216" w:rsidP="00224216">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${{Capital}} concepto de Intereses a $ {{Intereses}}.</w:t>
      </w:r>
    </w:p>
    <w:p w14:paraId="574ADA90" w14:textId="77777777" w:rsidR="00224216" w:rsidRDefault="00224216" w:rsidP="00224216">
      <w:pPr>
        <w:autoSpaceDE w:val="0"/>
        <w:autoSpaceDN w:val="0"/>
        <w:adjustRightInd w:val="0"/>
        <w:spacing w:line="276" w:lineRule="auto"/>
        <w:jc w:val="both"/>
        <w:rPr>
          <w:b/>
          <w:bCs/>
        </w:rPr>
      </w:pPr>
    </w:p>
    <w:p w14:paraId="6DAF9CC7" w14:textId="77777777" w:rsidR="00224216" w:rsidRDefault="00224216" w:rsidP="00224216">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{{total_liquidacion}}</w:t>
      </w:r>
    </w:p>
    <w:p w14:paraId="051E6FAA" w14:textId="77777777" w:rsidR="00224216" w:rsidRDefault="00224216" w:rsidP="00224216">
      <w:pPr>
        <w:autoSpaceDE w:val="0"/>
        <w:autoSpaceDN w:val="0"/>
        <w:adjustRightInd w:val="0"/>
        <w:spacing w:line="276" w:lineRule="auto"/>
        <w:jc w:val="both"/>
      </w:pPr>
      <w:r>
        <w:t xml:space="preserve">{% if </w:t>
      </w:r>
      <w:r w:rsidRPr="008E4D93">
        <w:t>Segunda_Liquidacion_Si</w:t>
      </w:r>
      <w:r>
        <w:t xml:space="preserve"> %}</w:t>
      </w:r>
    </w:p>
    <w:p w14:paraId="7BAE797D" w14:textId="77777777" w:rsidR="00224216" w:rsidRPr="00BA56DB" w:rsidRDefault="00224216" w:rsidP="00224216">
      <w:pPr>
        <w:autoSpaceDE w:val="0"/>
        <w:autoSpaceDN w:val="0"/>
        <w:adjustRightInd w:val="0"/>
        <w:spacing w:line="276" w:lineRule="auto"/>
        <w:jc w:val="both"/>
        <w:rPr>
          <w:b/>
          <w:bCs/>
        </w:rPr>
      </w:pPr>
      <w:r w:rsidRPr="00BA56DB">
        <w:rPr>
          <w:b/>
          <w:bCs/>
        </w:rPr>
        <w:t>Opción 2</w:t>
      </w:r>
    </w:p>
    <w:p w14:paraId="6F779B1B" w14:textId="77777777" w:rsidR="00224216" w:rsidRPr="00651855" w:rsidRDefault="00224216" w:rsidP="00224216">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w:t>
      </w:r>
      <w:r w:rsidRPr="008262E0">
        <w:t xml:space="preserve"> Movilidad_Segunda_Liquidacion </w:t>
      </w:r>
      <w:r w:rsidRPr="008E4D93">
        <w:t>}}</w:t>
      </w:r>
    </w:p>
    <w:p w14:paraId="5A864DD2" w14:textId="77777777" w:rsidR="00224216" w:rsidRPr="000A6F4D" w:rsidRDefault="00224216" w:rsidP="00224216">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{{Fecha_de_cierre_de_liquidación}}</w:t>
      </w:r>
      <w:r w:rsidRPr="00651855">
        <w:rPr>
          <w:b/>
          <w:bCs/>
        </w:rPr>
        <w:t xml:space="preserve"> </w:t>
      </w:r>
      <w:r w:rsidRPr="00651855">
        <w:t>asciende a {{</w:t>
      </w:r>
      <w:r w:rsidRPr="004C3545">
        <w:t xml:space="preserve"> Haber_de_Alta_Segunda_Liquidacion </w:t>
      </w:r>
      <w:r>
        <w:t>}</w:t>
      </w:r>
      <w:r w:rsidRPr="00651855">
        <w:t>}.</w:t>
      </w:r>
      <w:r>
        <w:t xml:space="preserve"> </w:t>
      </w:r>
      <w:r w:rsidRPr="000A6F4D">
        <w:t>{% if pagos_Si %}</w:t>
      </w:r>
    </w:p>
    <w:p w14:paraId="6D646A98" w14:textId="77777777" w:rsidR="00224216" w:rsidRDefault="00224216" w:rsidP="00224216">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{{parrafo_descuentos}} {% endif %}</w:t>
      </w:r>
    </w:p>
    <w:p w14:paraId="405A4C58" w14:textId="77777777" w:rsidR="00224216" w:rsidRDefault="00224216" w:rsidP="00224216">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{{Fecha_de_cierre_de_intereses}} determinado por el periodo {{Fecha_Inicial_de_Pago}}</w:t>
      </w:r>
      <w:r w:rsidRPr="003D6F07">
        <w:rPr>
          <w:b/>
          <w:bCs/>
        </w:rPr>
        <w:t xml:space="preserve"> </w:t>
      </w:r>
      <w:r w:rsidRPr="003D6F07">
        <w:t>al {{Fecha_de_cierre_de_liquidación}} en concepto de Capital resulta en ${{</w:t>
      </w:r>
      <w:r w:rsidRPr="00BA56DB">
        <w:t xml:space="preserve"> Capital_Segunda_Liquidacion </w:t>
      </w:r>
      <w:r w:rsidRPr="003D6F07">
        <w:t>}} concepto de Intereses a $ {{</w:t>
      </w:r>
      <w:r w:rsidRPr="00BA56DB">
        <w:t xml:space="preserve"> Intereses_Segunda_Liquidacion </w:t>
      </w:r>
      <w:r w:rsidRPr="003D6F07">
        <w:t>}}.</w:t>
      </w:r>
    </w:p>
    <w:p w14:paraId="632FA103" w14:textId="77777777" w:rsidR="00224216" w:rsidRDefault="00224216" w:rsidP="00224216">
      <w:pPr>
        <w:autoSpaceDE w:val="0"/>
        <w:autoSpaceDN w:val="0"/>
        <w:adjustRightInd w:val="0"/>
        <w:spacing w:line="276" w:lineRule="auto"/>
        <w:jc w:val="both"/>
        <w:rPr>
          <w:b/>
          <w:bCs/>
        </w:rPr>
      </w:pPr>
    </w:p>
    <w:p w14:paraId="3540D026" w14:textId="77777777" w:rsidR="00224216" w:rsidRDefault="00224216" w:rsidP="00224216">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r w:rsidRPr="00BA56DB">
        <w:t xml:space="preserve"> </w:t>
      </w:r>
      <w:r w:rsidRPr="00BA56DB">
        <w:rPr>
          <w:b/>
          <w:bCs/>
        </w:rPr>
        <w:t xml:space="preserve">Total_Segunda_Liquidacion </w:t>
      </w:r>
      <w:r w:rsidRPr="003A264B">
        <w:rPr>
          <w:b/>
          <w:bCs/>
        </w:rPr>
        <w:t>}}</w:t>
      </w:r>
    </w:p>
    <w:p w14:paraId="127E1667" w14:textId="77777777" w:rsidR="00224216" w:rsidRDefault="00224216" w:rsidP="00224216">
      <w:pPr>
        <w:autoSpaceDE w:val="0"/>
        <w:autoSpaceDN w:val="0"/>
        <w:adjustRightInd w:val="0"/>
        <w:spacing w:line="276" w:lineRule="auto"/>
        <w:jc w:val="both"/>
      </w:pPr>
      <w:r>
        <w:t>{% endif %}</w:t>
      </w:r>
    </w:p>
    <w:p w14:paraId="0A2E23AB" w14:textId="77777777" w:rsidR="00224216" w:rsidRDefault="00224216" w:rsidP="00224216">
      <w:pPr>
        <w:autoSpaceDE w:val="0"/>
        <w:autoSpaceDN w:val="0"/>
        <w:adjustRightInd w:val="0"/>
        <w:spacing w:line="276" w:lineRule="auto"/>
        <w:jc w:val="both"/>
      </w:pPr>
      <w:r>
        <w:t xml:space="preserve">{% if IPC_Liquidacion_Si and </w:t>
      </w:r>
      <w:r w:rsidRPr="008E4D93">
        <w:t>Segunda_Liquidacion_Si</w:t>
      </w:r>
      <w:r>
        <w:t xml:space="preserve"> %}</w:t>
      </w:r>
    </w:p>
    <w:p w14:paraId="271B1E14" w14:textId="5BDED346" w:rsidR="00224216" w:rsidRPr="00F76497" w:rsidRDefault="00224216" w:rsidP="00224216">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endif %} </w:t>
      </w:r>
      <w:r w:rsidRPr="006F31BF">
        <w:rPr>
          <w:bCs/>
          <w:color w:val="000000"/>
          <w:u w:val="single"/>
        </w:rPr>
        <w:t xml:space="preserve">{% if IPC_Liquidacion_Si and not Segunda_Liquidacion_Si %} </w:t>
      </w:r>
    </w:p>
    <w:p w14:paraId="565DBFA1" w14:textId="34806E13" w:rsidR="00224216" w:rsidRDefault="00224216" w:rsidP="00224216">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endif %} </w:t>
      </w:r>
      <w:r w:rsidRPr="006F31BF">
        <w:rPr>
          <w:bCs/>
          <w:color w:val="000000"/>
          <w:u w:val="single"/>
        </w:rPr>
        <w:t>{% if IPC_Liquidacion_Si</w:t>
      </w:r>
      <w:r>
        <w:rPr>
          <w:bCs/>
          <w:color w:val="000000"/>
          <w:u w:val="single"/>
        </w:rPr>
        <w:t xml:space="preserve"> %}</w:t>
      </w:r>
    </w:p>
    <w:p w14:paraId="658D5F93"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Movilidad_Primera_Liquidacion_IPC</w:t>
      </w:r>
      <w:r>
        <w:t xml:space="preserve"> }}</w:t>
      </w:r>
    </w:p>
    <w:p w14:paraId="7B986D4E"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r w:rsidRPr="003D6F07">
        <w:t>Fecha_de_cierre_de_intereses</w:t>
      </w:r>
      <w:r>
        <w:t xml:space="preserve">}} </w:t>
      </w:r>
      <w:r w:rsidRPr="00A206D0">
        <w:t xml:space="preserve">determinado </w:t>
      </w:r>
      <w:r>
        <w:t xml:space="preserve">con estos índices de movilidad </w:t>
      </w:r>
      <w:r w:rsidRPr="00A206D0">
        <w:t>por el periodo</w:t>
      </w:r>
      <w:r>
        <w:t xml:space="preserve"> </w:t>
      </w:r>
      <w:r w:rsidRPr="003D6F07">
        <w:t>{{Fecha_Inicial_de_Pago}}</w:t>
      </w:r>
      <w:r>
        <w:t xml:space="preserve"> </w:t>
      </w:r>
      <w:r w:rsidRPr="00A206D0">
        <w:t xml:space="preserve">al </w:t>
      </w:r>
      <w:r w:rsidRPr="003D6F07">
        <w:t>{{Fecha_de_cierre_de_liquidación}}</w:t>
      </w:r>
      <w:r w:rsidRPr="00A206D0">
        <w:t xml:space="preserve"> en concepto de Capital resulta en $</w:t>
      </w:r>
      <w:r>
        <w:t xml:space="preserve"> {{</w:t>
      </w:r>
      <w:r w:rsidRPr="00A67C47">
        <w:t>Capital_Primera_Liquidacion_IPC</w:t>
      </w:r>
      <w:r>
        <w:t xml:space="preserve">}} </w:t>
      </w:r>
      <w:r w:rsidRPr="00A206D0">
        <w:t>concepto de Intereses a $</w:t>
      </w:r>
      <w:r>
        <w:t xml:space="preserve"> {{</w:t>
      </w:r>
      <w:r w:rsidRPr="00A67C47">
        <w:t>Intereses_Primera_Liquidacion_IPC</w:t>
      </w:r>
      <w:r>
        <w:t>}} totalizando una deuda dotal de ${{</w:t>
      </w:r>
      <w:r w:rsidRPr="00F34C48">
        <w:t>Total_Primera_Liquidacion_IPC</w:t>
      </w:r>
      <w:r>
        <w:t>}}.</w:t>
      </w:r>
      <w:r w:rsidRPr="00A206D0">
        <w:t xml:space="preserve"> </w:t>
      </w:r>
    </w:p>
    <w:p w14:paraId="21A6408D" w14:textId="77777777" w:rsidR="00224216" w:rsidRDefault="00224216" w:rsidP="00224216">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796"/>
      </w:tblGrid>
      <w:tr w:rsidR="00224216" w14:paraId="5F1F4CDB" w14:textId="77777777" w:rsidTr="0062212B">
        <w:trPr>
          <w:trHeight w:val="255"/>
        </w:trPr>
        <w:tc>
          <w:tcPr>
            <w:tcW w:w="1971" w:type="dxa"/>
            <w:shd w:val="clear" w:color="auto" w:fill="auto"/>
          </w:tcPr>
          <w:p w14:paraId="02071467" w14:textId="77777777" w:rsidR="00224216" w:rsidRDefault="00224216" w:rsidP="0062212B">
            <w:pPr>
              <w:autoSpaceDE w:val="0"/>
              <w:autoSpaceDN w:val="0"/>
              <w:adjustRightInd w:val="0"/>
              <w:jc w:val="both"/>
            </w:pPr>
            <w:r>
              <w:t>Haber con IPC</w:t>
            </w:r>
          </w:p>
        </w:tc>
        <w:tc>
          <w:tcPr>
            <w:tcW w:w="1972" w:type="dxa"/>
            <w:shd w:val="clear" w:color="auto" w:fill="auto"/>
          </w:tcPr>
          <w:p w14:paraId="64A66937" w14:textId="77777777" w:rsidR="00224216" w:rsidRDefault="00224216" w:rsidP="0062212B">
            <w:pPr>
              <w:autoSpaceDE w:val="0"/>
              <w:autoSpaceDN w:val="0"/>
              <w:adjustRightInd w:val="0"/>
              <w:jc w:val="both"/>
            </w:pPr>
            <w:r>
              <w:t>{{</w:t>
            </w:r>
            <w:r w:rsidRPr="00F34C48">
              <w:t>Haber_de_Alta_Primera_Liquidacion_IPC</w:t>
            </w:r>
            <w:r>
              <w:t>}}</w:t>
            </w:r>
          </w:p>
        </w:tc>
      </w:tr>
      <w:tr w:rsidR="00224216" w14:paraId="129F8388" w14:textId="77777777" w:rsidTr="0062212B">
        <w:trPr>
          <w:trHeight w:val="255"/>
        </w:trPr>
        <w:tc>
          <w:tcPr>
            <w:tcW w:w="1971" w:type="dxa"/>
            <w:shd w:val="clear" w:color="auto" w:fill="auto"/>
          </w:tcPr>
          <w:p w14:paraId="4ED4514A" w14:textId="77777777" w:rsidR="00224216" w:rsidRDefault="00224216" w:rsidP="0062212B">
            <w:pPr>
              <w:autoSpaceDE w:val="0"/>
              <w:autoSpaceDN w:val="0"/>
              <w:adjustRightInd w:val="0"/>
              <w:jc w:val="both"/>
            </w:pPr>
            <w:r>
              <w:t>Haber con 27609</w:t>
            </w:r>
          </w:p>
        </w:tc>
        <w:tc>
          <w:tcPr>
            <w:tcW w:w="1972" w:type="dxa"/>
            <w:shd w:val="clear" w:color="auto" w:fill="auto"/>
          </w:tcPr>
          <w:p w14:paraId="423F54A8" w14:textId="77777777" w:rsidR="00224216" w:rsidRDefault="00224216" w:rsidP="0062212B">
            <w:pPr>
              <w:autoSpaceDE w:val="0"/>
              <w:autoSpaceDN w:val="0"/>
              <w:adjustRightInd w:val="0"/>
              <w:jc w:val="both"/>
            </w:pPr>
            <w:r>
              <w:t>{{</w:t>
            </w:r>
            <w:r w:rsidRPr="005A7B53">
              <w:t>Haber_de_Alta</w:t>
            </w:r>
            <w:r>
              <w:t>}}</w:t>
            </w:r>
          </w:p>
        </w:tc>
      </w:tr>
      <w:tr w:rsidR="00224216" w14:paraId="7E5F7615" w14:textId="77777777" w:rsidTr="0062212B">
        <w:trPr>
          <w:trHeight w:val="244"/>
        </w:trPr>
        <w:tc>
          <w:tcPr>
            <w:tcW w:w="1971" w:type="dxa"/>
            <w:shd w:val="clear" w:color="auto" w:fill="auto"/>
          </w:tcPr>
          <w:p w14:paraId="0C85AB5C" w14:textId="77777777" w:rsidR="00224216" w:rsidRDefault="00224216" w:rsidP="0062212B">
            <w:pPr>
              <w:autoSpaceDE w:val="0"/>
              <w:autoSpaceDN w:val="0"/>
              <w:adjustRightInd w:val="0"/>
              <w:jc w:val="both"/>
            </w:pPr>
            <w:r>
              <w:t>Dif</w:t>
            </w:r>
          </w:p>
        </w:tc>
        <w:tc>
          <w:tcPr>
            <w:tcW w:w="1972" w:type="dxa"/>
            <w:shd w:val="clear" w:color="auto" w:fill="auto"/>
          </w:tcPr>
          <w:p w14:paraId="7F0BAFAD" w14:textId="77777777" w:rsidR="00224216" w:rsidRDefault="00224216" w:rsidP="0062212B">
            <w:pPr>
              <w:autoSpaceDE w:val="0"/>
              <w:autoSpaceDN w:val="0"/>
              <w:adjustRightInd w:val="0"/>
              <w:jc w:val="both"/>
            </w:pPr>
            <w:r>
              <w:t>{{</w:t>
            </w:r>
            <w:r w:rsidRPr="005A7B53">
              <w:t>Diferencias</w:t>
            </w:r>
            <w:r>
              <w:t>}}</w:t>
            </w:r>
          </w:p>
        </w:tc>
      </w:tr>
      <w:tr w:rsidR="00224216" w14:paraId="36B5EC8A" w14:textId="77777777" w:rsidTr="0062212B">
        <w:trPr>
          <w:trHeight w:val="255"/>
        </w:trPr>
        <w:tc>
          <w:tcPr>
            <w:tcW w:w="1971" w:type="dxa"/>
            <w:shd w:val="clear" w:color="auto" w:fill="auto"/>
          </w:tcPr>
          <w:p w14:paraId="2F41F5BF" w14:textId="77777777" w:rsidR="00224216" w:rsidRDefault="00224216" w:rsidP="0062212B">
            <w:pPr>
              <w:autoSpaceDE w:val="0"/>
              <w:autoSpaceDN w:val="0"/>
              <w:adjustRightInd w:val="0"/>
              <w:jc w:val="both"/>
            </w:pPr>
            <w:r>
              <w:t>Quita</w:t>
            </w:r>
          </w:p>
        </w:tc>
        <w:tc>
          <w:tcPr>
            <w:tcW w:w="1972" w:type="dxa"/>
            <w:shd w:val="clear" w:color="auto" w:fill="auto"/>
          </w:tcPr>
          <w:p w14:paraId="107D6C71" w14:textId="77777777" w:rsidR="00224216" w:rsidRDefault="00224216" w:rsidP="0062212B">
            <w:pPr>
              <w:autoSpaceDE w:val="0"/>
              <w:autoSpaceDN w:val="0"/>
              <w:adjustRightInd w:val="0"/>
              <w:jc w:val="both"/>
            </w:pPr>
            <w:r>
              <w:t>{{</w:t>
            </w:r>
            <w:r w:rsidRPr="00311313">
              <w:t>Porcentaje</w:t>
            </w:r>
            <w:r>
              <w:t>}}%</w:t>
            </w:r>
          </w:p>
        </w:tc>
      </w:tr>
    </w:tbl>
    <w:p w14:paraId="7C403A87" w14:textId="77777777" w:rsidR="00224216" w:rsidRDefault="00224216" w:rsidP="00224216">
      <w:pPr>
        <w:autoSpaceDE w:val="0"/>
        <w:autoSpaceDN w:val="0"/>
        <w:adjustRightInd w:val="0"/>
        <w:jc w:val="both"/>
      </w:pPr>
    </w:p>
    <w:p w14:paraId="7295A1EE" w14:textId="44565BA2" w:rsidR="00884088" w:rsidRDefault="00884088" w:rsidP="00884088">
      <w:pPr>
        <w:autoSpaceDE w:val="0"/>
        <w:autoSpaceDN w:val="0"/>
        <w:adjustRightInd w:val="0"/>
        <w:jc w:val="both"/>
      </w:pPr>
      <w:r w:rsidRPr="004C6865">
        <w:t>Comparacion_1</w:t>
      </w:r>
    </w:p>
    <w:p w14:paraId="4712496C" w14:textId="6DA874CC" w:rsidR="00224216" w:rsidRDefault="00224216" w:rsidP="00224216">
      <w:pPr>
        <w:autoSpaceDE w:val="0"/>
        <w:autoSpaceDN w:val="0"/>
        <w:adjustRightInd w:val="0"/>
        <w:spacing w:line="276" w:lineRule="auto"/>
        <w:jc w:val="both"/>
      </w:pPr>
      <w:r>
        <w:t xml:space="preserve">{% if IPC_Liquidacion_Si and </w:t>
      </w:r>
      <w:r w:rsidRPr="008E4D93">
        <w:t>Segunda_Liquidacion_Si</w:t>
      </w:r>
      <w:r>
        <w:t xml:space="preserve"> %}</w:t>
      </w:r>
    </w:p>
    <w:p w14:paraId="2397A228"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r w:rsidRPr="004F71E9">
        <w:t>Movilidad_Segunda_Liquidacion_IPC</w:t>
      </w:r>
      <w:r>
        <w:t xml:space="preserve"> }}</w:t>
      </w:r>
    </w:p>
    <w:p w14:paraId="0B349DEB"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r w:rsidRPr="003D6F07">
        <w:t>Fecha_de_cierre_de_intereses</w:t>
      </w:r>
      <w:r>
        <w:t xml:space="preserve">}} </w:t>
      </w:r>
      <w:r w:rsidRPr="00A206D0">
        <w:t xml:space="preserve">determinado </w:t>
      </w:r>
      <w:r>
        <w:t xml:space="preserve">con estos índices de movilidad </w:t>
      </w:r>
      <w:r w:rsidRPr="00A206D0">
        <w:t>por el periodo</w:t>
      </w:r>
      <w:r>
        <w:t xml:space="preserve"> </w:t>
      </w:r>
      <w:r w:rsidRPr="003D6F07">
        <w:t>{{Fecha_Inicial_de_Pago}}</w:t>
      </w:r>
      <w:r>
        <w:t xml:space="preserve"> </w:t>
      </w:r>
      <w:r w:rsidRPr="00A206D0">
        <w:t xml:space="preserve">al </w:t>
      </w:r>
      <w:r w:rsidRPr="003D6F07">
        <w:t>{{Fecha_de_cierre_de_liquidación}}</w:t>
      </w:r>
      <w:r w:rsidRPr="00A206D0">
        <w:t xml:space="preserve"> en concepto de Capital resulta en $</w:t>
      </w:r>
      <w:r>
        <w:t xml:space="preserve"> {{</w:t>
      </w:r>
      <w:r w:rsidRPr="0061715B">
        <w:t xml:space="preserve"> Capital_Segunda_Liquidacion_IPC</w:t>
      </w:r>
      <w:r>
        <w:t xml:space="preserve">}} </w:t>
      </w:r>
      <w:r w:rsidRPr="00A206D0">
        <w:t>concepto de Intereses a $</w:t>
      </w:r>
      <w:r>
        <w:t xml:space="preserve"> {{</w:t>
      </w:r>
      <w:r w:rsidRPr="00491C23">
        <w:t xml:space="preserve"> Intereses_Segunda_Liquidacion_IPC</w:t>
      </w:r>
      <w:r>
        <w:t xml:space="preserve"> }} totalizando una deuda dotal de ${{</w:t>
      </w:r>
      <w:r w:rsidRPr="00491C23">
        <w:t xml:space="preserve"> Total_Segunda_Liquidacion_IPC</w:t>
      </w:r>
      <w:r>
        <w:t xml:space="preserve"> }}.</w:t>
      </w:r>
      <w:r w:rsidRPr="00A206D0">
        <w:t xml:space="preserve"> </w:t>
      </w:r>
    </w:p>
    <w:p w14:paraId="7C9AFB7C" w14:textId="77777777" w:rsidR="00224216" w:rsidRDefault="00224216" w:rsidP="00224216">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863"/>
      </w:tblGrid>
      <w:tr w:rsidR="00224216" w14:paraId="4BF87B85" w14:textId="77777777" w:rsidTr="0062212B">
        <w:trPr>
          <w:trHeight w:val="255"/>
        </w:trPr>
        <w:tc>
          <w:tcPr>
            <w:tcW w:w="1971" w:type="dxa"/>
            <w:shd w:val="clear" w:color="auto" w:fill="auto"/>
          </w:tcPr>
          <w:p w14:paraId="60AED050" w14:textId="77777777" w:rsidR="00224216" w:rsidRDefault="00224216" w:rsidP="0062212B">
            <w:pPr>
              <w:autoSpaceDE w:val="0"/>
              <w:autoSpaceDN w:val="0"/>
              <w:adjustRightInd w:val="0"/>
              <w:jc w:val="both"/>
            </w:pPr>
            <w:r>
              <w:t>Haber con IPC</w:t>
            </w:r>
          </w:p>
        </w:tc>
        <w:tc>
          <w:tcPr>
            <w:tcW w:w="1972" w:type="dxa"/>
            <w:shd w:val="clear" w:color="auto" w:fill="auto"/>
          </w:tcPr>
          <w:p w14:paraId="2D7A681A" w14:textId="77777777" w:rsidR="00224216" w:rsidRDefault="00224216" w:rsidP="0062212B">
            <w:pPr>
              <w:autoSpaceDE w:val="0"/>
              <w:autoSpaceDN w:val="0"/>
              <w:adjustRightInd w:val="0"/>
              <w:jc w:val="both"/>
            </w:pPr>
            <w:r>
              <w:t>{{</w:t>
            </w:r>
            <w:r w:rsidRPr="0061715B">
              <w:t>Haber_de_Alta_Segunda_Liquidacion_IPC</w:t>
            </w:r>
            <w:r>
              <w:t>}}</w:t>
            </w:r>
          </w:p>
        </w:tc>
      </w:tr>
      <w:tr w:rsidR="00224216" w14:paraId="6316B831" w14:textId="77777777" w:rsidTr="0062212B">
        <w:trPr>
          <w:trHeight w:val="255"/>
        </w:trPr>
        <w:tc>
          <w:tcPr>
            <w:tcW w:w="1971" w:type="dxa"/>
            <w:shd w:val="clear" w:color="auto" w:fill="auto"/>
          </w:tcPr>
          <w:p w14:paraId="16A78180" w14:textId="77777777" w:rsidR="00224216" w:rsidRDefault="00224216" w:rsidP="0062212B">
            <w:pPr>
              <w:autoSpaceDE w:val="0"/>
              <w:autoSpaceDN w:val="0"/>
              <w:adjustRightInd w:val="0"/>
              <w:jc w:val="both"/>
            </w:pPr>
            <w:r>
              <w:t>Haber con 27609</w:t>
            </w:r>
          </w:p>
        </w:tc>
        <w:tc>
          <w:tcPr>
            <w:tcW w:w="1972" w:type="dxa"/>
            <w:shd w:val="clear" w:color="auto" w:fill="auto"/>
          </w:tcPr>
          <w:p w14:paraId="331FB95B" w14:textId="77777777" w:rsidR="00224216" w:rsidRDefault="00224216" w:rsidP="0062212B">
            <w:pPr>
              <w:autoSpaceDE w:val="0"/>
              <w:autoSpaceDN w:val="0"/>
              <w:adjustRightInd w:val="0"/>
              <w:jc w:val="both"/>
            </w:pPr>
            <w:r>
              <w:t xml:space="preserve">{{ </w:t>
            </w:r>
            <w:r w:rsidRPr="00491C23">
              <w:t>Haber_de_Alta_Segunda_Liquidacion</w:t>
            </w:r>
            <w:r>
              <w:t xml:space="preserve"> }}</w:t>
            </w:r>
          </w:p>
        </w:tc>
      </w:tr>
      <w:tr w:rsidR="00224216" w14:paraId="7E36B632" w14:textId="77777777" w:rsidTr="0062212B">
        <w:trPr>
          <w:trHeight w:val="244"/>
        </w:trPr>
        <w:tc>
          <w:tcPr>
            <w:tcW w:w="1971" w:type="dxa"/>
            <w:shd w:val="clear" w:color="auto" w:fill="auto"/>
          </w:tcPr>
          <w:p w14:paraId="79A50B5C" w14:textId="77777777" w:rsidR="00224216" w:rsidRDefault="00224216" w:rsidP="0062212B">
            <w:pPr>
              <w:autoSpaceDE w:val="0"/>
              <w:autoSpaceDN w:val="0"/>
              <w:adjustRightInd w:val="0"/>
              <w:jc w:val="both"/>
            </w:pPr>
            <w:r>
              <w:t>Dif</w:t>
            </w:r>
          </w:p>
        </w:tc>
        <w:tc>
          <w:tcPr>
            <w:tcW w:w="1972" w:type="dxa"/>
            <w:shd w:val="clear" w:color="auto" w:fill="auto"/>
          </w:tcPr>
          <w:p w14:paraId="4BB1C746" w14:textId="77777777" w:rsidR="00224216" w:rsidRDefault="00224216" w:rsidP="0062212B">
            <w:pPr>
              <w:autoSpaceDE w:val="0"/>
              <w:autoSpaceDN w:val="0"/>
              <w:adjustRightInd w:val="0"/>
              <w:jc w:val="both"/>
            </w:pPr>
            <w:r>
              <w:t xml:space="preserve">{{ </w:t>
            </w:r>
            <w:r w:rsidRPr="007544B2">
              <w:t>Diferencias_2</w:t>
            </w:r>
            <w:r>
              <w:t>}}</w:t>
            </w:r>
          </w:p>
        </w:tc>
      </w:tr>
      <w:tr w:rsidR="00224216" w14:paraId="642EA4E2" w14:textId="77777777" w:rsidTr="0062212B">
        <w:trPr>
          <w:trHeight w:val="255"/>
        </w:trPr>
        <w:tc>
          <w:tcPr>
            <w:tcW w:w="1971" w:type="dxa"/>
            <w:shd w:val="clear" w:color="auto" w:fill="auto"/>
          </w:tcPr>
          <w:p w14:paraId="13F8A057" w14:textId="77777777" w:rsidR="00224216" w:rsidRDefault="00224216" w:rsidP="0062212B">
            <w:pPr>
              <w:autoSpaceDE w:val="0"/>
              <w:autoSpaceDN w:val="0"/>
              <w:adjustRightInd w:val="0"/>
              <w:jc w:val="both"/>
            </w:pPr>
            <w:r>
              <w:t>Quita</w:t>
            </w:r>
          </w:p>
        </w:tc>
        <w:tc>
          <w:tcPr>
            <w:tcW w:w="1972" w:type="dxa"/>
            <w:shd w:val="clear" w:color="auto" w:fill="auto"/>
          </w:tcPr>
          <w:p w14:paraId="442BECF7" w14:textId="77777777" w:rsidR="00224216" w:rsidRDefault="00224216" w:rsidP="0062212B">
            <w:pPr>
              <w:autoSpaceDE w:val="0"/>
              <w:autoSpaceDN w:val="0"/>
              <w:adjustRightInd w:val="0"/>
              <w:jc w:val="both"/>
            </w:pPr>
            <w:r>
              <w:t xml:space="preserve">{{ </w:t>
            </w:r>
            <w:r w:rsidRPr="007544B2">
              <w:t>Porcentaje_2</w:t>
            </w:r>
            <w:r>
              <w:t>}}%</w:t>
            </w:r>
          </w:p>
        </w:tc>
      </w:tr>
    </w:tbl>
    <w:p w14:paraId="6C78542E" w14:textId="77777777" w:rsidR="00224216" w:rsidRPr="00A206D0" w:rsidRDefault="00224216" w:rsidP="00224216">
      <w:pPr>
        <w:autoSpaceDE w:val="0"/>
        <w:autoSpaceDN w:val="0"/>
        <w:adjustRightInd w:val="0"/>
        <w:jc w:val="both"/>
      </w:pPr>
    </w:p>
    <w:p w14:paraId="025B0E4D" w14:textId="6059DA06" w:rsidR="005F370E" w:rsidRDefault="005F370E" w:rsidP="00224216">
      <w:pPr>
        <w:autoSpaceDE w:val="0"/>
        <w:autoSpaceDN w:val="0"/>
        <w:adjustRightInd w:val="0"/>
        <w:spacing w:line="276" w:lineRule="auto"/>
        <w:jc w:val="both"/>
        <w:rPr>
          <w:color w:val="000000"/>
        </w:rPr>
      </w:pPr>
      <w:r w:rsidRPr="004C6865">
        <w:rPr>
          <w:color w:val="000000"/>
        </w:rPr>
        <w:t>Comparacion_2</w:t>
      </w:r>
    </w:p>
    <w:p w14:paraId="5F425FFF" w14:textId="276FAD60" w:rsidR="00224216" w:rsidRPr="008A737C" w:rsidRDefault="00224216" w:rsidP="00224216">
      <w:pPr>
        <w:autoSpaceDE w:val="0"/>
        <w:autoSpaceDN w:val="0"/>
        <w:adjustRightInd w:val="0"/>
        <w:spacing w:line="276" w:lineRule="auto"/>
        <w:jc w:val="both"/>
        <w:rPr>
          <w:bCs/>
          <w:color w:val="000000"/>
          <w:u w:val="single"/>
        </w:rPr>
      </w:pPr>
      <w:r>
        <w:rPr>
          <w:color w:val="000000"/>
        </w:rPr>
        <w:t xml:space="preserve">{% endif %} </w:t>
      </w:r>
      <w:r w:rsidRPr="006F31BF">
        <w:rPr>
          <w:bCs/>
          <w:color w:val="000000"/>
          <w:u w:val="single"/>
        </w:rPr>
        <w:t xml:space="preserve">{% if IPC_Liquidacion_Si and not Segunda_Liquidacion_Si %} </w:t>
      </w:r>
    </w:p>
    <w:p w14:paraId="10699A13" w14:textId="77777777" w:rsidR="00224216" w:rsidRDefault="00224216" w:rsidP="00224216">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btenemos una diferencia de un {{</w:t>
      </w:r>
      <w:r w:rsidRPr="00311313">
        <w:rPr>
          <w:color w:val="000000"/>
        </w:rPr>
        <w:t>Porcentaje</w:t>
      </w:r>
      <w:r>
        <w:rPr>
          <w:color w:val="000000"/>
        </w:rPr>
        <w:t>}}</w:t>
      </w:r>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 {% endif %}</w:t>
      </w:r>
      <w:r w:rsidRPr="006F31BF">
        <w:rPr>
          <w:bCs/>
          <w:color w:val="000000"/>
          <w:u w:val="single"/>
        </w:rPr>
        <w:t xml:space="preserve">{% if IPC_Liquidacion_Si and Segunda_Liquidacion_Si %} </w:t>
      </w:r>
    </w:p>
    <w:p w14:paraId="05CBA3BE" w14:textId="4C975B0F" w:rsidR="003432B3" w:rsidRPr="0016010A" w:rsidRDefault="00224216" w:rsidP="003432B3">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r>
        <w:rPr>
          <w:color w:val="000000"/>
        </w:rPr>
        <w:t>}}</w:t>
      </w:r>
      <w:r w:rsidRPr="00584239">
        <w:rPr>
          <w:color w:val="000000"/>
        </w:rPr>
        <w:t>%</w:t>
      </w:r>
      <w:r>
        <w:rPr>
          <w:color w:val="000000"/>
        </w:rPr>
        <w:t xml:space="preserve"> y </w:t>
      </w:r>
      <w:r>
        <w:t xml:space="preserve">{{ </w:t>
      </w:r>
      <w:r w:rsidRPr="007544B2">
        <w:t>Porcentaje_2</w:t>
      </w:r>
      <w:r>
        <w:t>}}%</w:t>
      </w:r>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 {% endif %} {% endif %}</w:t>
      </w:r>
      <w:r w:rsidR="003432B3">
        <w:rPr>
          <w:color w:val="000000"/>
        </w:rPr>
        <w:t xml:space="preserve"> {% if </w:t>
      </w:r>
      <w:r w:rsidR="003432B3">
        <w:t xml:space="preserve">ley_27609_Si </w:t>
      </w:r>
      <w:r w:rsidR="003432B3">
        <w:rPr>
          <w:color w:val="000000"/>
        </w:rPr>
        <w:t>%}</w:t>
      </w:r>
    </w:p>
    <w:p w14:paraId="70555AE1" w14:textId="77777777" w:rsidR="003432B3" w:rsidRDefault="003432B3" w:rsidP="003432B3">
      <w:pPr>
        <w:autoSpaceDE w:val="0"/>
        <w:autoSpaceDN w:val="0"/>
        <w:adjustRightInd w:val="0"/>
        <w:ind w:left="1146"/>
        <w:jc w:val="both"/>
        <w:rPr>
          <w:b/>
          <w:bCs/>
        </w:rPr>
      </w:pPr>
    </w:p>
    <w:p w14:paraId="1A0B7664" w14:textId="77777777" w:rsidR="00E419CE" w:rsidRDefault="00E419CE" w:rsidP="00E419CE">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44C98903" w14:textId="77777777" w:rsidR="00E419CE" w:rsidRPr="00345944" w:rsidRDefault="00E419CE" w:rsidP="00E419CE">
      <w:pPr>
        <w:autoSpaceDE w:val="0"/>
        <w:autoSpaceDN w:val="0"/>
        <w:adjustRightInd w:val="0"/>
        <w:ind w:left="1146"/>
        <w:jc w:val="both"/>
        <w:rPr>
          <w:b/>
          <w:bCs/>
        </w:rPr>
      </w:pPr>
    </w:p>
    <w:p w14:paraId="029A0028" w14:textId="77777777" w:rsidR="00E419CE" w:rsidRPr="00444759" w:rsidRDefault="00E419CE" w:rsidP="00E419CE">
      <w:pPr>
        <w:autoSpaceDE w:val="0"/>
        <w:autoSpaceDN w:val="0"/>
        <w:adjustRightInd w:val="0"/>
        <w:ind w:firstLine="851"/>
        <w:jc w:val="both"/>
        <w:rPr>
          <w:rFonts w:eastAsia="Calibri"/>
          <w:u w:val="single"/>
          <w:lang w:val="es-AR"/>
        </w:rPr>
      </w:pPr>
      <w:r w:rsidRPr="00444759">
        <w:rPr>
          <w:rFonts w:eastAsia="Calibri"/>
          <w:u w:val="single"/>
          <w:lang w:val="es-AR"/>
        </w:rPr>
        <w:t>La Ley 27.609 ha demostrado ser insuficiente para mantener el poder adquisitivo del haber de mi mandante a lo largo del tiempo, afectando derechos y garantías consagrados en la Constitución Nacional, como la garantía de integralidad (art. 14 bis), el derecho de propiedad (art. 17), el derecho al desarrollo humano (art. 75, inc. 22) y los derechos derivados de los tratados internacionales (art. 75, inc. 23). Por sobre todo, vulnera el derecho a la vida y a una vejez digna.</w:t>
      </w:r>
    </w:p>
    <w:p w14:paraId="6904AFD5" w14:textId="77777777" w:rsidR="00E419CE" w:rsidRPr="00444759" w:rsidRDefault="00E419CE" w:rsidP="00E419CE">
      <w:pPr>
        <w:autoSpaceDE w:val="0"/>
        <w:autoSpaceDN w:val="0"/>
        <w:adjustRightInd w:val="0"/>
        <w:ind w:firstLine="851"/>
        <w:jc w:val="both"/>
        <w:rPr>
          <w:rFonts w:eastAsia="Calibri"/>
          <w:u w:val="single"/>
          <w:lang w:val="es-AR"/>
        </w:rPr>
      </w:pPr>
      <w:r w:rsidRPr="00444759">
        <w:rPr>
          <w:rFonts w:eastAsia="Calibri"/>
          <w:u w:val="single"/>
          <w:lang w:val="es-AR"/>
        </w:rPr>
        <w:t>Teniendo en cuenta las circunstancias jurídicas ocurridas desde 2020 hasta la fecha —esto es, la suspensión de la Ley de Movilidad Jubilatoria por la Ley 27.541, la derogación de la Ley 27.426, la sanción de la Ley 27.609 y su posterior derogación, y la pauta de movilidad dictada por el Decreto 274/24—, resulta claro que los haberes de los jubilados han sufrido un daño tangible.</w:t>
      </w:r>
    </w:p>
    <w:p w14:paraId="73DA6C26" w14:textId="77777777" w:rsidR="00E419CE" w:rsidRPr="00444759" w:rsidRDefault="00E419CE" w:rsidP="00E419CE">
      <w:pPr>
        <w:autoSpaceDE w:val="0"/>
        <w:autoSpaceDN w:val="0"/>
        <w:adjustRightInd w:val="0"/>
        <w:ind w:firstLine="851"/>
        <w:jc w:val="both"/>
        <w:rPr>
          <w:rFonts w:eastAsia="Calibri"/>
          <w:u w:val="single"/>
          <w:lang w:val="es-AR"/>
        </w:rPr>
      </w:pPr>
      <w:r w:rsidRPr="00444759">
        <w:rPr>
          <w:rFonts w:eastAsia="Calibri"/>
          <w:u w:val="single"/>
          <w:lang w:val="es-AR"/>
        </w:rPr>
        <w:t>Los fallos “Márquez” y “Cendán” de la Sala II, y “Luna” de la Sala I, presentan diferencias en el análisis de la Ley 27.609 durante la etapa de ejecución. Además, a la fecha de presentación de la liquidación, no existe un índice definido para aplicar al período en cuestión. Este diferimiento es innecesario, ya que el daño causado por la ley de movilidad en los haberes de los jubilados es evidente, público y notorio, tal como lo ha reconocido expresamente el Gobierno Nacional en el Decreto 274/24.</w:t>
      </w:r>
    </w:p>
    <w:p w14:paraId="1D73E29F" w14:textId="73A9D928" w:rsidR="00E419CE" w:rsidRPr="00345944" w:rsidRDefault="00C91E72" w:rsidP="00E419CE">
      <w:pPr>
        <w:spacing w:after="200"/>
        <w:ind w:firstLine="426"/>
        <w:contextualSpacing/>
        <w:jc w:val="both"/>
        <w:rPr>
          <w:rFonts w:eastAsia="Calibri"/>
          <w:lang w:eastAsia="es-MX"/>
        </w:rPr>
      </w:pPr>
      <w:r>
        <w:rPr>
          <w:noProof/>
        </w:rPr>
        <w:pict w14:anchorId="4C63DB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48" type="#_x0000_t75" alt="Texto" style="position:absolute;left:0;text-align:left;margin-left:19.7pt;margin-top:15.25pt;width:405.2pt;height:18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wrapcoords="-40 0 -40 21513 21600 21513 21600 0 -40 0">
            <v:imagedata r:id="rId8" o:title="Texto"/>
            <w10:wrap type="tight"/>
          </v:shape>
        </w:pict>
      </w:r>
    </w:p>
    <w:p w14:paraId="01C9A823" w14:textId="77777777" w:rsidR="00E419CE" w:rsidRPr="00444759" w:rsidRDefault="00E419CE" w:rsidP="00E419CE">
      <w:pPr>
        <w:pStyle w:val="NormalWeb"/>
        <w:ind w:firstLine="709"/>
        <w:jc w:val="both"/>
        <w:rPr>
          <w:u w:val="single"/>
        </w:rPr>
      </w:pPr>
      <w:r w:rsidRPr="00444759">
        <w:rPr>
          <w:u w:val="single"/>
        </w:rPr>
        <w:t>El propio Estado ha reconocido las falencias e insuficiencias de la fórmula establecida por la Ley 27.609 y el daño que ha causado a los adultos mayores, justificando con ello la necesidad de dictar el Decreto de Emergencia 274/24. Dicha ley ya no está vigente, y el daño ocasionado ha sido admitido tanto por el Poder Legislativo como por el Poder Ejecutivo, demostrando que los aumentos otorgados fueron insuficientes para preservar el poder adquisitivo del haber previsional de mi mandante.</w:t>
      </w:r>
    </w:p>
    <w:p w14:paraId="3043E6EF" w14:textId="77777777" w:rsidR="00E419CE" w:rsidRPr="00444759" w:rsidRDefault="00E419CE" w:rsidP="00E419CE">
      <w:pPr>
        <w:pStyle w:val="NormalWeb"/>
        <w:ind w:firstLine="709"/>
        <w:jc w:val="both"/>
        <w:rPr>
          <w:u w:val="single"/>
        </w:rPr>
      </w:pPr>
      <w:r w:rsidRPr="00444759">
        <w:rPr>
          <w:u w:val="single"/>
        </w:rPr>
        <w:t>Los bonos entregados a los jubilados que perciben la mínima llegaron a representar hasta un 55% de su haber mensual. Las sucesivas reformas previsionales implementadas desde 2017 hasta la fecha han afectado de manera integral el haber jubilatorio de los beneficiarios, y deben analizarse de manera conjunta, ya que el haber de mi mandante es uno solo. La aplicación de las normas dictadas entre 2017 y 2024 incumple con el mandato constitucional, omitiendo el contenido previsto por el convencional constituyente al atribuir al Poder Legislativo la obligación de fijar por ley el derecho a la movilidad jubilatoria y no de cualquier manera.</w:t>
      </w:r>
    </w:p>
    <w:p w14:paraId="37FF3CB6" w14:textId="77777777" w:rsidR="00E419CE" w:rsidRPr="00444759" w:rsidRDefault="00E419CE" w:rsidP="00E419CE">
      <w:pPr>
        <w:pStyle w:val="NormalWeb"/>
        <w:ind w:firstLine="709"/>
        <w:jc w:val="both"/>
        <w:rPr>
          <w:u w:val="single"/>
        </w:rPr>
      </w:pPr>
      <w:r w:rsidRPr="00444759">
        <w:rPr>
          <w:u w:val="single"/>
        </w:rPr>
        <w:t>Como lo ha sostenido la Corte Suprema de Justicia de la Nación:</w:t>
      </w:r>
      <w:r w:rsidRPr="00444759">
        <w:rPr>
          <w:u w:val="single"/>
        </w:rPr>
        <w:br/>
      </w:r>
      <w:r w:rsidRPr="00444759">
        <w:rPr>
          <w:rStyle w:val="nfasis"/>
          <w:u w:val="single"/>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444759">
        <w:rPr>
          <w:u w:val="single"/>
        </w:rPr>
        <w:t xml:space="preserve"> (Fallos 330:4866, considerando 15). Si bien el legislador tiene amplias facultades para organizar el sistema previsional, debe hacerlo dentro de límites razonables, de modo que no afecte sustancialmente los derechos emergentes de la seguridad social (Fallos 337:1277).</w:t>
      </w:r>
    </w:p>
    <w:p w14:paraId="55C8F373" w14:textId="77777777" w:rsidR="00E419CE" w:rsidRPr="00444759" w:rsidRDefault="00E419CE" w:rsidP="00E419CE">
      <w:pPr>
        <w:pStyle w:val="NormalWeb"/>
        <w:ind w:firstLine="709"/>
        <w:jc w:val="both"/>
        <w:rPr>
          <w:u w:val="single"/>
        </w:rPr>
      </w:pPr>
      <w:r w:rsidRPr="00444759">
        <w:rPr>
          <w:u w:val="single"/>
        </w:rPr>
        <w:t>La afectación del derecho a la movilidad jubilatoria conlleva también una lesión al derecho de propiedad, al derecho a una vejez digna, a la libertad y a la vida misma, ya que la disminución del haber coloca al jubilado por debajo de la línea de pobreza. El haber previsional no refleja el esfuerzo contributivo realizado durante toda una vida laboral y, por ende, no resulta sustitutivo del salario.</w:t>
      </w:r>
    </w:p>
    <w:p w14:paraId="19305ABF" w14:textId="77777777" w:rsidR="00E419CE" w:rsidRPr="00444759" w:rsidRDefault="00E419CE" w:rsidP="00E419CE">
      <w:pPr>
        <w:pStyle w:val="NormalWeb"/>
        <w:ind w:firstLine="709"/>
        <w:jc w:val="both"/>
        <w:rPr>
          <w:u w:val="single"/>
        </w:rPr>
      </w:pPr>
      <w:r w:rsidRPr="00444759">
        <w:rPr>
          <w:u w:val="single"/>
        </w:rPr>
        <w:t>Además, los otros dos poderes del Estado han admitido expresamente el fracaso de la fórmula de movilidad jubilatoria, la pérdida de poder adquisitivo que generó en los jubilados y la situación de emergencia en la que los colocó. Sin embargo, las soluciones propuestas miran hacia el futuro, ignorando la necesidad de recomponer el daño del pasado.</w:t>
      </w:r>
    </w:p>
    <w:p w14:paraId="6F160E4D" w14:textId="77777777" w:rsidR="00E419CE" w:rsidRPr="00444759" w:rsidRDefault="00E419CE" w:rsidP="00E419CE">
      <w:pPr>
        <w:pStyle w:val="NormalWeb"/>
        <w:ind w:firstLine="709"/>
        <w:jc w:val="both"/>
        <w:rPr>
          <w:u w:val="single"/>
        </w:rPr>
      </w:pPr>
      <w:r w:rsidRPr="00444759">
        <w:rPr>
          <w:u w:val="single"/>
        </w:rPr>
        <w:t>Como sostuvo la Corte Suprema de Justicia de la Nación en Fallos 301:317:</w:t>
      </w:r>
      <w:r w:rsidRPr="00444759">
        <w:rPr>
          <w:rStyle w:val="nfasis"/>
          <w:u w:val="single"/>
        </w:rPr>
        <w:t>"La Constitución Nacional establece que 'el Estado otorgará los beneficios de la seguridad social' y dispone que las jubilaciones y pensiones serán móviles. Es indudable que este mandato constitucional se dirige primordialmente al legislador, que debe establecer criterios adecuados a la realidad para determinar los haberes previsionales. Sin embargo, los cambios de circunstancias pueden tornar irrazonable una solución legal que en su inicio fue correcta. En tales casos, el cumplimiento del mandato constitucional atañe también a los restantes poderes públicos, que deberán, dentro de su competencia, hacer prevalecer el espíritu de los constituyentes conforme a las exigencias de justicia"</w:t>
      </w:r>
      <w:r w:rsidRPr="00444759">
        <w:rPr>
          <w:u w:val="single"/>
        </w:rPr>
        <w:t xml:space="preserve"> (el subrayado me pertenece).</w:t>
      </w:r>
    </w:p>
    <w:p w14:paraId="3C2F93AA" w14:textId="77777777" w:rsidR="00E419CE" w:rsidRPr="00444759" w:rsidRDefault="00E419CE" w:rsidP="00E419CE">
      <w:pPr>
        <w:pStyle w:val="NormalWeb"/>
        <w:ind w:firstLine="709"/>
        <w:jc w:val="both"/>
        <w:rPr>
          <w:u w:val="single"/>
        </w:rPr>
      </w:pPr>
      <w:r w:rsidRPr="00444759">
        <w:rPr>
          <w:u w:val="single"/>
        </w:rPr>
        <w:t>El análisis no puede ser sesgado. Lo que en su momento pudo ser razonable se ha tornado irrazonable ante el cambio de circunstancias, como lo evidencia el análisis de constitucionalidad de la Ley 27.609 en la etapa de ejecución. La movilidad jubilatoria otorgada por esta ley quedó muy por debajo de la inflación, como se acredita en autos.</w:t>
      </w:r>
    </w:p>
    <w:p w14:paraId="0840A59F" w14:textId="77777777" w:rsidR="00E419CE" w:rsidRPr="00444759" w:rsidRDefault="00E419CE" w:rsidP="00E419CE">
      <w:pPr>
        <w:pStyle w:val="NormalWeb"/>
        <w:ind w:firstLine="709"/>
        <w:jc w:val="both"/>
        <w:rPr>
          <w:u w:val="single"/>
        </w:rPr>
      </w:pPr>
      <w:r w:rsidRPr="00444759">
        <w:rPr>
          <w:u w:val="single"/>
        </w:rPr>
        <w:t>Dependerá del índice que se elija para comparar los aumentos otorgados por ANSES a los jubilados determinar la pérdida real del haber. No obstante, con cualquier índice que se utilice, siempre habrá pérdida, siendo la más significativa frente al índice inflacionario, que ahora se aplicará para la movilidad jubilatoria a partir de abril de 2024. La fórmula de movilidad de la Ley 27.609 no consideraba la inflación como un componente directo, sino otras variables, como la recaudación tributaria, los recursos y los beneficiarios del sistema, variables que fueron modificadas por el gobierno de turno. Además, los aumentos otorgados presentan un rezago insostenible de 6 a 9 meses, lo cual agrava la situación en el contexto inflacionario que atravesamos</w:t>
      </w:r>
    </w:p>
    <w:p w14:paraId="331E7577" w14:textId="77777777" w:rsidR="00E419CE" w:rsidRPr="00444759" w:rsidRDefault="00E419CE" w:rsidP="00E419CE">
      <w:pPr>
        <w:ind w:firstLine="1560"/>
        <w:jc w:val="both"/>
        <w:rPr>
          <w:rFonts w:eastAsia="Calibri"/>
          <w:u w:val="single"/>
        </w:rPr>
      </w:pPr>
      <w:r w:rsidRPr="00444759">
        <w:rPr>
          <w:u w:val="single"/>
          <w:lang w:eastAsia="es-MX"/>
        </w:rPr>
        <w:t>Los  bonos otorgados a las jubilaciones mínimas en vigencia de la ley 27.609,   parecería colocar a los jubilados en una situación similar a lo que sucedió en el período 2002 a 2006 que obligó a que la CSJN dictara el fallo  Badaro (</w:t>
      </w:r>
      <w:hyperlink r:id="rId9">
        <w:r w:rsidRPr="00444759">
          <w:rPr>
            <w:color w:val="0563C1"/>
            <w:u w:val="single"/>
            <w:lang w:eastAsia="es-MX"/>
          </w:rPr>
          <w:t>330:4866</w:t>
        </w:r>
      </w:hyperlink>
      <w:r w:rsidRPr="00444759">
        <w:rPr>
          <w:u w:val="single"/>
          <w:lang w:eastAsia="es-MX"/>
        </w:rPr>
        <w:t>) y eligiera un índice salarial para 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444759">
        <w:rPr>
          <w:rFonts w:eastAsia="Calibri"/>
          <w:u w:val="single"/>
        </w:rPr>
        <w:t>, por lo que los índices salariales, salvo el UMA, no refleja una variación real de los salarios y están muy alejados de la inflación en mayores periodos inflacionarios.</w:t>
      </w:r>
    </w:p>
    <w:p w14:paraId="328D329E" w14:textId="77777777" w:rsidR="00E419CE" w:rsidRPr="00444759" w:rsidRDefault="00E419CE" w:rsidP="00E419CE">
      <w:pPr>
        <w:ind w:firstLine="1560"/>
        <w:jc w:val="both"/>
        <w:rPr>
          <w:u w:val="single"/>
          <w:lang w:eastAsia="es-MX"/>
        </w:rPr>
      </w:pPr>
    </w:p>
    <w:p w14:paraId="6DDBAFD0" w14:textId="77777777" w:rsidR="00E419CE" w:rsidRPr="00444759" w:rsidRDefault="00E419CE" w:rsidP="00E419CE">
      <w:pPr>
        <w:ind w:firstLine="1560"/>
        <w:jc w:val="both"/>
        <w:rPr>
          <w:bCs/>
          <w:u w:val="single"/>
          <w:lang w:eastAsia="es-MX"/>
        </w:rPr>
      </w:pPr>
      <w:r w:rsidRPr="00444759">
        <w:rPr>
          <w:rFonts w:eastAsia="Calibri"/>
          <w:u w:val="single"/>
        </w:rPr>
        <w:t xml:space="preserve">Solicito analice el pedido de inconstitucionalidad teniendo en cuenta el desarrollo que hace la CSJN sobre el  </w:t>
      </w:r>
      <w:hyperlink r:id="rId10" w:history="1">
        <w:r w:rsidRPr="00444759">
          <w:rPr>
            <w:rFonts w:eastAsia="Calibri"/>
            <w:color w:val="0563C1"/>
            <w:u w:val="single"/>
          </w:rPr>
          <w:t>principio de progresividad</w:t>
        </w:r>
      </w:hyperlink>
      <w:r w:rsidRPr="00444759">
        <w:rPr>
          <w:rFonts w:eastAsia="Calibri"/>
          <w:u w:val="single"/>
        </w:rPr>
        <w:t xml:space="preserve"> en materia previsional  y e</w:t>
      </w:r>
      <w:r w:rsidRPr="00444759">
        <w:rPr>
          <w:rFonts w:eastAsia="Calibri"/>
          <w:color w:val="333333"/>
          <w:u w:val="single"/>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444759">
        <w:rPr>
          <w:rFonts w:eastAsia="Calibri"/>
          <w:i/>
          <w:u w:val="single"/>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444759">
        <w:rPr>
          <w:rFonts w:eastAsia="Calibri"/>
          <w:u w:val="single"/>
        </w:rPr>
        <w:t xml:space="preserve"> (</w:t>
      </w:r>
      <w:hyperlink r:id="rId11" w:history="1">
        <w:r w:rsidRPr="00444759">
          <w:rPr>
            <w:rFonts w:eastAsia="Calibri"/>
            <w:color w:val="0563C1"/>
            <w:u w:val="single"/>
          </w:rPr>
          <w:t>Fallos: 307: 2376</w:t>
        </w:r>
      </w:hyperlink>
      <w:r w:rsidRPr="00444759">
        <w:rPr>
          <w:rFonts w:eastAsia="Calibri"/>
          <w:u w:val="single"/>
        </w:rPr>
        <w:t xml:space="preserve">),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 en los </w:t>
      </w:r>
      <w:r w:rsidRPr="00444759">
        <w:rPr>
          <w:rFonts w:eastAsia="Calibri"/>
          <w:u w:val="single"/>
          <w:lang w:eastAsia="es-AR"/>
        </w:rPr>
        <w:t xml:space="preserve">Fallos </w:t>
      </w:r>
      <w:hyperlink r:id="rId12" w:history="1">
        <w:r w:rsidRPr="00444759">
          <w:rPr>
            <w:rFonts w:eastAsia="Calibri"/>
            <w:color w:val="0563C1"/>
            <w:u w:val="single"/>
            <w:lang w:eastAsia="es-AR"/>
          </w:rPr>
          <w:t>“Itzcovich”(</w:t>
        </w:r>
      </w:hyperlink>
      <w:r w:rsidRPr="00444759">
        <w:rPr>
          <w:rFonts w:eastAsia="Calibri"/>
          <w:u w:val="single"/>
          <w:lang w:eastAsia="es-AR"/>
        </w:rPr>
        <w:t>328:566),</w:t>
      </w:r>
      <w:hyperlink r:id="rId13" w:history="1">
        <w:r w:rsidRPr="00444759">
          <w:rPr>
            <w:rFonts w:eastAsia="Calibri"/>
            <w:color w:val="0563C1"/>
            <w:u w:val="single"/>
            <w:lang w:eastAsia="es-AR"/>
          </w:rPr>
          <w:t>“Sánchez”</w:t>
        </w:r>
      </w:hyperlink>
      <w:r w:rsidRPr="00444759">
        <w:rPr>
          <w:rFonts w:eastAsia="Calibri"/>
          <w:u w:val="single"/>
          <w:lang w:eastAsia="es-AR"/>
        </w:rPr>
        <w:t>(328:1602),</w:t>
      </w:r>
      <w:hyperlink r:id="rId14" w:history="1">
        <w:r w:rsidRPr="00444759">
          <w:rPr>
            <w:rFonts w:eastAsia="Calibri"/>
            <w:color w:val="0563C1"/>
            <w:u w:val="single"/>
            <w:lang w:eastAsia="es-AR"/>
          </w:rPr>
          <w:t>“Badaro”(</w:t>
        </w:r>
      </w:hyperlink>
      <w:r w:rsidRPr="00444759">
        <w:rPr>
          <w:rFonts w:eastAsia="Calibri"/>
          <w:u w:val="single"/>
          <w:lang w:eastAsia="es-AR"/>
        </w:rPr>
        <w:t>330:4866),</w:t>
      </w:r>
      <w:bookmarkStart w:id="1" w:name="_Hlk157989214"/>
      <w:r w:rsidRPr="00444759">
        <w:rPr>
          <w:rFonts w:ascii="Calibri" w:eastAsia="Calibri" w:hAnsi="Calibri"/>
          <w:sz w:val="22"/>
          <w:szCs w:val="22"/>
          <w:u w:val="single"/>
          <w:lang w:eastAsia="en-US"/>
        </w:rPr>
        <w:fldChar w:fldCharType="begin"/>
      </w:r>
      <w:r w:rsidRPr="00444759">
        <w:rPr>
          <w:rFonts w:ascii="Calibri" w:eastAsia="Calibri" w:hAnsi="Calibri"/>
          <w:u w:val="single"/>
        </w:rPr>
        <w:instrText>HYPERLINK "https://sjconsulta.csjn.gov.ar/sjconsulta/documentos/verDocumentoByIdLinksJSP.html?idDocumento=7496611"</w:instrText>
      </w:r>
      <w:r w:rsidRPr="00444759">
        <w:rPr>
          <w:rFonts w:ascii="Calibri" w:eastAsia="Calibri" w:hAnsi="Calibri"/>
          <w:sz w:val="22"/>
          <w:szCs w:val="22"/>
          <w:u w:val="single"/>
          <w:lang w:eastAsia="en-US"/>
        </w:rPr>
      </w:r>
      <w:r w:rsidRPr="00444759">
        <w:rPr>
          <w:rFonts w:ascii="Calibri" w:eastAsia="Calibri" w:hAnsi="Calibri"/>
          <w:sz w:val="22"/>
          <w:szCs w:val="22"/>
          <w:u w:val="single"/>
          <w:lang w:eastAsia="en-US"/>
        </w:rPr>
        <w:fldChar w:fldCharType="separate"/>
      </w:r>
      <w:r w:rsidRPr="00444759">
        <w:rPr>
          <w:rFonts w:eastAsia="Calibri"/>
          <w:color w:val="0563C1"/>
          <w:u w:val="single"/>
          <w:lang w:eastAsia="es-AR"/>
        </w:rPr>
        <w:t>“Blanco”(</w:t>
      </w:r>
      <w:r w:rsidRPr="00444759">
        <w:rPr>
          <w:rFonts w:eastAsia="Calibri"/>
          <w:color w:val="0563C1"/>
          <w:u w:val="single"/>
          <w:lang w:eastAsia="es-AR"/>
        </w:rPr>
        <w:fldChar w:fldCharType="end"/>
      </w:r>
      <w:r w:rsidRPr="00444759">
        <w:rPr>
          <w:rFonts w:eastAsia="Calibri"/>
          <w:u w:val="single"/>
          <w:lang w:eastAsia="es-AR"/>
        </w:rPr>
        <w:t>341:1924)</w:t>
      </w:r>
      <w:bookmarkEnd w:id="1"/>
      <w:r w:rsidRPr="00444759">
        <w:rPr>
          <w:rFonts w:ascii="Calibri" w:eastAsia="Calibri" w:hAnsi="Calibri"/>
          <w:sz w:val="22"/>
          <w:szCs w:val="22"/>
          <w:u w:val="single"/>
          <w:lang w:eastAsia="en-US"/>
        </w:rPr>
        <w:fldChar w:fldCharType="begin"/>
      </w:r>
      <w:r w:rsidRPr="00444759">
        <w:rPr>
          <w:rFonts w:ascii="Calibri" w:eastAsia="Calibri" w:hAnsi="Calibri"/>
          <w:u w:val="single"/>
        </w:rPr>
        <w:instrText>HYPERLINK "https://sjconsulta.csjn.gov.ar/sjconsulta/documentos/verDocumentoByIdLinksJSP.html?idDocumento=7678911"</w:instrText>
      </w:r>
      <w:r w:rsidRPr="00444759">
        <w:rPr>
          <w:rFonts w:ascii="Calibri" w:eastAsia="Calibri" w:hAnsi="Calibri"/>
          <w:sz w:val="22"/>
          <w:szCs w:val="22"/>
          <w:u w:val="single"/>
          <w:lang w:eastAsia="en-US"/>
        </w:rPr>
      </w:r>
      <w:r w:rsidRPr="00444759">
        <w:rPr>
          <w:rFonts w:ascii="Calibri" w:eastAsia="Calibri" w:hAnsi="Calibri"/>
          <w:sz w:val="22"/>
          <w:szCs w:val="22"/>
          <w:u w:val="single"/>
          <w:lang w:eastAsia="en-US"/>
        </w:rPr>
        <w:fldChar w:fldCharType="separate"/>
      </w:r>
      <w:r w:rsidRPr="00444759">
        <w:rPr>
          <w:rFonts w:eastAsia="Calibri"/>
          <w:color w:val="0563C1"/>
          <w:u w:val="single"/>
          <w:lang w:eastAsia="es-AR"/>
        </w:rPr>
        <w:t>“Giménez”(</w:t>
      </w:r>
      <w:r w:rsidRPr="00444759">
        <w:rPr>
          <w:rFonts w:eastAsia="Calibri"/>
          <w:color w:val="0563C1"/>
          <w:u w:val="single"/>
          <w:lang w:eastAsia="es-AR"/>
        </w:rPr>
        <w:fldChar w:fldCharType="end"/>
      </w:r>
      <w:r w:rsidRPr="00444759">
        <w:rPr>
          <w:rFonts w:eastAsia="Calibri"/>
          <w:u w:val="single"/>
          <w:lang w:eastAsia="es-AR"/>
        </w:rPr>
        <w:t>344:1788), “</w:t>
      </w:r>
      <w:hyperlink r:id="rId15" w:history="1">
        <w:r w:rsidRPr="00444759">
          <w:rPr>
            <w:rFonts w:eastAsia="Calibri"/>
            <w:color w:val="0563C1"/>
            <w:u w:val="single"/>
            <w:lang w:eastAsia="es-AR"/>
          </w:rPr>
          <w:t>Garay Corina</w:t>
        </w:r>
      </w:hyperlink>
      <w:r w:rsidRPr="00444759">
        <w:rPr>
          <w:rFonts w:eastAsia="Calibri"/>
          <w:u w:val="single"/>
          <w:lang w:eastAsia="es-AR"/>
        </w:rPr>
        <w:t>” (344:3567) entre otros.</w:t>
      </w:r>
    </w:p>
    <w:p w14:paraId="1FF4A54B" w14:textId="77777777" w:rsidR="00E419CE" w:rsidRPr="00444759" w:rsidRDefault="00E419CE" w:rsidP="00E419CE">
      <w:pPr>
        <w:ind w:firstLine="1560"/>
        <w:jc w:val="both"/>
        <w:rPr>
          <w:rFonts w:eastAsia="Calibri"/>
          <w:color w:val="000000"/>
          <w:u w:val="single"/>
          <w:lang w:val="es-MX" w:eastAsia="es-AR"/>
        </w:rPr>
      </w:pPr>
      <w:r w:rsidRPr="00444759">
        <w:rPr>
          <w:rFonts w:eastAsia="Calibri"/>
          <w:color w:val="000000"/>
          <w:u w:val="single"/>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16" w:history="1">
        <w:r w:rsidRPr="00444759">
          <w:rPr>
            <w:rFonts w:eastAsia="Calibri"/>
            <w:color w:val="0563C1"/>
            <w:u w:val="single"/>
            <w:lang w:val="es-MX" w:eastAsia="es-AR"/>
          </w:rPr>
          <w:t>(Fallos 331:250</w:t>
        </w:r>
      </w:hyperlink>
      <w:r w:rsidRPr="00444759">
        <w:rPr>
          <w:rFonts w:eastAsia="Calibri"/>
          <w:color w:val="000000"/>
          <w:u w:val="single"/>
          <w:lang w:val="es-MX" w:eastAsia="es-AR"/>
        </w:rPr>
        <w:t xml:space="preserve">). </w:t>
      </w:r>
    </w:p>
    <w:p w14:paraId="0775E2ED" w14:textId="77777777" w:rsidR="00E419CE" w:rsidRPr="00444759" w:rsidRDefault="00E419CE" w:rsidP="00E419CE">
      <w:pPr>
        <w:ind w:firstLine="1560"/>
        <w:jc w:val="both"/>
        <w:rPr>
          <w:rFonts w:eastAsia="Calibri"/>
          <w:u w:val="single"/>
          <w:lang w:val="es-AR"/>
        </w:rPr>
      </w:pPr>
      <w:r w:rsidRPr="00444759">
        <w:rPr>
          <w:rFonts w:eastAsia="Calibri"/>
          <w:u w:val="single"/>
          <w:lang w:val="es-AR"/>
        </w:rPr>
        <w:t>Cada reforma previsional en nuestro país se ha desarrollado en un marco de sucesivas emergencias casi inacabables, lo que lleva a cuestionarnos, como bien señala Cassagne, si estas reformas cumplen con “el marco constitucional de la emergencia”. Según este autor, dicho marco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de la Constitución Nacional”.</w:t>
      </w:r>
    </w:p>
    <w:p w14:paraId="508F45CF" w14:textId="77777777" w:rsidR="00E419CE" w:rsidRPr="00444759" w:rsidRDefault="00E419CE" w:rsidP="00E419CE">
      <w:pPr>
        <w:ind w:firstLine="1560"/>
        <w:jc w:val="both"/>
        <w:rPr>
          <w:rFonts w:eastAsia="Calibri"/>
          <w:u w:val="single"/>
          <w:lang w:val="es-AR"/>
        </w:rPr>
      </w:pPr>
      <w:r w:rsidRPr="00444759">
        <w:rPr>
          <w:rFonts w:eastAsia="Calibri"/>
          <w:u w:val="single"/>
          <w:lang w:val="es-AR"/>
        </w:rPr>
        <w:t xml:space="preserve">La normalización de la emergencia y sus graves consecuencias en el cercenamiento de derechos constitucionales son tan evidentes que el entonces presidente de la Corte Suprema de Justicia de la Nación advirtió hace más de diez años: </w:t>
      </w:r>
      <w:r w:rsidRPr="00444759">
        <w:rPr>
          <w:rFonts w:eastAsia="Calibri"/>
          <w:i/>
          <w:iCs/>
          <w:u w:val="single"/>
          <w:lang w:val="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p>
    <w:p w14:paraId="2375FA61" w14:textId="77777777" w:rsidR="00E419CE" w:rsidRPr="00444759" w:rsidRDefault="00E419CE" w:rsidP="00E419CE">
      <w:pPr>
        <w:ind w:firstLine="1560"/>
        <w:jc w:val="both"/>
        <w:rPr>
          <w:rFonts w:eastAsia="Calibri"/>
          <w:u w:val="single"/>
          <w:lang w:val="es-AR"/>
        </w:rPr>
      </w:pPr>
      <w:r w:rsidRPr="00444759">
        <w:rPr>
          <w:rFonts w:eastAsia="Calibri"/>
          <w:u w:val="single"/>
          <w:lang w:val="es-AR"/>
        </w:rPr>
        <w:t xml:space="preserve">Este estado de emergencia permanente ha generado un Estado que prioriza variables económicas y financieras coyunturales sobre las libertades y derechos fundamentales. Ante el altar de la emergencia, el Estado, ya sea por acción u omisión, ha sacrificado sistemáticamente derechos elementales reconocidos por la Constitución Nacional, especialmente los de los grupos más vulnerables. Esto ha dado lugar a la violación de principios fundamentales, como el de </w:t>
      </w:r>
      <w:r w:rsidRPr="00444759">
        <w:rPr>
          <w:rFonts w:eastAsia="Calibri"/>
          <w:b/>
          <w:bCs/>
          <w:u w:val="single"/>
          <w:lang w:val="es-AR"/>
        </w:rPr>
        <w:t>progresividad y no regresividad</w:t>
      </w:r>
      <w:r w:rsidRPr="00444759">
        <w:rPr>
          <w:rFonts w:eastAsia="Calibri"/>
          <w:u w:val="single"/>
          <w:lang w:val="es-AR"/>
        </w:rPr>
        <w:t>, que exigen un escrutinio agravado de la razonabilidad de las normas adoptadas tanto por el legislador como por el Poder Ejecutivo Nacional en contextos de emergencia.</w:t>
      </w:r>
    </w:p>
    <w:p w14:paraId="00132F76" w14:textId="77777777" w:rsidR="00E419CE" w:rsidRPr="00444759" w:rsidRDefault="00E419CE" w:rsidP="00E419CE">
      <w:pPr>
        <w:ind w:firstLine="1560"/>
        <w:jc w:val="both"/>
        <w:rPr>
          <w:rFonts w:eastAsia="Calibri"/>
          <w:u w:val="single"/>
          <w:lang w:val="es-AR"/>
        </w:rPr>
      </w:pPr>
      <w:r w:rsidRPr="00444759">
        <w:rPr>
          <w:rFonts w:eastAsia="Calibri"/>
          <w:u w:val="single"/>
          <w:lang w:val="es-AR"/>
        </w:rPr>
        <w:t>Como afirma Rossi, las medidas regresivas que afectan a grupos vulnerables deben ser excepcionalísimas y sometidas a un escrutinio más estricto. La deferencia hacia el Estado en la adopción de estas medidas debe ser mínima, ya que el contenido mínimo de un derecho no admite restricción alguna, ni tampoco lo admite el estado de goce y ejercicio de un derecho por grupos desfavorecidos.</w:t>
      </w:r>
    </w:p>
    <w:p w14:paraId="7B107BA2" w14:textId="77777777" w:rsidR="00E419CE" w:rsidRPr="00444759" w:rsidRDefault="00E419CE" w:rsidP="00E419CE">
      <w:pPr>
        <w:ind w:firstLine="1560"/>
        <w:jc w:val="both"/>
        <w:rPr>
          <w:rFonts w:eastAsia="Calibri"/>
          <w:u w:val="single"/>
          <w:lang w:val="es-AR"/>
        </w:rPr>
      </w:pPr>
      <w:r w:rsidRPr="00444759">
        <w:rPr>
          <w:rFonts w:eastAsia="Calibri"/>
          <w:u w:val="single"/>
          <w:lang w:val="es-AR"/>
        </w:rPr>
        <w:t xml:space="preserve">La Corte Suprema de Justicia de la Nación, al referirse a la emergencia y los grupos vulnerables, sostuvo: </w:t>
      </w:r>
      <w:r w:rsidRPr="00444759">
        <w:rPr>
          <w:rFonts w:eastAsia="Calibri"/>
          <w:i/>
          <w:iCs/>
          <w:u w:val="single"/>
          <w:lang w:val="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444759">
        <w:rPr>
          <w:rFonts w:eastAsia="Calibri"/>
          <w:u w:val="single"/>
          <w:lang w:val="es-AR"/>
        </w:rPr>
        <w:t xml:space="preserve"> (Fallos 341:1924).</w:t>
      </w:r>
    </w:p>
    <w:p w14:paraId="4263F7C7" w14:textId="77777777" w:rsidR="00E419CE" w:rsidRPr="00444759" w:rsidRDefault="00E419CE" w:rsidP="00E419CE">
      <w:pPr>
        <w:ind w:firstLine="1560"/>
        <w:jc w:val="both"/>
        <w:rPr>
          <w:rFonts w:eastAsia="Calibri"/>
          <w:u w:val="single"/>
          <w:lang w:val="es-AR"/>
        </w:rPr>
      </w:pPr>
      <w:r w:rsidRPr="00444759">
        <w:rPr>
          <w:rFonts w:eastAsia="Calibri"/>
          <w:u w:val="single"/>
          <w:lang w:val="es-AR"/>
        </w:rPr>
        <w:t>Por lo expuesto, en casos como el presente, la prohibición de regresividad agrega un nuevo criterio al control de razonabilidad de las leyes y reglamentos. Esto es especialmente relevante cuando se examinan judicialmente normas que afectan derechos económicos, sociales y culturales. Por ello, solicito a V.S. que haga lugar a la petición formulada y se intime al Congreso de la Nación a cumplir con el mandato del art. 14 bis de la Constitución Nacional, reparando el daño sufrido en el haber de mi mandante. Esto implica fijar el contenido concreto de las jubilaciones en el período en debate, como sostuvo la CSJN en el caso “Blanco”, con especial consideración de los principios de proporcionalidad y sustitutividad establecidos por este Tribunal en precedentes como Fallos 279:389, 280:424, 292:447, 293:235, 300:84, 571, 305:866, 328:1602.</w:t>
      </w:r>
    </w:p>
    <w:p w14:paraId="10257393" w14:textId="5208FE33" w:rsidR="00E419CE" w:rsidRDefault="00E419CE" w:rsidP="00E419CE">
      <w:pPr>
        <w:ind w:firstLine="1560"/>
        <w:jc w:val="both"/>
        <w:rPr>
          <w:rFonts w:eastAsia="Calibri"/>
          <w:color w:val="000000"/>
          <w:lang w:eastAsia="es-AR"/>
        </w:rPr>
      </w:pPr>
      <w:r w:rsidRPr="00444759">
        <w:rPr>
          <w:rFonts w:eastAsia="Calibri"/>
          <w:u w:val="single"/>
          <w:lang w:val="es-AR"/>
        </w:rPr>
        <w:t>Asimismo, estos principios, que en el fallo “Blanco” se referían al índice de actualización de remuneraciones, son igualmente aplicables a la pauta de movilidad. Solo con esta perspectiva integral se podrá garantizar la plena efectividad de los derechos consagrados en nuestra Ley Fundamental y proteger a los sectores más vulnerable</w:t>
      </w:r>
      <w:r w:rsidR="00444759">
        <w:rPr>
          <w:rFonts w:eastAsia="Calibri"/>
          <w:u w:val="single"/>
          <w:lang w:val="es-AR"/>
        </w:rPr>
        <w:t>.</w:t>
      </w:r>
      <w:r>
        <w:rPr>
          <w:rFonts w:eastAsia="Calibri"/>
          <w:lang w:val="es-AR"/>
        </w:rPr>
        <w:t xml:space="preserve"> </w:t>
      </w:r>
      <w:r>
        <w:rPr>
          <w:rFonts w:eastAsia="Calibri"/>
          <w:color w:val="000000"/>
          <w:lang w:eastAsia="es-AR"/>
        </w:rPr>
        <w:t xml:space="preserve">{% endif %} {% if </w:t>
      </w:r>
      <w:r w:rsidRPr="004A7A00">
        <w:rPr>
          <w:rFonts w:eastAsia="Calibri"/>
          <w:color w:val="000000"/>
          <w:lang w:eastAsia="es-AR"/>
        </w:rPr>
        <w:t>ley_27426_Si</w:t>
      </w:r>
      <w:r>
        <w:rPr>
          <w:rFonts w:eastAsia="Calibri"/>
          <w:color w:val="000000"/>
          <w:lang w:eastAsia="es-AR"/>
        </w:rPr>
        <w:t xml:space="preserve"> %}</w:t>
      </w:r>
    </w:p>
    <w:p w14:paraId="5FD9FE23" w14:textId="77777777" w:rsidR="003432B3" w:rsidRDefault="003432B3" w:rsidP="003432B3">
      <w:pPr>
        <w:numPr>
          <w:ilvl w:val="0"/>
          <w:numId w:val="16"/>
        </w:numPr>
        <w:autoSpaceDE w:val="0"/>
        <w:autoSpaceDN w:val="0"/>
        <w:adjustRightInd w:val="0"/>
        <w:ind w:left="1146"/>
        <w:jc w:val="both"/>
        <w:rPr>
          <w:b/>
          <w:bCs/>
        </w:rPr>
      </w:pPr>
      <w:r>
        <w:rPr>
          <w:b/>
          <w:bCs/>
        </w:rPr>
        <w:t>INCOSTITUCIONALIDAD DE LA LEY 27.426</w:t>
      </w:r>
    </w:p>
    <w:p w14:paraId="48F77A47" w14:textId="77777777" w:rsidR="003432B3" w:rsidRPr="00247710" w:rsidRDefault="003432B3" w:rsidP="003432B3">
      <w:pPr>
        <w:autoSpaceDE w:val="0"/>
        <w:autoSpaceDN w:val="0"/>
        <w:adjustRightInd w:val="0"/>
        <w:ind w:firstLine="708"/>
        <w:jc w:val="both"/>
        <w:rPr>
          <w:bCs/>
          <w:i/>
          <w:iCs/>
        </w:rPr>
      </w:pPr>
      <w:r w:rsidRPr="00247710">
        <w:rPr>
          <w:bCs/>
        </w:rPr>
        <w:t>Esta parte solicita la inconstitucionalidad del art 2 de la ley 27.426: “</w:t>
      </w:r>
      <w:r w:rsidRPr="00247710">
        <w:rPr>
          <w:bCs/>
          <w:i/>
          <w:iCs/>
        </w:rPr>
        <w:t xml:space="preserve"> la primera actualización en base a la nueva movilidad dispuesta se haría efectiva a partir del 1° de marzo de 2018.</w:t>
      </w:r>
      <w:r w:rsidRPr="00247710">
        <w:rPr>
          <w:bCs/>
        </w:rPr>
        <w:t>”</w:t>
      </w:r>
    </w:p>
    <w:p w14:paraId="591ACF68" w14:textId="77777777" w:rsidR="003432B3" w:rsidRPr="00247710" w:rsidRDefault="003432B3" w:rsidP="003432B3">
      <w:pPr>
        <w:autoSpaceDE w:val="0"/>
        <w:autoSpaceDN w:val="0"/>
        <w:adjustRightInd w:val="0"/>
        <w:ind w:firstLine="708"/>
        <w:jc w:val="both"/>
        <w:rPr>
          <w:bCs/>
        </w:rPr>
      </w:pPr>
      <w:r w:rsidRPr="00247710">
        <w:rPr>
          <w:bCs/>
        </w:rPr>
        <w:t>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del mismo en el haber de mi mandante afecta derechos constitucionales lo cual torna inconstitucional al art 2 de la ley 27.426.</w:t>
      </w:r>
    </w:p>
    <w:p w14:paraId="7493ABE9" w14:textId="77777777" w:rsidR="003432B3" w:rsidRPr="00247710" w:rsidRDefault="003432B3" w:rsidP="003432B3">
      <w:pPr>
        <w:autoSpaceDE w:val="0"/>
        <w:autoSpaceDN w:val="0"/>
        <w:adjustRightInd w:val="0"/>
        <w:ind w:firstLine="708"/>
        <w:jc w:val="both"/>
        <w:rPr>
          <w:bCs/>
        </w:rPr>
      </w:pPr>
      <w:r w:rsidRPr="00247710">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6036EF65" w14:textId="77777777" w:rsidR="003432B3" w:rsidRPr="00247710" w:rsidRDefault="003432B3" w:rsidP="003432B3">
      <w:pPr>
        <w:autoSpaceDE w:val="0"/>
        <w:autoSpaceDN w:val="0"/>
        <w:adjustRightInd w:val="0"/>
        <w:ind w:firstLine="708"/>
        <w:jc w:val="both"/>
        <w:rPr>
          <w:bCs/>
        </w:rPr>
      </w:pPr>
      <w:r w:rsidRPr="00247710">
        <w:rPr>
          <w:bCs/>
        </w:rPr>
        <w:t xml:space="preserve">El art 7 Código Civil y Comercial de la Nación establece respecto de la eficacia temporal de las normas que </w:t>
      </w:r>
      <w:r w:rsidRPr="00247710">
        <w:rPr>
          <w:bCs/>
          <w:i/>
          <w:iCs/>
        </w:rPr>
        <w:t>“a partir de su entrada en vigencia,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368AE94F" w14:textId="77777777" w:rsidR="003432B3" w:rsidRPr="00247710" w:rsidRDefault="003432B3" w:rsidP="003432B3">
      <w:pPr>
        <w:autoSpaceDE w:val="0"/>
        <w:autoSpaceDN w:val="0"/>
        <w:adjustRightInd w:val="0"/>
        <w:ind w:firstLine="708"/>
        <w:jc w:val="both"/>
        <w:rPr>
          <w:bCs/>
        </w:rPr>
      </w:pPr>
      <w:r w:rsidRPr="00247710">
        <w:rPr>
          <w:bCs/>
        </w:rPr>
        <w:t>Es decir que a la relación o situación ya constituida se le aplicará la ley nueva sancionada, para regir las instancias aún no cumplidas de dicha relación/situación. Solo las instancias ya finalizadas estarán regidas por la ley anterior.</w:t>
      </w:r>
    </w:p>
    <w:p w14:paraId="0A253998" w14:textId="77777777" w:rsidR="003432B3" w:rsidRPr="00247710" w:rsidRDefault="003432B3" w:rsidP="003432B3">
      <w:pPr>
        <w:autoSpaceDE w:val="0"/>
        <w:autoSpaceDN w:val="0"/>
        <w:adjustRightInd w:val="0"/>
        <w:ind w:firstLine="708"/>
        <w:jc w:val="both"/>
        <w:rPr>
          <w:bCs/>
        </w:rPr>
      </w:pPr>
      <w:r w:rsidRPr="00247710">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511F310B" w14:textId="77777777" w:rsidR="003432B3" w:rsidRPr="00247710" w:rsidRDefault="003432B3" w:rsidP="003432B3">
      <w:pPr>
        <w:autoSpaceDE w:val="0"/>
        <w:autoSpaceDN w:val="0"/>
        <w:adjustRightInd w:val="0"/>
        <w:ind w:firstLine="708"/>
        <w:jc w:val="both"/>
        <w:rPr>
          <w:bCs/>
        </w:rPr>
      </w:pPr>
      <w:r w:rsidRPr="00247710">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34A94F02" w14:textId="77777777" w:rsidR="003432B3" w:rsidRPr="00247710" w:rsidRDefault="003432B3" w:rsidP="003432B3">
      <w:pPr>
        <w:autoSpaceDE w:val="0"/>
        <w:autoSpaceDN w:val="0"/>
        <w:adjustRightInd w:val="0"/>
        <w:ind w:firstLine="708"/>
        <w:jc w:val="both"/>
        <w:rPr>
          <w:bCs/>
        </w:rPr>
      </w:pPr>
      <w:r w:rsidRPr="00247710">
        <w:rPr>
          <w:bCs/>
        </w:rPr>
        <w:t>Por Resolución E 2/2018  de la S.S.S., el valor de la movilidad correspondiente al mes de marzo de 2018, fue establecido en un 5,71%, conforme lo previsto en la Ley 27.426  cuando el porcentaje previsto conforme la fórmula de la Ley 26.417, estaba estimado entre un 12% y 14% arrojando finalmente un aumento en marzo de 2018 de  14.06%.</w:t>
      </w:r>
    </w:p>
    <w:p w14:paraId="5E48DBA9" w14:textId="77777777" w:rsidR="003432B3" w:rsidRPr="00247710" w:rsidRDefault="003432B3" w:rsidP="003432B3">
      <w:pPr>
        <w:autoSpaceDE w:val="0"/>
        <w:autoSpaceDN w:val="0"/>
        <w:adjustRightInd w:val="0"/>
        <w:ind w:firstLine="708"/>
        <w:jc w:val="both"/>
        <w:rPr>
          <w:bCs/>
        </w:rPr>
      </w:pPr>
      <w:r w:rsidRPr="00247710">
        <w:rPr>
          <w:bCs/>
        </w:rPr>
        <w:t>La Ley 27.426 establece que la recomposición del haber se dará en marzo, junio, septiembre y diciembre de cada año. Para determinar el porcentaje 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2C1FDDBA" w14:textId="77777777" w:rsidR="003432B3" w:rsidRPr="00247710" w:rsidRDefault="003432B3" w:rsidP="003432B3">
      <w:pPr>
        <w:autoSpaceDE w:val="0"/>
        <w:autoSpaceDN w:val="0"/>
        <w:adjustRightInd w:val="0"/>
        <w:ind w:firstLine="708"/>
        <w:jc w:val="both"/>
        <w:rPr>
          <w:bCs/>
        </w:rPr>
      </w:pPr>
      <w:r w:rsidRPr="00247710">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5D8A01A9" w14:textId="77777777" w:rsidR="003432B3" w:rsidRPr="00247710" w:rsidRDefault="003432B3" w:rsidP="003432B3">
      <w:pPr>
        <w:autoSpaceDE w:val="0"/>
        <w:autoSpaceDN w:val="0"/>
        <w:adjustRightInd w:val="0"/>
        <w:ind w:firstLine="708"/>
        <w:jc w:val="both"/>
        <w:rPr>
          <w:bCs/>
        </w:rPr>
      </w:pPr>
      <w:r w:rsidRPr="00247710">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126E891D" w14:textId="77777777" w:rsidR="003432B3" w:rsidRPr="00247710" w:rsidRDefault="003432B3" w:rsidP="003432B3">
      <w:pPr>
        <w:autoSpaceDE w:val="0"/>
        <w:autoSpaceDN w:val="0"/>
        <w:adjustRightInd w:val="0"/>
        <w:ind w:firstLine="708"/>
        <w:jc w:val="both"/>
        <w:rPr>
          <w:bCs/>
        </w:rPr>
      </w:pPr>
      <w:r w:rsidRPr="00247710">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358ED369" w14:textId="77777777" w:rsidR="003432B3" w:rsidRPr="00247710" w:rsidRDefault="003432B3" w:rsidP="003432B3">
      <w:pPr>
        <w:autoSpaceDE w:val="0"/>
        <w:autoSpaceDN w:val="0"/>
        <w:adjustRightInd w:val="0"/>
        <w:ind w:firstLine="708"/>
        <w:jc w:val="both"/>
        <w:rPr>
          <w:bCs/>
        </w:rPr>
      </w:pPr>
      <w:r w:rsidRPr="00247710">
        <w:rPr>
          <w:bCs/>
        </w:rPr>
        <w:t>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r>
        <w:rPr>
          <w:bCs/>
        </w:rPr>
        <w:t xml:space="preserve"> {% endif %} {% if </w:t>
      </w:r>
      <w:r w:rsidRPr="00C9730D">
        <w:rPr>
          <w:bCs/>
        </w:rPr>
        <w:t>ley_27541_Si</w:t>
      </w:r>
      <w:r>
        <w:rPr>
          <w:bCs/>
        </w:rPr>
        <w:t xml:space="preserve"> %}</w:t>
      </w:r>
    </w:p>
    <w:p w14:paraId="43512DA0" w14:textId="77777777" w:rsidR="003432B3" w:rsidRDefault="003432B3" w:rsidP="003432B3">
      <w:pPr>
        <w:autoSpaceDE w:val="0"/>
        <w:autoSpaceDN w:val="0"/>
        <w:adjustRightInd w:val="0"/>
        <w:ind w:firstLine="708"/>
        <w:jc w:val="both"/>
        <w:rPr>
          <w:bCs/>
        </w:rPr>
      </w:pPr>
    </w:p>
    <w:p w14:paraId="1C501BBC" w14:textId="77777777" w:rsidR="003432B3" w:rsidRDefault="003432B3" w:rsidP="003432B3">
      <w:pPr>
        <w:numPr>
          <w:ilvl w:val="0"/>
          <w:numId w:val="16"/>
        </w:numPr>
        <w:autoSpaceDE w:val="0"/>
        <w:autoSpaceDN w:val="0"/>
        <w:adjustRightInd w:val="0"/>
        <w:ind w:left="1146"/>
        <w:jc w:val="both"/>
        <w:rPr>
          <w:b/>
          <w:bCs/>
        </w:rPr>
      </w:pPr>
      <w:r>
        <w:rPr>
          <w:b/>
          <w:bCs/>
        </w:rPr>
        <w:t>INCOSTITUCIONALIDAD DE LA LEY 27.541</w:t>
      </w:r>
    </w:p>
    <w:p w14:paraId="4844AF26" w14:textId="77777777" w:rsidR="003432B3" w:rsidRPr="0076667E" w:rsidRDefault="003432B3" w:rsidP="003432B3">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0E0012F5" w14:textId="77777777" w:rsidR="003432B3" w:rsidRPr="0076667E" w:rsidRDefault="003432B3" w:rsidP="003432B3">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33E405CA"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4DBEE67B" w14:textId="77777777" w:rsidR="003432B3" w:rsidRPr="0076667E" w:rsidRDefault="003432B3" w:rsidP="003432B3">
      <w:pPr>
        <w:autoSpaceDE w:val="0"/>
        <w:autoSpaceDN w:val="0"/>
        <w:adjustRightInd w:val="0"/>
        <w:ind w:firstLine="708"/>
        <w:jc w:val="both"/>
        <w:rPr>
          <w:bCs/>
        </w:rPr>
      </w:pPr>
      <w:r w:rsidRPr="0076667E">
        <w:rPr>
          <w:bCs/>
        </w:rPr>
        <w:t xml:space="preserve">el principio de progresividad  </w:t>
      </w:r>
    </w:p>
    <w:p w14:paraId="2F9CDD31"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No debió haberse delegado la facultad de fijar una garantía </w:t>
      </w:r>
    </w:p>
    <w:p w14:paraId="2FDE78D8" w14:textId="77777777" w:rsidR="003432B3" w:rsidRPr="0076667E" w:rsidRDefault="003432B3" w:rsidP="003432B3">
      <w:pPr>
        <w:autoSpaceDE w:val="0"/>
        <w:autoSpaceDN w:val="0"/>
        <w:adjustRightInd w:val="0"/>
        <w:ind w:firstLine="708"/>
        <w:jc w:val="both"/>
        <w:rPr>
          <w:bCs/>
        </w:rPr>
      </w:pPr>
      <w:r w:rsidRPr="0076667E">
        <w:rPr>
          <w:bCs/>
        </w:rPr>
        <w:t xml:space="preserve">constitucional como es la movilidad jubilatoria. </w:t>
      </w:r>
    </w:p>
    <w:p w14:paraId="04CEBA5C"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No respeta las bases de la delegación del art 2 inc e. </w:t>
      </w:r>
    </w:p>
    <w:p w14:paraId="09CFFE44"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0B5A3BF1"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1FBA39BC"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4645A914"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79743E8D"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Se suspendió la movilidad solo al régimen común que es el que menos percibe. </w:t>
      </w:r>
    </w:p>
    <w:p w14:paraId="7B90A2B3" w14:textId="77777777" w:rsidR="003432B3" w:rsidRPr="0076667E" w:rsidRDefault="003432B3" w:rsidP="003432B3">
      <w:pPr>
        <w:numPr>
          <w:ilvl w:val="0"/>
          <w:numId w:val="19"/>
        </w:numPr>
        <w:autoSpaceDE w:val="0"/>
        <w:autoSpaceDN w:val="0"/>
        <w:adjustRightInd w:val="0"/>
        <w:jc w:val="both"/>
        <w:rPr>
          <w:bCs/>
        </w:rPr>
      </w:pPr>
      <w:r w:rsidRPr="0076667E">
        <w:rPr>
          <w:bCs/>
        </w:rPr>
        <w:t>No cumple con la integralidad del haber y la jubilación no guarda su finalidad que es mantener el valor adquisitivo en el tiempo. Perdida en 2020:</w:t>
      </w:r>
    </w:p>
    <w:p w14:paraId="76BEBA6A" w14:textId="6F6EC4D7" w:rsidR="003432B3" w:rsidRDefault="00C91E72" w:rsidP="003432B3">
      <w:pPr>
        <w:autoSpaceDE w:val="0"/>
        <w:autoSpaceDN w:val="0"/>
        <w:adjustRightInd w:val="0"/>
        <w:spacing w:line="276" w:lineRule="auto"/>
        <w:ind w:left="720"/>
        <w:jc w:val="both"/>
      </w:pPr>
      <w:r>
        <w:rPr>
          <w:noProof/>
        </w:rPr>
        <w:pict w14:anchorId="76AE67BF">
          <v:shape id="_x0000_i1040" type="#_x0000_t75" alt="Imagen que contiene Interfaz de usuario gráfica&#10;&#10;Descripción generada automáticamente" style="width:389.95pt;height:97.8pt;visibility:visible;mso-wrap-style:square">
            <v:imagedata r:id="rId17" o:title="Imagen que contiene Interfaz de usuario gráfica&#10;&#10;Descripción generada automáticamente"/>
          </v:shape>
        </w:pict>
      </w:r>
      <w:r w:rsidR="003432B3">
        <w:rPr>
          <w:bCs/>
        </w:rPr>
        <w:t xml:space="preserve">{% endif %} </w:t>
      </w:r>
      <w:r w:rsidR="003432B3">
        <w:t>{% if ley_27609_Si or ley_27541_Si or ley_27426_Si %}</w:t>
      </w:r>
    </w:p>
    <w:p w14:paraId="0E026B6C" w14:textId="77777777" w:rsidR="003432B3" w:rsidRPr="00DA146B" w:rsidRDefault="003432B3" w:rsidP="003432B3">
      <w:pPr>
        <w:autoSpaceDE w:val="0"/>
        <w:autoSpaceDN w:val="0"/>
        <w:adjustRightInd w:val="0"/>
        <w:ind w:firstLine="708"/>
        <w:jc w:val="both"/>
        <w:rPr>
          <w:bCs/>
        </w:rPr>
      </w:pPr>
    </w:p>
    <w:p w14:paraId="0DDFCBE7" w14:textId="77777777" w:rsidR="003432B3" w:rsidRDefault="003432B3" w:rsidP="003432B3">
      <w:pPr>
        <w:autoSpaceDE w:val="0"/>
        <w:autoSpaceDN w:val="0"/>
        <w:adjustRightInd w:val="0"/>
        <w:ind w:left="1146"/>
        <w:jc w:val="both"/>
        <w:rPr>
          <w:b/>
          <w:bCs/>
        </w:rPr>
      </w:pPr>
    </w:p>
    <w:p w14:paraId="5D9E2333" w14:textId="77777777" w:rsidR="003432B3" w:rsidRDefault="003432B3" w:rsidP="003432B3">
      <w:pPr>
        <w:numPr>
          <w:ilvl w:val="0"/>
          <w:numId w:val="16"/>
        </w:numPr>
        <w:autoSpaceDE w:val="0"/>
        <w:autoSpaceDN w:val="0"/>
        <w:adjustRightInd w:val="0"/>
        <w:ind w:left="1146"/>
        <w:jc w:val="both"/>
        <w:rPr>
          <w:b/>
          <w:bCs/>
        </w:rPr>
      </w:pPr>
      <w:r>
        <w:rPr>
          <w:b/>
          <w:bCs/>
        </w:rPr>
        <w:t>OPORTUNIDAD PROCESAL</w:t>
      </w:r>
    </w:p>
    <w:p w14:paraId="16B943E8" w14:textId="77777777" w:rsidR="003432B3" w:rsidRPr="00DA146B" w:rsidRDefault="003432B3" w:rsidP="003432B3">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5C6ECFBB" w14:textId="77777777" w:rsidR="003432B3" w:rsidRPr="00DA146B" w:rsidRDefault="003432B3" w:rsidP="003432B3">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“Anses”,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22241878" w14:textId="77777777" w:rsidR="003432B3" w:rsidRPr="00DA146B" w:rsidRDefault="003432B3" w:rsidP="003432B3">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5DCB7DC5" w14:textId="77777777" w:rsidR="003432B3" w:rsidRPr="00DA146B" w:rsidRDefault="003432B3" w:rsidP="003432B3">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ley ,en detrimento de un grupo vulnerable, en época de pandemia donde el estado debe reforzarse la protección de los mismos y de carácter netamente regresivo según la perdida sufrida en 2020. </w:t>
      </w:r>
    </w:p>
    <w:p w14:paraId="62A4E806" w14:textId="77777777" w:rsidR="003432B3" w:rsidRPr="00DA146B" w:rsidRDefault="003432B3" w:rsidP="003432B3">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6B6618E0" w14:textId="77777777" w:rsidR="003432B3" w:rsidRPr="00DA146B" w:rsidRDefault="003432B3" w:rsidP="003432B3">
      <w:pPr>
        <w:autoSpaceDE w:val="0"/>
        <w:autoSpaceDN w:val="0"/>
        <w:adjustRightInd w:val="0"/>
        <w:ind w:firstLine="993"/>
        <w:jc w:val="both"/>
        <w:rPr>
          <w:bCs/>
        </w:rPr>
      </w:pPr>
      <w:bookmarkStart w:id="2"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46D53C64" w14:textId="77777777" w:rsidR="003432B3" w:rsidRPr="00DA146B" w:rsidRDefault="003432B3" w:rsidP="003432B3">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7D7A9B45" w14:textId="77777777" w:rsidR="003432B3" w:rsidRPr="00DA146B" w:rsidRDefault="003432B3" w:rsidP="003432B3">
      <w:pPr>
        <w:autoSpaceDE w:val="0"/>
        <w:autoSpaceDN w:val="0"/>
        <w:adjustRightInd w:val="0"/>
        <w:ind w:firstLine="993"/>
        <w:jc w:val="both"/>
        <w:rPr>
          <w:bCs/>
        </w:rPr>
      </w:pPr>
      <w:r w:rsidRPr="00DA146B">
        <w:rPr>
          <w:bCs/>
        </w:rPr>
        <w:t>Es por ello que el juez , puede resolver en la etapa de ejecución, sea a pedido de parte, o de oficio, si estas normas afectan el haber dado que contrarían el art 14 bis, 16, 17, 18, 28 , 31 , 33 y 75 inc 22 y 23 de la CN.</w:t>
      </w:r>
    </w:p>
    <w:p w14:paraId="63A3A930" w14:textId="77777777" w:rsidR="003432B3" w:rsidRPr="00DA146B" w:rsidRDefault="003432B3" w:rsidP="003432B3">
      <w:pPr>
        <w:autoSpaceDE w:val="0"/>
        <w:autoSpaceDN w:val="0"/>
        <w:adjustRightInd w:val="0"/>
        <w:ind w:firstLine="993"/>
        <w:jc w:val="both"/>
        <w:rPr>
          <w:bCs/>
          <w:i/>
          <w:iCs/>
        </w:rPr>
      </w:pPr>
      <w:r w:rsidRPr="00DA146B">
        <w:rPr>
          <w:bCs/>
        </w:rPr>
        <w:t>En los autos Abraham</w:t>
      </w:r>
      <w:r w:rsidRPr="00DA146B">
        <w:rPr>
          <w:bCs/>
          <w:vertAlign w:val="superscript"/>
        </w:rPr>
        <w:footnoteReference w:id="1"/>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189E91D9" w14:textId="77777777" w:rsidR="003432B3" w:rsidRPr="00DA146B" w:rsidRDefault="003432B3" w:rsidP="003432B3">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164DEB88" w14:textId="77777777" w:rsidR="003432B3" w:rsidRPr="00DA146B" w:rsidRDefault="003432B3" w:rsidP="003432B3">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46516EA3" w14:textId="77777777" w:rsidR="003432B3" w:rsidRPr="00DA146B" w:rsidRDefault="003432B3" w:rsidP="003432B3">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2"/>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no implica la imposibilidad absoluta de resolver nuevas cuestiones que puedan suscitarse entre idénticas partes, sino el sucesivo y reiterado juzgamiento de las mismas”</w:t>
      </w:r>
      <w:r w:rsidRPr="00DA146B">
        <w:rPr>
          <w:bCs/>
          <w:i/>
          <w:iCs/>
        </w:rPr>
        <w:t>. Y concluyó que, si existe una sentencia que reconoció el derecho a la redeterminación del haber inicial y su movilidad, “(…) es en esta oportunidad, etapa de ejecución (arts. 499 y cc del CPCCN) que se puede tener precisión respecto de la cuantía del haber y la razonabilidad o no de la quita por aplicación de la norma citada (…)”</w:t>
      </w:r>
    </w:p>
    <w:bookmarkEnd w:id="2"/>
    <w:p w14:paraId="3D0E3FD4" w14:textId="77777777" w:rsidR="003432B3" w:rsidRPr="00DA146B" w:rsidRDefault="003432B3" w:rsidP="003432B3">
      <w:pPr>
        <w:autoSpaceDE w:val="0"/>
        <w:autoSpaceDN w:val="0"/>
        <w:adjustRightInd w:val="0"/>
        <w:ind w:firstLine="993"/>
        <w:jc w:val="both"/>
        <w:rPr>
          <w:bCs/>
        </w:rPr>
      </w:pPr>
      <w:r w:rsidRPr="00DA146B">
        <w:rPr>
          <w:bCs/>
        </w:rPr>
        <w:t>En similar  sentido se expresó la Sala I en los autos “Flores Humberto  c/Anses y otro s/ Reajustes varios” Expte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66B36EF8" w14:textId="77777777" w:rsidR="003432B3" w:rsidRPr="00DA146B" w:rsidRDefault="003432B3" w:rsidP="003432B3">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0CB520D3" w14:textId="77777777" w:rsidR="003432B3" w:rsidRPr="00DA146B" w:rsidRDefault="003432B3" w:rsidP="003432B3">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“Cingolani, Francisco Florencio c/Anses s/Ejecución previsional”, sent.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1BB8F461" w14:textId="77777777" w:rsidR="003432B3" w:rsidRPr="00345944" w:rsidRDefault="003432B3" w:rsidP="003432B3">
      <w:pPr>
        <w:ind w:firstLine="1560"/>
        <w:jc w:val="both"/>
        <w:rPr>
          <w:rFonts w:eastAsia="Calibri"/>
          <w:color w:val="000000"/>
          <w:lang w:eastAsia="es-AR"/>
        </w:rPr>
      </w:pPr>
      <w:r w:rsidRPr="00DA146B">
        <w:rPr>
          <w:bCs/>
        </w:rPr>
        <w:t>La Sala II el 14.02.2023</w:t>
      </w:r>
      <w:r w:rsidRPr="00DA146B">
        <w:t xml:space="preserve"> </w:t>
      </w:r>
      <w:r w:rsidRPr="00DA146B">
        <w:rPr>
          <w:bCs/>
        </w:rPr>
        <w:t>en la causa “Campos Toranzos, Marcos Aurelio c/ ANSeS s/ Reajustes Varios” (Expte. N°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r>
        <w:rPr>
          <w:bCs/>
          <w:i/>
          <w:iCs/>
        </w:rPr>
        <w:t xml:space="preserve"> </w:t>
      </w:r>
      <w:r w:rsidRPr="000E0CD9">
        <w:rPr>
          <w:bCs/>
        </w:rPr>
        <w:t>{% endif %}</w:t>
      </w:r>
      <w:r>
        <w:rPr>
          <w:bCs/>
        </w:rPr>
        <w:t xml:space="preserve"> </w:t>
      </w:r>
      <w:r>
        <w:t xml:space="preserve">{% if </w:t>
      </w:r>
      <w:r w:rsidRPr="00B60232">
        <w:t>Honorarios_No</w:t>
      </w:r>
      <w:r>
        <w:t xml:space="preserve"> %}</w:t>
      </w:r>
    </w:p>
    <w:p w14:paraId="2183E9C8" w14:textId="77777777" w:rsidR="003432B3" w:rsidRDefault="003432B3" w:rsidP="003432B3">
      <w:pPr>
        <w:autoSpaceDE w:val="0"/>
        <w:autoSpaceDN w:val="0"/>
        <w:adjustRightInd w:val="0"/>
        <w:spacing w:line="276" w:lineRule="auto"/>
        <w:ind w:firstLine="1134"/>
        <w:jc w:val="both"/>
        <w:rPr>
          <w:b/>
          <w:color w:val="000000"/>
        </w:rPr>
      </w:pPr>
    </w:p>
    <w:p w14:paraId="5CAC6E81" w14:textId="77777777" w:rsidR="003432B3" w:rsidRPr="00000F33" w:rsidRDefault="003432B3" w:rsidP="003432B3">
      <w:pPr>
        <w:pStyle w:val="Prrafodelista"/>
        <w:numPr>
          <w:ilvl w:val="0"/>
          <w:numId w:val="16"/>
        </w:numPr>
        <w:autoSpaceDE w:val="0"/>
        <w:autoSpaceDN w:val="0"/>
        <w:adjustRightInd w:val="0"/>
        <w:spacing w:line="276" w:lineRule="auto"/>
        <w:jc w:val="both"/>
        <w:rPr>
          <w:b/>
          <w:bCs/>
        </w:rPr>
      </w:pPr>
      <w:r>
        <w:rPr>
          <w:b/>
          <w:bCs/>
        </w:rPr>
        <w:t>SOLICITO ORDENE EXPRESAMENTE EL REAJUSTE DEL HABER</w:t>
      </w:r>
    </w:p>
    <w:p w14:paraId="0A592929" w14:textId="1EF6EB9C" w:rsidR="002E4C5C" w:rsidRDefault="003432B3" w:rsidP="002E4C5C">
      <w:pPr>
        <w:autoSpaceDE w:val="0"/>
        <w:autoSpaceDN w:val="0"/>
        <w:adjustRightInd w:val="0"/>
        <w:spacing w:line="276" w:lineRule="auto"/>
        <w:ind w:firstLine="1134"/>
        <w:jc w:val="both"/>
      </w:pPr>
      <w:r w:rsidRPr="00000F33">
        <w:t>Solicito que una vez aprobada la liquidación, se intime al organismo previsional a que proceda a reajustar el haber de mi mandante, consignando de manera clara el haber aprobado , y que lo sea</w:t>
      </w:r>
      <w:r w:rsidRPr="00000F33">
        <w:rPr>
          <w:color w:val="FF0000"/>
        </w:rPr>
        <w:t xml:space="preserve">  </w:t>
      </w:r>
      <w:r w:rsidRPr="00000F33">
        <w:t xml:space="preserve">bajo apercibimiento de aplicar astreintes ejemplificativas por cada día de demora en efectivizar la medida ordenada, como así también se identifique al funcionario responsable de cumplir con la manda judicial , el cual deberá informar si creo la secuenta </w:t>
      </w:r>
      <w:r>
        <w:t xml:space="preserve">. </w:t>
      </w:r>
      <w:r w:rsidRPr="000E0CD9">
        <w:rPr>
          <w:bCs/>
        </w:rPr>
        <w:t>{% endif %}</w:t>
      </w:r>
      <w:r w:rsidR="002E4C5C">
        <w:rPr>
          <w:bCs/>
        </w:rPr>
        <w:t xml:space="preserve">{% if </w:t>
      </w:r>
      <w:r w:rsidR="00A63BA3" w:rsidRPr="00A63BA3">
        <w:rPr>
          <w:bCs/>
        </w:rPr>
        <w:t>Tope_Si</w:t>
      </w:r>
      <w:r w:rsidR="002E4C5C">
        <w:rPr>
          <w:bCs/>
        </w:rPr>
        <w:t xml:space="preserve"> %}</w:t>
      </w:r>
    </w:p>
    <w:p w14:paraId="26CBB95C" w14:textId="17D1726B" w:rsidR="003006E8" w:rsidRPr="003006E8" w:rsidRDefault="002E4C5C" w:rsidP="003006E8">
      <w:pPr>
        <w:pStyle w:val="Prrafodelista"/>
        <w:numPr>
          <w:ilvl w:val="0"/>
          <w:numId w:val="16"/>
        </w:numPr>
        <w:autoSpaceDE w:val="0"/>
        <w:autoSpaceDN w:val="0"/>
        <w:adjustRightInd w:val="0"/>
        <w:spacing w:line="276" w:lineRule="auto"/>
        <w:ind w:left="1854"/>
        <w:jc w:val="both"/>
        <w:rPr>
          <w:b/>
          <w:bCs/>
        </w:rPr>
      </w:pPr>
      <w:r w:rsidRPr="002462E3">
        <w:rPr>
          <w:b/>
          <w:bCs/>
        </w:rPr>
        <w:t>TOPE DE HABER MAXIMO</w:t>
      </w:r>
    </w:p>
    <w:p w14:paraId="7092C6CD" w14:textId="77777777" w:rsidR="003006E8" w:rsidRPr="00643FB0" w:rsidRDefault="003006E8" w:rsidP="003006E8">
      <w:pPr>
        <w:jc w:val="both"/>
      </w:pPr>
      <w:r w:rsidRPr="00643FB0">
        <w:t xml:space="preserve">Al liquidar el haber de mi mandante y aplicar la movilidad conforme Caliva </w:t>
      </w:r>
      <w:r w:rsidRPr="00BB0BC4">
        <w:t>Márquez</w:t>
      </w:r>
      <w:r w:rsidRPr="00643FB0">
        <w:t xml:space="preserve">, se observa que el haber QUE ANTES NO SE ENCONTRABA SUJETO A TOPE DEL HABER MAXIMO, </w:t>
      </w:r>
      <w:r>
        <w:t>ahora</w:t>
      </w:r>
      <w:r w:rsidRPr="00643FB0">
        <w:t xml:space="preserve"> si se encuentra alcanzado.</w:t>
      </w:r>
    </w:p>
    <w:p w14:paraId="49E19225" w14:textId="3599B335" w:rsidR="003006E8" w:rsidRPr="00643FB0" w:rsidRDefault="003006E8" w:rsidP="003006E8">
      <w:pPr>
        <w:jc w:val="both"/>
      </w:pPr>
      <w:r w:rsidRPr="00643FB0">
        <w:t>Note VS El tope del art 9 inc. 3 de la ley 24463 es a</w:t>
      </w:r>
      <w:r w:rsidR="003335F2">
        <w:t>l {{</w:t>
      </w:r>
      <w:r w:rsidR="003335F2" w:rsidRPr="00334E53">
        <w:t xml:space="preserve"> Fecha_de_cierre_de_intereses</w:t>
      </w:r>
      <w:r w:rsidR="003335F2">
        <w:t xml:space="preserve">}} </w:t>
      </w:r>
      <w:r w:rsidRPr="00643FB0">
        <w:t xml:space="preserve"> </w:t>
      </w:r>
      <w:r>
        <w:rPr>
          <w:b/>
        </w:rPr>
        <w:t xml:space="preserve">$ </w:t>
      </w:r>
      <w:r w:rsidR="003335F2">
        <w:rPr>
          <w:b/>
        </w:rPr>
        <w:t>(Monto del tope Anses a la Fecha de cierre de intereses)</w:t>
      </w:r>
    </w:p>
    <w:p w14:paraId="6DB07007" w14:textId="56C3CC2B" w:rsidR="003006E8" w:rsidRDefault="003006E8" w:rsidP="003006E8">
      <w:pPr>
        <w:jc w:val="both"/>
        <w:rPr>
          <w:b/>
        </w:rPr>
      </w:pPr>
      <w:r w:rsidRPr="00643FB0">
        <w:t>Si se tuviera en cuenta que los $3.100 representaban el 82% de la remuneración máxima sujeta a aportes que era $3.780 (60 ampo de $63), y trajéramos el mismo criterio a hoy, nos daría que el tope del haber máximo debiera ser a</w:t>
      </w:r>
      <w:r w:rsidR="006F1111">
        <w:t>l</w:t>
      </w:r>
      <w:r w:rsidRPr="00643FB0">
        <w:t xml:space="preserve"> </w:t>
      </w:r>
      <w:r w:rsidR="006F1111">
        <w:t>{{</w:t>
      </w:r>
      <w:r w:rsidR="006F1111" w:rsidRPr="00334E53">
        <w:t xml:space="preserve"> Fecha_de_cierre_de_intereses</w:t>
      </w:r>
      <w:r w:rsidR="006F1111">
        <w:t xml:space="preserve">}} </w:t>
      </w:r>
      <w:r w:rsidR="006F1111" w:rsidRPr="00643FB0">
        <w:t xml:space="preserve"> </w:t>
      </w:r>
      <w:r w:rsidRPr="00643FB0">
        <w:t>del 82% de la remuneración máxima</w:t>
      </w:r>
      <w:r>
        <w:t xml:space="preserve"> es decir $ </w:t>
      </w:r>
      <w:r w:rsidR="006F1111">
        <w:rPr>
          <w:b/>
        </w:rPr>
        <w:t>(Monto del tope 82% de la rem max a la Fecha de cierre de intereses)</w:t>
      </w:r>
      <w:r>
        <w:t xml:space="preserve">  un </w:t>
      </w:r>
      <w:r w:rsidR="006F1111">
        <w:t xml:space="preserve">(Porcentaje de diferencia con haber máximo de </w:t>
      </w:r>
      <w:r w:rsidR="000A2921">
        <w:t>la 82% de la rem max)</w:t>
      </w:r>
      <w:r>
        <w:t xml:space="preserve"> % </w:t>
      </w:r>
      <w:r w:rsidRPr="00643FB0">
        <w:rPr>
          <w:b/>
        </w:rPr>
        <w:t>más sin movilizar el tope.</w:t>
      </w:r>
    </w:p>
    <w:p w14:paraId="24C6AD89" w14:textId="77777777" w:rsidR="003006E8" w:rsidRDefault="003006E8" w:rsidP="003006E8">
      <w:pPr>
        <w:jc w:val="both"/>
        <w:rPr>
          <w:b/>
        </w:rPr>
      </w:pPr>
    </w:p>
    <w:p w14:paraId="74FC374F" w14:textId="0AFCE25D" w:rsidR="003006E8" w:rsidRDefault="00C91E72" w:rsidP="003006E8">
      <w:pPr>
        <w:jc w:val="both"/>
        <w:rPr>
          <w:b/>
        </w:rPr>
      </w:pPr>
      <w:r>
        <w:rPr>
          <w:noProof/>
        </w:rPr>
        <w:pict w14:anchorId="7E2F3B8F">
          <v:shape id="_x0000_i1041" type="#_x0000_t75" alt="Gráfico, Gráfico de barras&#10;&#10;Descripción generada automáticamente con confianza media" style="width:389.6pt;height:333.7pt;visibility:visible;mso-wrap-style:square">
            <v:imagedata r:id="rId18" o:title="Gráfico, Gráfico de barras&#10;&#10;Descripción generada automáticamente con confianza media"/>
          </v:shape>
        </w:pict>
      </w:r>
    </w:p>
    <w:p w14:paraId="0AE2CA0A" w14:textId="77777777" w:rsidR="003006E8" w:rsidRDefault="003006E8" w:rsidP="003006E8">
      <w:pPr>
        <w:jc w:val="both"/>
        <w:rPr>
          <w:b/>
        </w:rPr>
      </w:pPr>
    </w:p>
    <w:p w14:paraId="396D8A52" w14:textId="77777777" w:rsidR="003006E8" w:rsidRDefault="003006E8" w:rsidP="003006E8">
      <w:pPr>
        <w:jc w:val="both"/>
        <w:rPr>
          <w:b/>
        </w:rPr>
      </w:pPr>
    </w:p>
    <w:p w14:paraId="3A603778" w14:textId="77777777" w:rsidR="003006E8" w:rsidRDefault="003006E8" w:rsidP="003006E8">
      <w:pPr>
        <w:jc w:val="both"/>
        <w:rPr>
          <w:b/>
        </w:rPr>
      </w:pPr>
    </w:p>
    <w:p w14:paraId="183CBB9B" w14:textId="77777777" w:rsidR="003006E8" w:rsidRDefault="003006E8" w:rsidP="003006E8">
      <w:pPr>
        <w:jc w:val="both"/>
        <w:rPr>
          <w:b/>
        </w:rPr>
      </w:pPr>
    </w:p>
    <w:p w14:paraId="6CF5E7F2" w14:textId="77777777" w:rsidR="003006E8" w:rsidRDefault="003006E8" w:rsidP="003006E8">
      <w:pPr>
        <w:jc w:val="both"/>
        <w:rPr>
          <w:b/>
        </w:rPr>
      </w:pPr>
    </w:p>
    <w:p w14:paraId="30D0296C" w14:textId="77777777" w:rsidR="003006E8" w:rsidRDefault="003006E8" w:rsidP="003006E8">
      <w:pPr>
        <w:jc w:val="both"/>
        <w:rPr>
          <w:b/>
        </w:rPr>
      </w:pPr>
    </w:p>
    <w:p w14:paraId="3CD1ED79" w14:textId="77777777" w:rsidR="003006E8" w:rsidRDefault="003006E8" w:rsidP="003006E8">
      <w:pPr>
        <w:jc w:val="both"/>
        <w:rPr>
          <w:b/>
        </w:rPr>
      </w:pPr>
    </w:p>
    <w:p w14:paraId="5C90219B" w14:textId="77777777" w:rsidR="003006E8" w:rsidRDefault="003006E8" w:rsidP="003006E8">
      <w:pPr>
        <w:jc w:val="both"/>
        <w:rPr>
          <w:b/>
        </w:rPr>
      </w:pPr>
    </w:p>
    <w:p w14:paraId="206631AB" w14:textId="77777777" w:rsidR="003006E8" w:rsidRDefault="003006E8" w:rsidP="003006E8">
      <w:pPr>
        <w:jc w:val="both"/>
        <w:rPr>
          <w:b/>
        </w:rPr>
      </w:pPr>
    </w:p>
    <w:p w14:paraId="0B8C385A" w14:textId="77777777" w:rsidR="003006E8" w:rsidRDefault="003006E8" w:rsidP="003006E8">
      <w:pPr>
        <w:jc w:val="both"/>
        <w:rPr>
          <w:b/>
        </w:rPr>
      </w:pPr>
    </w:p>
    <w:p w14:paraId="1D5A9643" w14:textId="77777777" w:rsidR="003006E8" w:rsidRDefault="003006E8" w:rsidP="003006E8">
      <w:pPr>
        <w:jc w:val="both"/>
        <w:rPr>
          <w:b/>
        </w:rPr>
      </w:pPr>
    </w:p>
    <w:p w14:paraId="37433958" w14:textId="77777777" w:rsidR="003006E8" w:rsidRDefault="003006E8" w:rsidP="003006E8">
      <w:pPr>
        <w:jc w:val="both"/>
        <w:rPr>
          <w:b/>
        </w:rPr>
      </w:pPr>
    </w:p>
    <w:p w14:paraId="28FBB6DE" w14:textId="77777777" w:rsidR="003006E8" w:rsidRDefault="003006E8" w:rsidP="003006E8">
      <w:pPr>
        <w:jc w:val="both"/>
        <w:rPr>
          <w:b/>
        </w:rPr>
      </w:pPr>
    </w:p>
    <w:p w14:paraId="5BA32A94" w14:textId="77777777" w:rsidR="003006E8" w:rsidRDefault="003006E8" w:rsidP="003006E8">
      <w:pPr>
        <w:jc w:val="both"/>
        <w:rPr>
          <w:b/>
        </w:rPr>
      </w:pPr>
    </w:p>
    <w:p w14:paraId="1DA557FE" w14:textId="0660180F" w:rsidR="003006E8" w:rsidRPr="00A34D7D" w:rsidRDefault="003006E8" w:rsidP="003006E8">
      <w:pPr>
        <w:jc w:val="both"/>
        <w:rPr>
          <w:b/>
          <w:u w:val="single"/>
        </w:rPr>
      </w:pPr>
      <w:r w:rsidRPr="00A34D7D">
        <w:rPr>
          <w:b/>
          <w:u w:val="single"/>
        </w:rPr>
        <w:t xml:space="preserve">La quita en el haber de mi mandante es $ </w:t>
      </w:r>
      <w:r w:rsidR="000A2921">
        <w:rPr>
          <w:b/>
          <w:u w:val="single"/>
        </w:rPr>
        <w:t>(</w:t>
      </w:r>
      <w:r w:rsidR="003046DD">
        <w:rPr>
          <w:b/>
          <w:u w:val="single"/>
        </w:rPr>
        <w:t xml:space="preserve">Diferencia en $ del haber reclamado con respecto el tope Anses) </w:t>
      </w:r>
      <w:r w:rsidRPr="00A34D7D">
        <w:rPr>
          <w:b/>
          <w:u w:val="single"/>
        </w:rPr>
        <w:t xml:space="preserve">conforme el tope de Anses, es decir un </w:t>
      </w:r>
      <w:r w:rsidR="003046DD">
        <w:rPr>
          <w:b/>
          <w:u w:val="single"/>
        </w:rPr>
        <w:t xml:space="preserve">(Diferencia en % del haber reclamado con respecto el tope Anses) </w:t>
      </w:r>
      <w:r w:rsidRPr="00A34D7D">
        <w:rPr>
          <w:b/>
          <w:u w:val="single"/>
        </w:rPr>
        <w:t>%.</w:t>
      </w:r>
    </w:p>
    <w:p w14:paraId="6B2D7826" w14:textId="77777777" w:rsidR="003006E8" w:rsidRDefault="003006E8" w:rsidP="003006E8">
      <w:pPr>
        <w:jc w:val="both"/>
      </w:pPr>
    </w:p>
    <w:p w14:paraId="4A673194" w14:textId="6A60CE7E" w:rsidR="003006E8" w:rsidRDefault="00C91E72" w:rsidP="003006E8">
      <w:pPr>
        <w:jc w:val="both"/>
      </w:pPr>
      <w:r>
        <w:rPr>
          <w:noProof/>
        </w:rPr>
        <w:pict w14:anchorId="3FE15B76">
          <v:shape id="_x0000_i1042" type="#_x0000_t75" alt="Gráfico en cascada&#10;&#10;Descripción generada automáticamente" style="width:389.65pt;height:391.05pt;visibility:visible;mso-wrap-style:square">
            <v:imagedata r:id="rId19" o:title="Gráfico en cascada&#10;&#10;Descripción generada automáticamente"/>
          </v:shape>
        </w:pict>
      </w:r>
    </w:p>
    <w:p w14:paraId="73E5EAA1" w14:textId="77777777" w:rsidR="003006E8" w:rsidRPr="00643FB0" w:rsidRDefault="003006E8" w:rsidP="003006E8">
      <w:pPr>
        <w:jc w:val="both"/>
      </w:pPr>
    </w:p>
    <w:p w14:paraId="566729F5" w14:textId="77777777" w:rsidR="003006E8" w:rsidRPr="00643FB0" w:rsidRDefault="003006E8" w:rsidP="003006E8">
      <w:pPr>
        <w:jc w:val="both"/>
      </w:pPr>
      <w:r>
        <w:t>S</w:t>
      </w:r>
      <w:r w:rsidRPr="00643FB0">
        <w:t>i a los $3.100, que eran a 01/2002, lo actualizamos con las mismas pautas de “Badaro” y aumentos generales de ANSES el tope hoy sería notablemente superior</w:t>
      </w:r>
      <w:r>
        <w:t xml:space="preserve"> $ 2.776.554,87.</w:t>
      </w:r>
    </w:p>
    <w:p w14:paraId="4EC1856D" w14:textId="77777777" w:rsidR="003006E8" w:rsidRPr="00643FB0" w:rsidRDefault="003006E8" w:rsidP="003006E8">
      <w:pPr>
        <w:jc w:val="both"/>
      </w:pPr>
      <w:r w:rsidRPr="00643FB0">
        <w:t>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Nº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7128963D" w14:textId="77777777" w:rsidR="003006E8" w:rsidRDefault="003006E8" w:rsidP="003006E8">
      <w:pPr>
        <w:jc w:val="both"/>
      </w:pPr>
      <w:r w:rsidRPr="00643FB0">
        <w:t>Esta limitación a la percepción del haber resulta lesiva al Art. 17 de la CN</w:t>
      </w:r>
      <w:r>
        <w:t xml:space="preserve"> y así se resolvió en “</w:t>
      </w:r>
      <w:r w:rsidRPr="00643FB0">
        <w:t>LEONARDUZZI, ROBERTO ATILIO c/ ANSES s/REAJUSTES POR MOVILIDAD” Expte. N° FSA 8762/2022</w:t>
      </w:r>
      <w:r>
        <w:t xml:space="preserve"> e </w:t>
      </w:r>
      <w:r w:rsidRPr="00BB0BC4">
        <w:t>“INCHAURRONDO, JOSE LUIS c/ ANSES s/ REAJUSTES VARIOS” Expte. Nº FSA 379/2020</w:t>
      </w:r>
      <w:r>
        <w:t>, a cuyo fundamentos me remito.</w:t>
      </w:r>
    </w:p>
    <w:p w14:paraId="3D1894BA" w14:textId="77777777" w:rsidR="003006E8" w:rsidRDefault="003006E8" w:rsidP="003006E8"/>
    <w:p w14:paraId="38C83A84" w14:textId="77777777" w:rsidR="003006E8" w:rsidRDefault="003006E8" w:rsidP="003006E8">
      <w:pPr>
        <w:pStyle w:val="Prrafodelista"/>
        <w:autoSpaceDE w:val="0"/>
        <w:autoSpaceDN w:val="0"/>
        <w:adjustRightInd w:val="0"/>
        <w:spacing w:line="276" w:lineRule="auto"/>
        <w:ind w:left="1134"/>
        <w:jc w:val="both"/>
        <w:rPr>
          <w:b/>
          <w:bCs/>
        </w:rPr>
      </w:pPr>
    </w:p>
    <w:p w14:paraId="60322E9A" w14:textId="77777777" w:rsidR="002E4C5C" w:rsidRPr="00055921" w:rsidRDefault="002E4C5C" w:rsidP="002E4C5C">
      <w:pPr>
        <w:autoSpaceDE w:val="0"/>
        <w:autoSpaceDN w:val="0"/>
        <w:adjustRightInd w:val="0"/>
        <w:spacing w:line="276" w:lineRule="auto"/>
        <w:ind w:left="1134"/>
        <w:jc w:val="both"/>
      </w:pPr>
      <w:r w:rsidRPr="00055921">
        <w:t>{% endif %}</w:t>
      </w:r>
    </w:p>
    <w:p w14:paraId="5E182453" w14:textId="0032B552" w:rsidR="003432B3" w:rsidRDefault="003432B3" w:rsidP="003432B3">
      <w:pPr>
        <w:autoSpaceDE w:val="0"/>
        <w:autoSpaceDN w:val="0"/>
        <w:adjustRightInd w:val="0"/>
        <w:spacing w:line="276" w:lineRule="auto"/>
        <w:ind w:firstLine="1134"/>
        <w:jc w:val="both"/>
      </w:pPr>
    </w:p>
    <w:p w14:paraId="5F367FB5" w14:textId="5AF227BD" w:rsidR="003432B3" w:rsidRDefault="003432B3" w:rsidP="00AE165A">
      <w:pPr>
        <w:pStyle w:val="Prrafodelista"/>
        <w:numPr>
          <w:ilvl w:val="0"/>
          <w:numId w:val="16"/>
        </w:numPr>
        <w:autoSpaceDE w:val="0"/>
        <w:autoSpaceDN w:val="0"/>
        <w:adjustRightInd w:val="0"/>
        <w:spacing w:line="276" w:lineRule="auto"/>
        <w:jc w:val="both"/>
      </w:pPr>
      <w:r w:rsidRPr="00512472">
        <w:rPr>
          <w:b/>
          <w:bCs/>
        </w:rPr>
        <w:t>SOLICITO REGULE HONORARIOS</w:t>
      </w:r>
    </w:p>
    <w:p w14:paraId="48CE30C0" w14:textId="77777777" w:rsidR="003432B3" w:rsidRDefault="003432B3" w:rsidP="003432B3">
      <w:pPr>
        <w:autoSpaceDE w:val="0"/>
        <w:autoSpaceDN w:val="0"/>
        <w:adjustRightInd w:val="0"/>
        <w:spacing w:line="276" w:lineRule="auto"/>
        <w:ind w:firstLine="1134"/>
        <w:jc w:val="both"/>
      </w:pPr>
      <w:r>
        <w:t>Solicito regule honorarios y tome como base regulatoria la suma de {{</w:t>
      </w:r>
      <w:r w:rsidRPr="00E9369F">
        <w:t>total_liquidacion_en_UMA</w:t>
      </w:r>
      <w:r>
        <w:t>}}, teniendo en cuenta que el valor del UMA a la fecha de cierre de la liquidación, {{</w:t>
      </w:r>
      <w:r w:rsidRPr="0098315B">
        <w:t>Valor_UMA</w:t>
      </w:r>
      <w:r>
        <w:t>}} y el monto reclamado {{</w:t>
      </w:r>
      <w:r w:rsidRPr="00EF4C5E">
        <w:t>total_liquidacion</w:t>
      </w:r>
      <w:r>
        <w:t>}}, con más los intereses al efectivo pago, de conformidad con lo establecido por la ley 27.423 que en su articulo 52 establece: “Aun sin petición del interesado, al dictarse sentencia se regularán los honorarios respectivos de los abogados y procuradores de las partes y de los auxiliares de Justicia. A los efectos de la regulación se tendrán en cuenta los intereses, los frutos y los accesorios, que integrarán la base regulatoria según lo establecido en los artículos 22, 23 y 24.”</w:t>
      </w:r>
    </w:p>
    <w:p w14:paraId="2931021B" w14:textId="77777777" w:rsidR="003432B3" w:rsidRDefault="003432B3" w:rsidP="003432B3">
      <w:pPr>
        <w:autoSpaceDE w:val="0"/>
        <w:autoSpaceDN w:val="0"/>
        <w:adjustRightInd w:val="0"/>
        <w:spacing w:line="276" w:lineRule="auto"/>
        <w:ind w:firstLine="1134"/>
        <w:jc w:val="both"/>
      </w:pPr>
    </w:p>
    <w:p w14:paraId="582A7CCE" w14:textId="77777777" w:rsidR="003432B3" w:rsidRDefault="003432B3" w:rsidP="00AE165A">
      <w:pPr>
        <w:numPr>
          <w:ilvl w:val="0"/>
          <w:numId w:val="16"/>
        </w:numPr>
        <w:autoSpaceDE w:val="0"/>
        <w:autoSpaceDN w:val="0"/>
        <w:adjustRightInd w:val="0"/>
        <w:spacing w:line="276" w:lineRule="auto"/>
        <w:ind w:left="2138"/>
        <w:jc w:val="both"/>
      </w:pPr>
      <w:r>
        <w:tab/>
      </w:r>
      <w:r w:rsidRPr="00D9646F">
        <w:rPr>
          <w:b/>
          <w:bCs/>
        </w:rPr>
        <w:t>VISTA CAJA</w:t>
      </w:r>
    </w:p>
    <w:p w14:paraId="7102D11C" w14:textId="77777777" w:rsidR="003432B3" w:rsidRDefault="003432B3" w:rsidP="003432B3">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141D1D0E" w14:textId="77777777" w:rsidR="003432B3" w:rsidRDefault="003432B3" w:rsidP="003432B3">
      <w:pPr>
        <w:autoSpaceDE w:val="0"/>
        <w:autoSpaceDN w:val="0"/>
        <w:adjustRightInd w:val="0"/>
        <w:spacing w:line="276" w:lineRule="auto"/>
        <w:ind w:firstLine="1134"/>
        <w:jc w:val="both"/>
      </w:pPr>
    </w:p>
    <w:p w14:paraId="3BF05B8E" w14:textId="77777777" w:rsidR="003432B3" w:rsidRDefault="003432B3" w:rsidP="003432B3">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0EF53CA4" w14:textId="77777777" w:rsidR="003432B3" w:rsidRDefault="003432B3" w:rsidP="003432B3">
      <w:pPr>
        <w:autoSpaceDE w:val="0"/>
        <w:autoSpaceDN w:val="0"/>
        <w:adjustRightInd w:val="0"/>
        <w:spacing w:line="276" w:lineRule="auto"/>
        <w:ind w:firstLine="1134"/>
        <w:jc w:val="both"/>
      </w:pPr>
    </w:p>
    <w:p w14:paraId="71242230" w14:textId="77777777" w:rsidR="003432B3" w:rsidRPr="003E441D" w:rsidRDefault="003432B3" w:rsidP="003432B3">
      <w:pPr>
        <w:autoSpaceDE w:val="0"/>
        <w:autoSpaceDN w:val="0"/>
        <w:adjustRightInd w:val="0"/>
        <w:ind w:firstLine="993"/>
        <w:jc w:val="both"/>
        <w:rPr>
          <w:bCs/>
        </w:rPr>
      </w:pPr>
      <w:r>
        <w:t xml:space="preserve">Datos de la caja de abogados:Av. Sarmiento N º 302/308 de la ciudad de Salta,  domicilio electrónico como persona jurídica registrado bajo el CUIT 30518723487. {% if </w:t>
      </w:r>
      <w:r w:rsidRPr="00B05497">
        <w:t>Sancionatorios_Si</w:t>
      </w:r>
      <w:r>
        <w:t xml:space="preserve"> %}</w:t>
      </w:r>
    </w:p>
    <w:p w14:paraId="124077A3" w14:textId="77777777" w:rsidR="003432B3" w:rsidRDefault="003432B3" w:rsidP="003432B3">
      <w:pPr>
        <w:autoSpaceDE w:val="0"/>
        <w:autoSpaceDN w:val="0"/>
        <w:adjustRightInd w:val="0"/>
        <w:spacing w:line="276" w:lineRule="auto"/>
        <w:ind w:firstLine="1134"/>
        <w:jc w:val="both"/>
      </w:pPr>
    </w:p>
    <w:p w14:paraId="4E3A66C8" w14:textId="77777777" w:rsidR="003432B3" w:rsidRPr="00000F33" w:rsidRDefault="003432B3" w:rsidP="003432B3">
      <w:pPr>
        <w:autoSpaceDE w:val="0"/>
        <w:autoSpaceDN w:val="0"/>
        <w:adjustRightInd w:val="0"/>
        <w:spacing w:line="276" w:lineRule="auto"/>
        <w:ind w:firstLine="1134"/>
        <w:jc w:val="both"/>
      </w:pPr>
    </w:p>
    <w:p w14:paraId="6C080B26" w14:textId="49FA19CC" w:rsidR="003660E8" w:rsidRPr="00E90E3C" w:rsidRDefault="003660E8" w:rsidP="00611115">
      <w:pPr>
        <w:numPr>
          <w:ilvl w:val="0"/>
          <w:numId w:val="16"/>
        </w:numPr>
        <w:autoSpaceDE w:val="0"/>
        <w:autoSpaceDN w:val="0"/>
        <w:adjustRightInd w:val="0"/>
        <w:jc w:val="both"/>
        <w:rPr>
          <w:b/>
          <w:bCs/>
          <w:lang w:val="es-AR"/>
        </w:rPr>
      </w:pPr>
      <w:r w:rsidRPr="00E90E3C">
        <w:rPr>
          <w:b/>
          <w:bCs/>
          <w:lang w:val="es-AR"/>
        </w:rPr>
        <w:t xml:space="preserve"> SOLICITO FIJAR INTERESES SANCIONATORIOS</w:t>
      </w:r>
    </w:p>
    <w:p w14:paraId="0BA0AEEA" w14:textId="77777777" w:rsidR="003660E8" w:rsidRPr="00E90E3C" w:rsidRDefault="003660E8" w:rsidP="003660E8">
      <w:pPr>
        <w:autoSpaceDE w:val="0"/>
        <w:autoSpaceDN w:val="0"/>
        <w:adjustRightInd w:val="0"/>
        <w:ind w:firstLine="1134"/>
        <w:jc w:val="both"/>
        <w:rPr>
          <w:lang w:val="es-AR"/>
        </w:rPr>
      </w:pPr>
      <w:r w:rsidRPr="00E90E3C">
        <w:rPr>
          <w:lang w:val="es-AR"/>
        </w:rPr>
        <w:t>Habiendo vencido el plazo para que ANSES cumpla con la sentencia de manera adecuada y considerando su reiterada conducta de reticencia al cumplimiento integral, solicito a V.S. que fije intereses sancionatorios. Estos intereses deben establecerse con claridad, indicando la fecha desde la cual se aplicarán, la tasa correspondiente y la metodología para su cálculo en caso de pagos parciales.</w:t>
      </w:r>
    </w:p>
    <w:p w14:paraId="2E62EF19" w14:textId="77777777" w:rsidR="003660E8" w:rsidRPr="00E90E3C" w:rsidRDefault="003660E8" w:rsidP="003660E8">
      <w:pPr>
        <w:autoSpaceDE w:val="0"/>
        <w:autoSpaceDN w:val="0"/>
        <w:adjustRightInd w:val="0"/>
        <w:ind w:firstLine="1134"/>
        <w:jc w:val="both"/>
        <w:rPr>
          <w:lang w:val="es-AR"/>
        </w:rPr>
      </w:pPr>
      <w:r w:rsidRPr="00E90E3C">
        <w:rPr>
          <w:lang w:val="es-AR"/>
        </w:rPr>
        <w:t>Destaco que estos intereses no constituyen anatocismo, ya que su fuente es una disposición judicial con función punitiva, orientada a corregir la conducta contumaz del deudor. Propongo que se fijen en dos veces y media la tasa de descuento ordinario del Banco Nación, considerando su función tanto resarcitoria como sancionatoria, en línea con lo dispuesto en los artículos 769 y 790 del Código Civil y Comercial de la Nación.</w:t>
      </w:r>
    </w:p>
    <w:p w14:paraId="247B4C61" w14:textId="77777777" w:rsidR="003660E8" w:rsidRPr="00E90E3C" w:rsidRDefault="003660E8" w:rsidP="003660E8">
      <w:pPr>
        <w:autoSpaceDE w:val="0"/>
        <w:autoSpaceDN w:val="0"/>
        <w:adjustRightInd w:val="0"/>
        <w:ind w:firstLine="1134"/>
        <w:jc w:val="both"/>
        <w:rPr>
          <w:lang w:val="es-AR"/>
        </w:rPr>
      </w:pPr>
      <w:r w:rsidRPr="00E90E3C">
        <w:rPr>
          <w:lang w:val="es-AR"/>
        </w:rPr>
        <w:t>El artículo 790 establece que los intereses sancionatorios imponen al deudor una obligación adicional, no solo para resarcir la mora, sino también para sancionar el incumplimiento. Por ello, estos intereses deben ser superiores a los moratorios, ya que aplicar una tasa más baja incentivaría el incumplimiento y convertiría a los tribunales en una fuente barata de financiamiento para los deudores morosos.</w:t>
      </w:r>
    </w:p>
    <w:p w14:paraId="292DE4DB" w14:textId="77777777" w:rsidR="003660E8" w:rsidRPr="00E90E3C" w:rsidRDefault="003660E8" w:rsidP="003660E8">
      <w:pPr>
        <w:autoSpaceDE w:val="0"/>
        <w:autoSpaceDN w:val="0"/>
        <w:adjustRightInd w:val="0"/>
        <w:ind w:firstLine="1134"/>
        <w:jc w:val="both"/>
        <w:rPr>
          <w:lang w:val="es-AR"/>
        </w:rPr>
      </w:pPr>
      <w:r w:rsidRPr="00E90E3C">
        <w:rPr>
          <w:lang w:val="es-AR"/>
        </w:rPr>
        <w:t>Solicito además:</w:t>
      </w:r>
    </w:p>
    <w:p w14:paraId="60B16133" w14:textId="77777777" w:rsidR="003660E8" w:rsidRPr="00E90E3C" w:rsidRDefault="003660E8" w:rsidP="003660E8">
      <w:pPr>
        <w:numPr>
          <w:ilvl w:val="0"/>
          <w:numId w:val="46"/>
        </w:numPr>
        <w:autoSpaceDE w:val="0"/>
        <w:autoSpaceDN w:val="0"/>
        <w:adjustRightInd w:val="0"/>
        <w:jc w:val="both"/>
        <w:rPr>
          <w:lang w:val="es-AR"/>
        </w:rPr>
      </w:pPr>
      <w:r w:rsidRPr="00E90E3C">
        <w:rPr>
          <w:lang w:val="es-AR"/>
        </w:rPr>
        <w:t>Fecha de aplicación: Que V.S. determine desde cuándo se aplican los intereses sancionatorios, considerando las siguientes posibles fechas:</w:t>
      </w:r>
    </w:p>
    <w:p w14:paraId="0FEAD1D9" w14:textId="77777777" w:rsidR="003660E8" w:rsidRPr="00E90E3C" w:rsidRDefault="003660E8" w:rsidP="003660E8">
      <w:pPr>
        <w:numPr>
          <w:ilvl w:val="1"/>
          <w:numId w:val="46"/>
        </w:numPr>
        <w:autoSpaceDE w:val="0"/>
        <w:autoSpaceDN w:val="0"/>
        <w:adjustRightInd w:val="0"/>
        <w:jc w:val="both"/>
        <w:rPr>
          <w:lang w:val="es-AR"/>
        </w:rPr>
      </w:pPr>
      <w:r w:rsidRPr="00E90E3C">
        <w:rPr>
          <w:lang w:val="es-AR"/>
        </w:rPr>
        <w:t>Fecha de sentencia del juez.</w:t>
      </w:r>
    </w:p>
    <w:p w14:paraId="3E813006" w14:textId="77777777" w:rsidR="003660E8" w:rsidRPr="00E90E3C" w:rsidRDefault="003660E8" w:rsidP="003660E8">
      <w:pPr>
        <w:numPr>
          <w:ilvl w:val="1"/>
          <w:numId w:val="46"/>
        </w:numPr>
        <w:autoSpaceDE w:val="0"/>
        <w:autoSpaceDN w:val="0"/>
        <w:adjustRightInd w:val="0"/>
        <w:jc w:val="both"/>
        <w:rPr>
          <w:lang w:val="es-AR"/>
        </w:rPr>
      </w:pPr>
      <w:r w:rsidRPr="00E90E3C">
        <w:rPr>
          <w:lang w:val="es-AR"/>
        </w:rPr>
        <w:t>Fecha de cierre de la liquidación.</w:t>
      </w:r>
    </w:p>
    <w:p w14:paraId="7D1C26E0" w14:textId="77777777" w:rsidR="003660E8" w:rsidRPr="00E90E3C" w:rsidRDefault="003660E8" w:rsidP="003660E8">
      <w:pPr>
        <w:numPr>
          <w:ilvl w:val="1"/>
          <w:numId w:val="46"/>
        </w:numPr>
        <w:autoSpaceDE w:val="0"/>
        <w:autoSpaceDN w:val="0"/>
        <w:adjustRightInd w:val="0"/>
        <w:jc w:val="both"/>
        <w:rPr>
          <w:lang w:val="es-AR"/>
        </w:rPr>
      </w:pPr>
      <w:r w:rsidRPr="00E90E3C">
        <w:rPr>
          <w:lang w:val="es-AR"/>
        </w:rPr>
        <w:t>Fecha de vencimiento de la sentencia ejecutoria.</w:t>
      </w:r>
    </w:p>
    <w:p w14:paraId="3C0C5144" w14:textId="77777777" w:rsidR="003660E8" w:rsidRDefault="003660E8" w:rsidP="003660E8">
      <w:pPr>
        <w:numPr>
          <w:ilvl w:val="0"/>
          <w:numId w:val="46"/>
        </w:numPr>
        <w:autoSpaceDE w:val="0"/>
        <w:autoSpaceDN w:val="0"/>
        <w:adjustRightInd w:val="0"/>
        <w:jc w:val="both"/>
        <w:rPr>
          <w:lang w:val="es-AR"/>
        </w:rPr>
      </w:pPr>
      <w:r w:rsidRPr="00E90E3C">
        <w:rPr>
          <w:lang w:val="es-AR"/>
        </w:rPr>
        <w:t xml:space="preserve">Tasa de interés: La tasa debe superar la pasiva del Banco Nación para garantizar su carácter punitivo, evitando capitalizaciones encubiertas. </w:t>
      </w:r>
    </w:p>
    <w:p w14:paraId="3F967B24" w14:textId="77777777" w:rsidR="003660E8" w:rsidRPr="00E90E3C" w:rsidRDefault="003660E8" w:rsidP="003660E8">
      <w:pPr>
        <w:autoSpaceDE w:val="0"/>
        <w:autoSpaceDN w:val="0"/>
        <w:adjustRightInd w:val="0"/>
        <w:ind w:left="360"/>
        <w:jc w:val="both"/>
        <w:rPr>
          <w:lang w:val="es-AR"/>
        </w:rPr>
      </w:pPr>
      <w:r w:rsidRPr="00E90E3C">
        <w:rPr>
          <w:lang w:val="es-AR"/>
        </w:rPr>
        <w:t>Reserva: Me reservo el derecho de ampliar la presente liquidación una vez que V.S. determine la tasa aplicable y el modo de cálculo de los intereses sancionatorios.</w:t>
      </w:r>
      <w:r>
        <w:rPr>
          <w:lang w:val="es-AR"/>
        </w:rPr>
        <w:t xml:space="preserve"> </w:t>
      </w:r>
      <w:r>
        <w:t>{% endif %}</w:t>
      </w:r>
    </w:p>
    <w:p w14:paraId="0AFEDAF7" w14:textId="77777777" w:rsidR="003660E8" w:rsidRPr="00B82510" w:rsidRDefault="003660E8" w:rsidP="003660E8">
      <w:pPr>
        <w:autoSpaceDE w:val="0"/>
        <w:autoSpaceDN w:val="0"/>
        <w:adjustRightInd w:val="0"/>
        <w:jc w:val="both"/>
        <w:rPr>
          <w:lang w:val="es-AR"/>
        </w:rPr>
      </w:pPr>
    </w:p>
    <w:p w14:paraId="44CF542E" w14:textId="77777777" w:rsidR="003432B3" w:rsidRDefault="003432B3" w:rsidP="003432B3">
      <w:pPr>
        <w:autoSpaceDE w:val="0"/>
        <w:autoSpaceDN w:val="0"/>
        <w:adjustRightInd w:val="0"/>
        <w:spacing w:line="276" w:lineRule="auto"/>
        <w:ind w:firstLine="1134"/>
        <w:jc w:val="both"/>
        <w:rPr>
          <w:b/>
          <w:color w:val="000000"/>
        </w:rPr>
      </w:pPr>
    </w:p>
    <w:p w14:paraId="60DD3416" w14:textId="77777777" w:rsidR="003432B3" w:rsidRPr="00B82510" w:rsidRDefault="003432B3" w:rsidP="003432B3">
      <w:pPr>
        <w:autoSpaceDE w:val="0"/>
        <w:autoSpaceDN w:val="0"/>
        <w:adjustRightInd w:val="0"/>
        <w:ind w:left="1854"/>
        <w:jc w:val="both"/>
        <w:rPr>
          <w:lang w:val="es-AR"/>
        </w:rPr>
      </w:pPr>
    </w:p>
    <w:p w14:paraId="755D66BF" w14:textId="77777777" w:rsidR="002C5AC3" w:rsidRDefault="002C5AC3" w:rsidP="002C5AC3">
      <w:pPr>
        <w:numPr>
          <w:ilvl w:val="0"/>
          <w:numId w:val="16"/>
        </w:numPr>
        <w:autoSpaceDE w:val="0"/>
        <w:autoSpaceDN w:val="0"/>
        <w:adjustRightInd w:val="0"/>
        <w:ind w:left="1854"/>
        <w:jc w:val="both"/>
        <w:rPr>
          <w:lang w:val="es-AR"/>
        </w:rPr>
      </w:pPr>
      <w:r>
        <w:rPr>
          <w:b/>
          <w:bCs/>
        </w:rPr>
        <w:t xml:space="preserve">Actualización monetaria </w:t>
      </w:r>
    </w:p>
    <w:p w14:paraId="1B3BA619" w14:textId="77777777" w:rsidR="002C5AC3" w:rsidRPr="00B8106E" w:rsidRDefault="002C5AC3" w:rsidP="002C5AC3">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5A5FD889" w14:textId="77777777" w:rsidR="002C5AC3" w:rsidRPr="00B8106E" w:rsidRDefault="002C5AC3" w:rsidP="002C5AC3">
      <w:pPr>
        <w:pStyle w:val="NormalWeb"/>
        <w:ind w:firstLine="993"/>
        <w:jc w:val="both"/>
      </w:pPr>
      <w:r w:rsidRPr="00B8106E">
        <w:t>El 22 de febrero de 2024, la CSJN señaló que los problemas relativos a créditos de naturaleza alimentaria exigen una consideración cuidadosa en favor de los beneficiarios, quienes gozan de protección constitucional (Fallos: 323:1122, “Bianculli”). Aunque en ese caso se trataba de una cuota alimentaria, el criterio aplica igualmente a las deudas previsionales, por su carácter alimentario.</w:t>
      </w:r>
    </w:p>
    <w:p w14:paraId="2A02D63D" w14:textId="77777777" w:rsidR="002C5AC3" w:rsidRPr="00B8106E" w:rsidRDefault="002C5AC3" w:rsidP="002C5AC3">
      <w:pPr>
        <w:pStyle w:val="NormalWeb"/>
        <w:ind w:firstLine="993"/>
        <w:jc w:val="both"/>
      </w:pPr>
      <w:r w:rsidRPr="00B8106E">
        <w:t xml:space="preserve">En </w:t>
      </w:r>
      <w:r w:rsidRPr="00B8106E">
        <w:rPr>
          <w:rStyle w:val="nfasis"/>
        </w:rPr>
        <w:t>"Recurso de Queja Nº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"Itzcovich"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49E1AD2A" w14:textId="77777777" w:rsidR="002C5AC3" w:rsidRPr="00B8106E" w:rsidRDefault="002C5AC3" w:rsidP="002C5AC3">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71BCF747" w14:textId="77777777" w:rsidR="002C5AC3" w:rsidRPr="00B8106E" w:rsidRDefault="002C5AC3" w:rsidP="002C5AC3">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79674285" w14:textId="77777777" w:rsidR="002C5AC3" w:rsidRPr="00B8106E" w:rsidRDefault="002C5AC3" w:rsidP="002C5AC3">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096FDF88" w14:textId="77777777" w:rsidR="002C5AC3" w:rsidRPr="00B8106E" w:rsidRDefault="002C5AC3" w:rsidP="002C5AC3">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23DF1796" w14:textId="77777777" w:rsidR="002C5AC3" w:rsidRPr="005C0B8B" w:rsidRDefault="002C5AC3" w:rsidP="002C5AC3">
      <w:pPr>
        <w:pStyle w:val="NormalWeb"/>
        <w:ind w:firstLine="993"/>
        <w:jc w:val="both"/>
      </w:pPr>
      <w:r w:rsidRPr="00B8106E">
        <w:t>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mandante</w:t>
      </w:r>
      <w:r w:rsidRPr="003E0AF8">
        <w:rPr>
          <w:bCs/>
        </w:rPr>
        <w:t>{</w:t>
      </w:r>
      <w:r>
        <w:rPr>
          <w:bCs/>
        </w:rPr>
        <w:t xml:space="preserve">% </w:t>
      </w:r>
      <w:r w:rsidRPr="003E0AF8">
        <w:rPr>
          <w:bCs/>
        </w:rPr>
        <w:t xml:space="preserve">if Daños_Si </w:t>
      </w:r>
      <w:r>
        <w:rPr>
          <w:bCs/>
        </w:rPr>
        <w:t>%</w:t>
      </w:r>
      <w:r w:rsidRPr="003E0AF8">
        <w:rPr>
          <w:bCs/>
        </w:rPr>
        <w:t>}</w:t>
      </w:r>
    </w:p>
    <w:p w14:paraId="1E8A7B47" w14:textId="77777777" w:rsidR="003432B3" w:rsidRDefault="003432B3" w:rsidP="003432B3">
      <w:pPr>
        <w:autoSpaceDE w:val="0"/>
        <w:autoSpaceDN w:val="0"/>
        <w:adjustRightInd w:val="0"/>
        <w:spacing w:line="276" w:lineRule="auto"/>
        <w:ind w:firstLine="1134"/>
        <w:jc w:val="both"/>
        <w:rPr>
          <w:b/>
        </w:rPr>
      </w:pPr>
    </w:p>
    <w:p w14:paraId="48900F09" w14:textId="0C1F7495" w:rsidR="00C91E72" w:rsidRPr="00544398" w:rsidRDefault="00C91E72" w:rsidP="00C91E72">
      <w:pPr>
        <w:numPr>
          <w:ilvl w:val="0"/>
          <w:numId w:val="16"/>
        </w:numPr>
        <w:autoSpaceDE w:val="0"/>
        <w:autoSpaceDN w:val="0"/>
        <w:adjustRightInd w:val="0"/>
        <w:jc w:val="both"/>
        <w:rPr>
          <w:b/>
        </w:rPr>
      </w:pPr>
      <w:r w:rsidRPr="00544398">
        <w:rPr>
          <w:b/>
        </w:rPr>
        <w:t>SOLICITO FIJE INDEMNIZACION POR DAÑOS</w:t>
      </w:r>
    </w:p>
    <w:p w14:paraId="599DABCD" w14:textId="77777777" w:rsidR="00C91E72" w:rsidRDefault="00C91E72" w:rsidP="00C91E72">
      <w:pPr>
        <w:pStyle w:val="NormalWeb"/>
        <w:ind w:firstLine="1276"/>
        <w:jc w:val="both"/>
      </w:pPr>
      <w:r>
        <w:t>La reiterada e injustificada inactividad de ANSES, que obliga a desplegar esfuerzos administrativos y judiciales para hacer cumplir una sentencia que reconoce el derecho a un haber integral, evidencia una conducta negligente que debe ser sancionada. Esta inacción prolongada durante casi una década no solo lesiona derechos fundamentales, como el respeto al proyecto de vida y la reparación integral del daño, sino que también desvirtúa el principio de justicia al licuar deudas mediante el incumplimiento y el uso de tasas irrisorias.</w:t>
      </w:r>
    </w:p>
    <w:p w14:paraId="10D4C805" w14:textId="77777777" w:rsidR="00C91E72" w:rsidRDefault="00C91E72" w:rsidP="00C91E72">
      <w:pPr>
        <w:pStyle w:val="NormalWeb"/>
        <w:ind w:firstLine="1276"/>
        <w:jc w:val="both"/>
      </w:pPr>
      <w:r>
        <w:t xml:space="preserve">En este contexto, resulta necesario que se fije una indemnización que repare el daño causado, conforme al art. 19 y 75 inc. 22 de la Constitución Nacional y a lo establecido por la CSJN en precedentes como </w:t>
      </w:r>
      <w:r>
        <w:rPr>
          <w:rStyle w:val="nfasis"/>
        </w:rPr>
        <w:t>Fallos: 308:1118</w:t>
      </w:r>
      <w:r>
        <w:t xml:space="preserve"> y </w:t>
      </w:r>
      <w:r>
        <w:rPr>
          <w:rStyle w:val="nfasis"/>
        </w:rPr>
        <w:t>327:3753</w:t>
      </w:r>
      <w:r>
        <w:t>. La indemnización debe permitir al beneficiario afrontar los gastos derivados de su condición y garantizar el cumplimiento del principio de reparación integral.</w:t>
      </w:r>
    </w:p>
    <w:p w14:paraId="4E0A148C" w14:textId="77777777" w:rsidR="00C91E72" w:rsidRDefault="00C91E72" w:rsidP="00C91E72">
      <w:pPr>
        <w:pStyle w:val="NormalWeb"/>
        <w:ind w:firstLine="1276"/>
        <w:jc w:val="both"/>
      </w:pPr>
      <w:r>
        <w:t xml:space="preserve">La responsabilidad del Estado por inactividad está claramente configurada en el caso, según lo previsto en el art. 3 de la Ley 26.944. La omisión sistemática de ANSES no puede quedar sin consecuencias, ya que el no cumplimiento de una sentencia judicial coloca al Estado fuera del orden jurídico, tal como lo advirtió la CSJN en el caso </w:t>
      </w:r>
      <w:r>
        <w:rPr>
          <w:rStyle w:val="nfasis"/>
        </w:rPr>
        <w:t>"Pietranera"</w:t>
      </w:r>
      <w:r>
        <w:t>.</w:t>
      </w:r>
    </w:p>
    <w:p w14:paraId="73C3298E" w14:textId="77777777" w:rsidR="00C91E72" w:rsidRDefault="00C91E72" w:rsidP="00C91E72">
      <w:pPr>
        <w:pStyle w:val="NormalWeb"/>
        <w:ind w:firstLine="1276"/>
        <w:jc w:val="both"/>
      </w:pPr>
      <w:r>
        <w:t xml:space="preserve">En palabras de Germán Bidart Campos, </w:t>
      </w:r>
      <w:r>
        <w:rPr>
          <w:rStyle w:val="nfasis"/>
        </w:rPr>
        <w:t>"no es justo ni razonable que las consecuencias de las políticas equivocadas del Estado recaigan sobre los gobernados"</w:t>
      </w:r>
      <w:r>
        <w:t>. En este sentido, la inacción de ANSES no solo viola derechos, sino que perpetúa un sistema de desprotección hacia los más vulnerables, quienes tienen derecho a que sus sentencias sean efectivamente cumplidas y respetadas.</w:t>
      </w:r>
    </w:p>
    <w:p w14:paraId="211E1F9A" w14:textId="77777777" w:rsidR="00C91E72" w:rsidRPr="005C0B8B" w:rsidRDefault="00C91E72" w:rsidP="00C91E72">
      <w:pPr>
        <w:pStyle w:val="NormalWeb"/>
        <w:ind w:firstLine="1276"/>
        <w:jc w:val="both"/>
      </w:pPr>
      <w:r>
        <w:t>Por todo lo expuesto, solicito que se condene a ANSES a abonar una indemnización por los daños ocasionados o, en su defecto, a actualizar y pagar la deuda de manera integral y conforme a derecho.</w:t>
      </w:r>
      <w:r w:rsidRPr="00544398">
        <w:t xml:space="preserve"> </w:t>
      </w:r>
      <w:r>
        <w:t>{% endif %}</w:t>
      </w:r>
      <w:bookmarkStart w:id="3" w:name="_Hlk73292622"/>
    </w:p>
    <w:bookmarkEnd w:id="3"/>
    <w:p w14:paraId="44D2ED04" w14:textId="2FC21F09" w:rsidR="00437EF4" w:rsidRPr="00437EF4" w:rsidRDefault="00437EF4" w:rsidP="003432B3">
      <w:pPr>
        <w:autoSpaceDE w:val="0"/>
        <w:autoSpaceDN w:val="0"/>
        <w:adjustRightInd w:val="0"/>
        <w:ind w:firstLine="1134"/>
        <w:jc w:val="both"/>
        <w:rPr>
          <w:lang w:val="es-AR"/>
        </w:rPr>
      </w:pPr>
      <w:r w:rsidRPr="00544398">
        <w:rPr>
          <w:lang w:val="es-AR"/>
        </w:rPr>
        <w:t xml:space="preserve"> </w:t>
      </w:r>
    </w:p>
    <w:p w14:paraId="77DF390F" w14:textId="77777777" w:rsidR="00351CE0" w:rsidRDefault="00351CE0" w:rsidP="0064165E">
      <w:pPr>
        <w:autoSpaceDE w:val="0"/>
        <w:autoSpaceDN w:val="0"/>
        <w:adjustRightInd w:val="0"/>
        <w:ind w:firstLine="1134"/>
        <w:jc w:val="both"/>
        <w:rPr>
          <w:b/>
          <w:color w:val="000000"/>
        </w:rPr>
      </w:pPr>
    </w:p>
    <w:bookmarkEnd w:id="0"/>
    <w:p w14:paraId="0213E07E" w14:textId="77777777" w:rsidR="008F5ED6" w:rsidRPr="00241391" w:rsidRDefault="008F5ED6" w:rsidP="00C91E72">
      <w:pPr>
        <w:numPr>
          <w:ilvl w:val="0"/>
          <w:numId w:val="16"/>
        </w:numPr>
        <w:autoSpaceDE w:val="0"/>
        <w:autoSpaceDN w:val="0"/>
        <w:adjustRightInd w:val="0"/>
        <w:spacing w:line="276" w:lineRule="auto"/>
        <w:rPr>
          <w:b/>
        </w:rPr>
      </w:pPr>
      <w:r w:rsidRPr="00241391">
        <w:rPr>
          <w:b/>
        </w:rPr>
        <w:t>PLANILLA DE LA LIQUIDACION</w:t>
      </w:r>
    </w:p>
    <w:p w14:paraId="4F97F433"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3802BBD"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4" w:name="_Hlk73119687"/>
    </w:p>
    <w:p w14:paraId="371AA8A9" w14:textId="77777777" w:rsidR="001C182E" w:rsidRDefault="001C182E" w:rsidP="001C182E">
      <w:pPr>
        <w:autoSpaceDE w:val="0"/>
        <w:autoSpaceDN w:val="0"/>
        <w:adjustRightInd w:val="0"/>
        <w:spacing w:line="276" w:lineRule="auto"/>
        <w:ind w:firstLine="1843"/>
        <w:jc w:val="both"/>
      </w:pPr>
    </w:p>
    <w:p w14:paraId="14C51B50" w14:textId="77777777" w:rsidR="008F5ED6" w:rsidRDefault="008F5ED6" w:rsidP="00C91E72">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de mi mandante y el comportamiento moroso de Anses, afecta</w:t>
      </w:r>
      <w:r w:rsidR="001C182E">
        <w:t xml:space="preserve"> el derecho de propiedad, la división de </w:t>
      </w:r>
      <w:r w:rsidR="002D3DB2">
        <w:t>poderes, de acceso a justicia en un plazo razonable, pero</w:t>
      </w:r>
      <w:r w:rsidR="001C182E">
        <w:t xml:space="preserve"> sobre todo el derecho a una vejez digna.</w:t>
      </w:r>
    </w:p>
    <w:p w14:paraId="68B57D37" w14:textId="77777777" w:rsidR="008F5ED6" w:rsidRPr="00AE0052" w:rsidRDefault="008F5ED6" w:rsidP="003833D6">
      <w:pPr>
        <w:autoSpaceDE w:val="0"/>
        <w:autoSpaceDN w:val="0"/>
        <w:adjustRightInd w:val="0"/>
        <w:spacing w:line="276" w:lineRule="auto"/>
        <w:jc w:val="both"/>
        <w:rPr>
          <w:color w:val="FF0000"/>
        </w:rPr>
      </w:pPr>
    </w:p>
    <w:p w14:paraId="159186D1"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4"/>
    <w:p w14:paraId="0AEDBF9E" w14:textId="77777777" w:rsidR="008F5ED6" w:rsidRDefault="008F5ED6" w:rsidP="003833D6">
      <w:pPr>
        <w:spacing w:line="276" w:lineRule="auto"/>
        <w:ind w:firstLine="2160"/>
        <w:jc w:val="center"/>
        <w:rPr>
          <w:b/>
          <w:lang w:val="es-ES_tradnl"/>
        </w:rPr>
      </w:pPr>
    </w:p>
    <w:p w14:paraId="5DDCD302" w14:textId="77777777" w:rsidR="008F5ED6" w:rsidRPr="00241391" w:rsidRDefault="008F5ED6" w:rsidP="003833D6">
      <w:pPr>
        <w:spacing w:line="276" w:lineRule="auto"/>
        <w:rPr>
          <w:b/>
          <w:lang w:val="es-ES_tradnl"/>
        </w:rPr>
      </w:pPr>
    </w:p>
    <w:p w14:paraId="7B97DFE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0C7645A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305B5803" w14:textId="77777777" w:rsidR="008F5ED6" w:rsidRPr="00241391" w:rsidRDefault="008F5ED6" w:rsidP="003833D6">
      <w:pPr>
        <w:spacing w:line="276" w:lineRule="auto"/>
        <w:ind w:firstLine="2160"/>
        <w:jc w:val="center"/>
      </w:pPr>
      <w:r>
        <w:rPr>
          <w:b/>
          <w:sz w:val="16"/>
          <w:szCs w:val="16"/>
          <w:lang w:val="es-ES_tradnl"/>
        </w:rPr>
        <w:t>MAT. FED T 108 F 978</w:t>
      </w:r>
    </w:p>
    <w:sectPr w:rsidR="008F5ED6" w:rsidRPr="00241391" w:rsidSect="00920A5B">
      <w:pgSz w:w="11906" w:h="16838" w:code="9"/>
      <w:pgMar w:top="2694" w:right="1276" w:bottom="851"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2B82B" w14:textId="77777777" w:rsidR="00713EBE" w:rsidRDefault="00713EBE" w:rsidP="00544398">
      <w:r>
        <w:separator/>
      </w:r>
    </w:p>
  </w:endnote>
  <w:endnote w:type="continuationSeparator" w:id="0">
    <w:p w14:paraId="25F1D744" w14:textId="77777777" w:rsidR="00713EBE" w:rsidRDefault="00713EBE"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4723C" w14:textId="77777777" w:rsidR="00713EBE" w:rsidRDefault="00713EBE" w:rsidP="00544398">
      <w:r>
        <w:separator/>
      </w:r>
    </w:p>
  </w:footnote>
  <w:footnote w:type="continuationSeparator" w:id="0">
    <w:p w14:paraId="78DBF2A5" w14:textId="77777777" w:rsidR="00713EBE" w:rsidRDefault="00713EBE" w:rsidP="00544398">
      <w:r>
        <w:continuationSeparator/>
      </w:r>
    </w:p>
  </w:footnote>
  <w:footnote w:id="1">
    <w:p w14:paraId="6CFBDFA3" w14:textId="77777777" w:rsidR="003432B3" w:rsidRDefault="003432B3" w:rsidP="003432B3">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2">
    <w:p w14:paraId="15BF5599" w14:textId="77777777" w:rsidR="003432B3" w:rsidRDefault="003432B3" w:rsidP="003432B3">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2269" w:hanging="360"/>
      </w:pPr>
      <w:rPr>
        <w:rFonts w:hint="default"/>
        <w:color w:val="000000"/>
      </w:rPr>
    </w:lvl>
    <w:lvl w:ilvl="1" w:tplc="2C0A0019" w:tentative="1">
      <w:start w:val="1"/>
      <w:numFmt w:val="lowerLetter"/>
      <w:lvlText w:val="%2."/>
      <w:lvlJc w:val="left"/>
      <w:pPr>
        <w:ind w:left="2989" w:hanging="360"/>
      </w:pPr>
    </w:lvl>
    <w:lvl w:ilvl="2" w:tplc="2C0A001B" w:tentative="1">
      <w:start w:val="1"/>
      <w:numFmt w:val="lowerRoman"/>
      <w:lvlText w:val="%3."/>
      <w:lvlJc w:val="right"/>
      <w:pPr>
        <w:ind w:left="3709" w:hanging="180"/>
      </w:pPr>
    </w:lvl>
    <w:lvl w:ilvl="3" w:tplc="2C0A000F" w:tentative="1">
      <w:start w:val="1"/>
      <w:numFmt w:val="decimal"/>
      <w:lvlText w:val="%4."/>
      <w:lvlJc w:val="left"/>
      <w:pPr>
        <w:ind w:left="4429" w:hanging="360"/>
      </w:pPr>
    </w:lvl>
    <w:lvl w:ilvl="4" w:tplc="2C0A0019" w:tentative="1">
      <w:start w:val="1"/>
      <w:numFmt w:val="lowerLetter"/>
      <w:lvlText w:val="%5."/>
      <w:lvlJc w:val="left"/>
      <w:pPr>
        <w:ind w:left="5149" w:hanging="360"/>
      </w:pPr>
    </w:lvl>
    <w:lvl w:ilvl="5" w:tplc="2C0A001B" w:tentative="1">
      <w:start w:val="1"/>
      <w:numFmt w:val="lowerRoman"/>
      <w:lvlText w:val="%6."/>
      <w:lvlJc w:val="right"/>
      <w:pPr>
        <w:ind w:left="5869" w:hanging="180"/>
      </w:pPr>
    </w:lvl>
    <w:lvl w:ilvl="6" w:tplc="2C0A000F" w:tentative="1">
      <w:start w:val="1"/>
      <w:numFmt w:val="decimal"/>
      <w:lvlText w:val="%7."/>
      <w:lvlJc w:val="left"/>
      <w:pPr>
        <w:ind w:left="6589" w:hanging="360"/>
      </w:pPr>
    </w:lvl>
    <w:lvl w:ilvl="7" w:tplc="2C0A0019" w:tentative="1">
      <w:start w:val="1"/>
      <w:numFmt w:val="lowerLetter"/>
      <w:lvlText w:val="%8."/>
      <w:lvlJc w:val="left"/>
      <w:pPr>
        <w:ind w:left="7309" w:hanging="360"/>
      </w:pPr>
    </w:lvl>
    <w:lvl w:ilvl="8" w:tplc="2C0A001B" w:tentative="1">
      <w:start w:val="1"/>
      <w:numFmt w:val="lowerRoman"/>
      <w:lvlText w:val="%9."/>
      <w:lvlJc w:val="right"/>
      <w:pPr>
        <w:ind w:left="8029"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00DC4956"/>
    <w:lvl w:ilvl="0" w:tplc="E934FA50">
      <w:start w:val="1"/>
      <w:numFmt w:val="upperRoman"/>
      <w:lvlText w:val="%1."/>
      <w:lvlJc w:val="left"/>
      <w:pPr>
        <w:ind w:left="1997"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0B722DC"/>
    <w:multiLevelType w:val="hybridMultilevel"/>
    <w:tmpl w:val="F4B8C4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6" w15:restartNumberingAfterBreak="0">
    <w:nsid w:val="326A575F"/>
    <w:multiLevelType w:val="hybridMultilevel"/>
    <w:tmpl w:val="73505342"/>
    <w:lvl w:ilvl="0" w:tplc="43AED4AC">
      <w:start w:val="1"/>
      <w:numFmt w:val="decimal"/>
      <w:lvlText w:val="%1."/>
      <w:lvlJc w:val="left"/>
      <w:pPr>
        <w:ind w:left="720" w:hanging="360"/>
      </w:pPr>
      <w:rPr>
        <w:rFonts w:hint="default"/>
        <w:b/>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8"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9"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3"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5"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6" w15:restartNumberingAfterBreak="0">
    <w:nsid w:val="57F17E16"/>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7"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5A703761"/>
    <w:multiLevelType w:val="hybridMultilevel"/>
    <w:tmpl w:val="C5224E70"/>
    <w:lvl w:ilvl="0" w:tplc="2C0A0011">
      <w:start w:val="1"/>
      <w:numFmt w:val="decimal"/>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29" w15:restartNumberingAfterBreak="0">
    <w:nsid w:val="5C3769E6"/>
    <w:multiLevelType w:val="hybridMultilevel"/>
    <w:tmpl w:val="00DC4956"/>
    <w:lvl w:ilvl="0" w:tplc="FFFFFFFF">
      <w:start w:val="1"/>
      <w:numFmt w:val="upperRoman"/>
      <w:lvlText w:val="%1."/>
      <w:lvlJc w:val="left"/>
      <w:pPr>
        <w:ind w:left="1997"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30" w15:restartNumberingAfterBreak="0">
    <w:nsid w:val="5E344560"/>
    <w:multiLevelType w:val="hybridMultilevel"/>
    <w:tmpl w:val="2E5AB356"/>
    <w:lvl w:ilvl="0" w:tplc="4EF215C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33"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7"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9" w15:restartNumberingAfterBreak="0">
    <w:nsid w:val="793C4D68"/>
    <w:multiLevelType w:val="hybridMultilevel"/>
    <w:tmpl w:val="35AC69B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41"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00113765">
    <w:abstractNumId w:val="25"/>
  </w:num>
  <w:num w:numId="2" w16cid:durableId="1394767369">
    <w:abstractNumId w:val="12"/>
  </w:num>
  <w:num w:numId="3" w16cid:durableId="353115471">
    <w:abstractNumId w:val="23"/>
  </w:num>
  <w:num w:numId="4" w16cid:durableId="536703649">
    <w:abstractNumId w:val="21"/>
  </w:num>
  <w:num w:numId="5" w16cid:durableId="1694653026">
    <w:abstractNumId w:val="17"/>
  </w:num>
  <w:num w:numId="6" w16cid:durableId="789976807">
    <w:abstractNumId w:val="18"/>
  </w:num>
  <w:num w:numId="7" w16cid:durableId="1638993850">
    <w:abstractNumId w:val="40"/>
  </w:num>
  <w:num w:numId="8" w16cid:durableId="371030438">
    <w:abstractNumId w:val="36"/>
  </w:num>
  <w:num w:numId="9" w16cid:durableId="514657670">
    <w:abstractNumId w:val="4"/>
  </w:num>
  <w:num w:numId="10" w16cid:durableId="68189566">
    <w:abstractNumId w:val="13"/>
  </w:num>
  <w:num w:numId="11" w16cid:durableId="564991493">
    <w:abstractNumId w:val="22"/>
  </w:num>
  <w:num w:numId="12" w16cid:durableId="2145542646">
    <w:abstractNumId w:val="6"/>
  </w:num>
  <w:num w:numId="13" w16cid:durableId="1446928861">
    <w:abstractNumId w:val="37"/>
  </w:num>
  <w:num w:numId="14" w16cid:durableId="817115184">
    <w:abstractNumId w:val="3"/>
  </w:num>
  <w:num w:numId="15" w16cid:durableId="1544174658">
    <w:abstractNumId w:val="0"/>
  </w:num>
  <w:num w:numId="16" w16cid:durableId="1959095858">
    <w:abstractNumId w:val="11"/>
  </w:num>
  <w:num w:numId="17" w16cid:durableId="1063678052">
    <w:abstractNumId w:val="24"/>
  </w:num>
  <w:num w:numId="18" w16cid:durableId="81950900">
    <w:abstractNumId w:val="20"/>
  </w:num>
  <w:num w:numId="19" w16cid:durableId="1660962654">
    <w:abstractNumId w:val="10"/>
  </w:num>
  <w:num w:numId="20" w16cid:durableId="491677715">
    <w:abstractNumId w:val="34"/>
  </w:num>
  <w:num w:numId="21" w16cid:durableId="1676223724">
    <w:abstractNumId w:val="38"/>
  </w:num>
  <w:num w:numId="22" w16cid:durableId="518199460">
    <w:abstractNumId w:val="9"/>
  </w:num>
  <w:num w:numId="23" w16cid:durableId="291911203">
    <w:abstractNumId w:val="1"/>
  </w:num>
  <w:num w:numId="24" w16cid:durableId="762149399">
    <w:abstractNumId w:val="15"/>
  </w:num>
  <w:num w:numId="25" w16cid:durableId="457534302">
    <w:abstractNumId w:val="32"/>
  </w:num>
  <w:num w:numId="26" w16cid:durableId="1371344008">
    <w:abstractNumId w:val="35"/>
  </w:num>
  <w:num w:numId="27" w16cid:durableId="1643345352">
    <w:abstractNumId w:val="27"/>
  </w:num>
  <w:num w:numId="28" w16cid:durableId="1154564874">
    <w:abstractNumId w:val="41"/>
  </w:num>
  <w:num w:numId="29" w16cid:durableId="144013780">
    <w:abstractNumId w:val="39"/>
  </w:num>
  <w:num w:numId="30" w16cid:durableId="498810302">
    <w:abstractNumId w:val="2"/>
  </w:num>
  <w:num w:numId="31" w16cid:durableId="1754426673">
    <w:abstractNumId w:val="7"/>
  </w:num>
  <w:num w:numId="32" w16cid:durableId="797770353">
    <w:abstractNumId w:val="8"/>
  </w:num>
  <w:num w:numId="33" w16cid:durableId="1344939658">
    <w:abstractNumId w:val="14"/>
  </w:num>
  <w:num w:numId="34" w16cid:durableId="1157503467">
    <w:abstractNumId w:val="30"/>
  </w:num>
  <w:num w:numId="35" w16cid:durableId="1882857242">
    <w:abstractNumId w:val="16"/>
  </w:num>
  <w:num w:numId="36" w16cid:durableId="1386949680">
    <w:abstractNumId w:val="28"/>
  </w:num>
  <w:num w:numId="37" w16cid:durableId="1596865373">
    <w:abstractNumId w:val="33"/>
  </w:num>
  <w:num w:numId="38" w16cid:durableId="546188242">
    <w:abstractNumId w:val="5"/>
  </w:num>
  <w:num w:numId="39" w16cid:durableId="1291397354">
    <w:abstractNumId w:val="31"/>
  </w:num>
  <w:num w:numId="40" w16cid:durableId="153218767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52627816">
    <w:abstractNumId w:val="27"/>
  </w:num>
  <w:num w:numId="42" w16cid:durableId="2116511693">
    <w:abstractNumId w:val="41"/>
  </w:num>
  <w:num w:numId="43" w16cid:durableId="1850369311">
    <w:abstractNumId w:val="39"/>
  </w:num>
  <w:num w:numId="44" w16cid:durableId="325859702">
    <w:abstractNumId w:val="35"/>
  </w:num>
  <w:num w:numId="45" w16cid:durableId="1760103374">
    <w:abstractNumId w:val="26"/>
  </w:num>
  <w:num w:numId="46" w16cid:durableId="1488201742">
    <w:abstractNumId w:val="19"/>
  </w:num>
  <w:num w:numId="47" w16cid:durableId="153426696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0A82"/>
    <w:rsid w:val="000025E0"/>
    <w:rsid w:val="00006D29"/>
    <w:rsid w:val="000177F2"/>
    <w:rsid w:val="00030707"/>
    <w:rsid w:val="000307ED"/>
    <w:rsid w:val="00036312"/>
    <w:rsid w:val="00046BE7"/>
    <w:rsid w:val="00047B09"/>
    <w:rsid w:val="00054937"/>
    <w:rsid w:val="00060E61"/>
    <w:rsid w:val="00062E38"/>
    <w:rsid w:val="00071806"/>
    <w:rsid w:val="000755A2"/>
    <w:rsid w:val="000763A6"/>
    <w:rsid w:val="000838FF"/>
    <w:rsid w:val="0008570B"/>
    <w:rsid w:val="00090184"/>
    <w:rsid w:val="00090D64"/>
    <w:rsid w:val="000A0A1B"/>
    <w:rsid w:val="000A2921"/>
    <w:rsid w:val="000A3954"/>
    <w:rsid w:val="000B0004"/>
    <w:rsid w:val="000B05C2"/>
    <w:rsid w:val="000B24DF"/>
    <w:rsid w:val="000C10B7"/>
    <w:rsid w:val="000C3B50"/>
    <w:rsid w:val="000D3E80"/>
    <w:rsid w:val="000D4D00"/>
    <w:rsid w:val="000D7C9A"/>
    <w:rsid w:val="000E250F"/>
    <w:rsid w:val="000E548B"/>
    <w:rsid w:val="000F16D1"/>
    <w:rsid w:val="000F1F8D"/>
    <w:rsid w:val="00111A20"/>
    <w:rsid w:val="00112CAC"/>
    <w:rsid w:val="00116073"/>
    <w:rsid w:val="001273E5"/>
    <w:rsid w:val="0013482A"/>
    <w:rsid w:val="00141654"/>
    <w:rsid w:val="00141745"/>
    <w:rsid w:val="00146DD4"/>
    <w:rsid w:val="001474D2"/>
    <w:rsid w:val="00147A35"/>
    <w:rsid w:val="00152810"/>
    <w:rsid w:val="00154ADC"/>
    <w:rsid w:val="0016010A"/>
    <w:rsid w:val="00164162"/>
    <w:rsid w:val="00164C0F"/>
    <w:rsid w:val="001742C0"/>
    <w:rsid w:val="00181FA5"/>
    <w:rsid w:val="00182043"/>
    <w:rsid w:val="00184728"/>
    <w:rsid w:val="001871C5"/>
    <w:rsid w:val="00190341"/>
    <w:rsid w:val="001A311D"/>
    <w:rsid w:val="001B4137"/>
    <w:rsid w:val="001B447F"/>
    <w:rsid w:val="001B487F"/>
    <w:rsid w:val="001C182E"/>
    <w:rsid w:val="001C40E3"/>
    <w:rsid w:val="001C7BBB"/>
    <w:rsid w:val="001D25B4"/>
    <w:rsid w:val="001D5D6F"/>
    <w:rsid w:val="001D6801"/>
    <w:rsid w:val="001D7666"/>
    <w:rsid w:val="00206EB7"/>
    <w:rsid w:val="00210555"/>
    <w:rsid w:val="0021350B"/>
    <w:rsid w:val="002169A5"/>
    <w:rsid w:val="00220B58"/>
    <w:rsid w:val="00222783"/>
    <w:rsid w:val="00222DAB"/>
    <w:rsid w:val="00224216"/>
    <w:rsid w:val="0023032A"/>
    <w:rsid w:val="002322E8"/>
    <w:rsid w:val="00233315"/>
    <w:rsid w:val="00234F65"/>
    <w:rsid w:val="00240E86"/>
    <w:rsid w:val="00241391"/>
    <w:rsid w:val="002422C7"/>
    <w:rsid w:val="00244634"/>
    <w:rsid w:val="00244CEC"/>
    <w:rsid w:val="00261A1B"/>
    <w:rsid w:val="002626D9"/>
    <w:rsid w:val="0026600E"/>
    <w:rsid w:val="00270F74"/>
    <w:rsid w:val="00274C50"/>
    <w:rsid w:val="00281CB6"/>
    <w:rsid w:val="00294688"/>
    <w:rsid w:val="002A026E"/>
    <w:rsid w:val="002A0EEF"/>
    <w:rsid w:val="002A54BA"/>
    <w:rsid w:val="002B5781"/>
    <w:rsid w:val="002B5D20"/>
    <w:rsid w:val="002C3C89"/>
    <w:rsid w:val="002C5AC3"/>
    <w:rsid w:val="002D0D44"/>
    <w:rsid w:val="002D16BD"/>
    <w:rsid w:val="002D3DB2"/>
    <w:rsid w:val="002D50A8"/>
    <w:rsid w:val="002E4C5C"/>
    <w:rsid w:val="002E6FDD"/>
    <w:rsid w:val="00300140"/>
    <w:rsid w:val="003006E8"/>
    <w:rsid w:val="0030151D"/>
    <w:rsid w:val="00304669"/>
    <w:rsid w:val="003046DD"/>
    <w:rsid w:val="003059A3"/>
    <w:rsid w:val="00325EE8"/>
    <w:rsid w:val="003273DA"/>
    <w:rsid w:val="00332CCB"/>
    <w:rsid w:val="003335F2"/>
    <w:rsid w:val="003432B3"/>
    <w:rsid w:val="00351066"/>
    <w:rsid w:val="00351A9D"/>
    <w:rsid w:val="00351CE0"/>
    <w:rsid w:val="0035686A"/>
    <w:rsid w:val="00356F0B"/>
    <w:rsid w:val="003609CD"/>
    <w:rsid w:val="003660E8"/>
    <w:rsid w:val="0037579F"/>
    <w:rsid w:val="003766BB"/>
    <w:rsid w:val="003833D6"/>
    <w:rsid w:val="0038362D"/>
    <w:rsid w:val="0038484E"/>
    <w:rsid w:val="00386266"/>
    <w:rsid w:val="00395674"/>
    <w:rsid w:val="00397591"/>
    <w:rsid w:val="003A1962"/>
    <w:rsid w:val="003A4065"/>
    <w:rsid w:val="003A4C75"/>
    <w:rsid w:val="003A5071"/>
    <w:rsid w:val="003C1620"/>
    <w:rsid w:val="003C3747"/>
    <w:rsid w:val="003C7AF1"/>
    <w:rsid w:val="003D09DF"/>
    <w:rsid w:val="003D240C"/>
    <w:rsid w:val="003D291B"/>
    <w:rsid w:val="003D3DB7"/>
    <w:rsid w:val="003D4798"/>
    <w:rsid w:val="003D6635"/>
    <w:rsid w:val="003E7CEE"/>
    <w:rsid w:val="003F4A9A"/>
    <w:rsid w:val="003F4BB6"/>
    <w:rsid w:val="003F6FC2"/>
    <w:rsid w:val="0040567A"/>
    <w:rsid w:val="00415B86"/>
    <w:rsid w:val="004240EF"/>
    <w:rsid w:val="00425829"/>
    <w:rsid w:val="00425BE2"/>
    <w:rsid w:val="00426AB5"/>
    <w:rsid w:val="004328ED"/>
    <w:rsid w:val="00433AE3"/>
    <w:rsid w:val="00434661"/>
    <w:rsid w:val="00437EF4"/>
    <w:rsid w:val="00440856"/>
    <w:rsid w:val="00441402"/>
    <w:rsid w:val="00444759"/>
    <w:rsid w:val="00444858"/>
    <w:rsid w:val="00452F07"/>
    <w:rsid w:val="0045440C"/>
    <w:rsid w:val="0046169C"/>
    <w:rsid w:val="004649E1"/>
    <w:rsid w:val="00465418"/>
    <w:rsid w:val="00470E42"/>
    <w:rsid w:val="004724A4"/>
    <w:rsid w:val="0047265B"/>
    <w:rsid w:val="00482DBB"/>
    <w:rsid w:val="00484055"/>
    <w:rsid w:val="00487E1F"/>
    <w:rsid w:val="00490368"/>
    <w:rsid w:val="00493D7E"/>
    <w:rsid w:val="00495C3C"/>
    <w:rsid w:val="004A01A9"/>
    <w:rsid w:val="004A77F5"/>
    <w:rsid w:val="004B37D2"/>
    <w:rsid w:val="004B3A3B"/>
    <w:rsid w:val="004B433C"/>
    <w:rsid w:val="004C3C07"/>
    <w:rsid w:val="004C6AF1"/>
    <w:rsid w:val="004C7ED2"/>
    <w:rsid w:val="004D04FC"/>
    <w:rsid w:val="004D060E"/>
    <w:rsid w:val="004D3E7F"/>
    <w:rsid w:val="004D50D6"/>
    <w:rsid w:val="004D6FCF"/>
    <w:rsid w:val="004E13CC"/>
    <w:rsid w:val="004E15B1"/>
    <w:rsid w:val="004E47C1"/>
    <w:rsid w:val="004E5E90"/>
    <w:rsid w:val="004E7FA7"/>
    <w:rsid w:val="00500930"/>
    <w:rsid w:val="005011D9"/>
    <w:rsid w:val="0050381F"/>
    <w:rsid w:val="00503821"/>
    <w:rsid w:val="00504693"/>
    <w:rsid w:val="00505DBA"/>
    <w:rsid w:val="0051308D"/>
    <w:rsid w:val="0051413C"/>
    <w:rsid w:val="0051710B"/>
    <w:rsid w:val="005174F9"/>
    <w:rsid w:val="0051775E"/>
    <w:rsid w:val="005221F7"/>
    <w:rsid w:val="0053100A"/>
    <w:rsid w:val="00535F0F"/>
    <w:rsid w:val="0054288E"/>
    <w:rsid w:val="00543EF0"/>
    <w:rsid w:val="00544398"/>
    <w:rsid w:val="00546760"/>
    <w:rsid w:val="005621F0"/>
    <w:rsid w:val="005623DB"/>
    <w:rsid w:val="00586D8A"/>
    <w:rsid w:val="00591500"/>
    <w:rsid w:val="00591A76"/>
    <w:rsid w:val="00593286"/>
    <w:rsid w:val="00597F57"/>
    <w:rsid w:val="005B340D"/>
    <w:rsid w:val="005B4972"/>
    <w:rsid w:val="005B52C6"/>
    <w:rsid w:val="005B5B85"/>
    <w:rsid w:val="005C48BE"/>
    <w:rsid w:val="005D0514"/>
    <w:rsid w:val="005E39CF"/>
    <w:rsid w:val="005E7E90"/>
    <w:rsid w:val="005F2437"/>
    <w:rsid w:val="005F2D56"/>
    <w:rsid w:val="005F2EF9"/>
    <w:rsid w:val="005F370E"/>
    <w:rsid w:val="00607A34"/>
    <w:rsid w:val="00611115"/>
    <w:rsid w:val="006118DC"/>
    <w:rsid w:val="006407FC"/>
    <w:rsid w:val="0064165E"/>
    <w:rsid w:val="0064173A"/>
    <w:rsid w:val="006431DC"/>
    <w:rsid w:val="00645227"/>
    <w:rsid w:val="00647B85"/>
    <w:rsid w:val="00647FD4"/>
    <w:rsid w:val="00650EE6"/>
    <w:rsid w:val="00655A39"/>
    <w:rsid w:val="00655A44"/>
    <w:rsid w:val="00661D1E"/>
    <w:rsid w:val="00661ED2"/>
    <w:rsid w:val="00664815"/>
    <w:rsid w:val="0067056F"/>
    <w:rsid w:val="00672366"/>
    <w:rsid w:val="00677014"/>
    <w:rsid w:val="006803C4"/>
    <w:rsid w:val="006804C1"/>
    <w:rsid w:val="006B3121"/>
    <w:rsid w:val="006C094A"/>
    <w:rsid w:val="006C7A0D"/>
    <w:rsid w:val="006E01E1"/>
    <w:rsid w:val="006E2048"/>
    <w:rsid w:val="006F1111"/>
    <w:rsid w:val="00701454"/>
    <w:rsid w:val="0070652F"/>
    <w:rsid w:val="00706C83"/>
    <w:rsid w:val="00712FEB"/>
    <w:rsid w:val="00713EBE"/>
    <w:rsid w:val="00717680"/>
    <w:rsid w:val="0071768D"/>
    <w:rsid w:val="00720C17"/>
    <w:rsid w:val="00720DEA"/>
    <w:rsid w:val="00722E7E"/>
    <w:rsid w:val="00723493"/>
    <w:rsid w:val="00732E20"/>
    <w:rsid w:val="007367CF"/>
    <w:rsid w:val="00743788"/>
    <w:rsid w:val="00747539"/>
    <w:rsid w:val="00763281"/>
    <w:rsid w:val="00772E39"/>
    <w:rsid w:val="00775A05"/>
    <w:rsid w:val="00782184"/>
    <w:rsid w:val="00782BC2"/>
    <w:rsid w:val="007834F8"/>
    <w:rsid w:val="007878A6"/>
    <w:rsid w:val="00793ACB"/>
    <w:rsid w:val="00795CB7"/>
    <w:rsid w:val="007A370A"/>
    <w:rsid w:val="007B0545"/>
    <w:rsid w:val="007B4B06"/>
    <w:rsid w:val="007B5661"/>
    <w:rsid w:val="007C604D"/>
    <w:rsid w:val="007D1181"/>
    <w:rsid w:val="007D4EC4"/>
    <w:rsid w:val="007E2870"/>
    <w:rsid w:val="007E6BF0"/>
    <w:rsid w:val="007F4326"/>
    <w:rsid w:val="007F6F2F"/>
    <w:rsid w:val="0080112B"/>
    <w:rsid w:val="00806F0D"/>
    <w:rsid w:val="00807315"/>
    <w:rsid w:val="0081586E"/>
    <w:rsid w:val="00815CD5"/>
    <w:rsid w:val="00822D55"/>
    <w:rsid w:val="00831689"/>
    <w:rsid w:val="0085316A"/>
    <w:rsid w:val="0085488C"/>
    <w:rsid w:val="008736EF"/>
    <w:rsid w:val="0088143E"/>
    <w:rsid w:val="00884088"/>
    <w:rsid w:val="00884BB8"/>
    <w:rsid w:val="008855A3"/>
    <w:rsid w:val="00887311"/>
    <w:rsid w:val="008932B0"/>
    <w:rsid w:val="008941A3"/>
    <w:rsid w:val="00896F6D"/>
    <w:rsid w:val="008A2D98"/>
    <w:rsid w:val="008A4022"/>
    <w:rsid w:val="008B4C8E"/>
    <w:rsid w:val="008C07AC"/>
    <w:rsid w:val="008C21BE"/>
    <w:rsid w:val="008C6310"/>
    <w:rsid w:val="008C65BE"/>
    <w:rsid w:val="008D0698"/>
    <w:rsid w:val="008D15B9"/>
    <w:rsid w:val="008D6706"/>
    <w:rsid w:val="008E0128"/>
    <w:rsid w:val="008E6B50"/>
    <w:rsid w:val="008F3936"/>
    <w:rsid w:val="008F3D97"/>
    <w:rsid w:val="008F5ED6"/>
    <w:rsid w:val="00900FFF"/>
    <w:rsid w:val="00903B8A"/>
    <w:rsid w:val="0090413C"/>
    <w:rsid w:val="00904CD0"/>
    <w:rsid w:val="00916E36"/>
    <w:rsid w:val="00917FF3"/>
    <w:rsid w:val="00920A5B"/>
    <w:rsid w:val="009222A3"/>
    <w:rsid w:val="009247D7"/>
    <w:rsid w:val="009301F0"/>
    <w:rsid w:val="00933044"/>
    <w:rsid w:val="009343E1"/>
    <w:rsid w:val="00937F97"/>
    <w:rsid w:val="00940046"/>
    <w:rsid w:val="00940B41"/>
    <w:rsid w:val="009430E1"/>
    <w:rsid w:val="0094495C"/>
    <w:rsid w:val="00945419"/>
    <w:rsid w:val="0094661C"/>
    <w:rsid w:val="00947AF3"/>
    <w:rsid w:val="00961E13"/>
    <w:rsid w:val="009744EF"/>
    <w:rsid w:val="009854D4"/>
    <w:rsid w:val="009933E2"/>
    <w:rsid w:val="00996C07"/>
    <w:rsid w:val="009A6BC0"/>
    <w:rsid w:val="009B5F1A"/>
    <w:rsid w:val="009C0F7B"/>
    <w:rsid w:val="009C4CB2"/>
    <w:rsid w:val="009C72FC"/>
    <w:rsid w:val="009C7E0F"/>
    <w:rsid w:val="009D1AB9"/>
    <w:rsid w:val="009E4679"/>
    <w:rsid w:val="009E57C4"/>
    <w:rsid w:val="009E642B"/>
    <w:rsid w:val="009F1C27"/>
    <w:rsid w:val="00A002E3"/>
    <w:rsid w:val="00A14E57"/>
    <w:rsid w:val="00A206D0"/>
    <w:rsid w:val="00A24F04"/>
    <w:rsid w:val="00A408D8"/>
    <w:rsid w:val="00A5011E"/>
    <w:rsid w:val="00A55FAA"/>
    <w:rsid w:val="00A63BA3"/>
    <w:rsid w:val="00A678C9"/>
    <w:rsid w:val="00A70BD9"/>
    <w:rsid w:val="00A84118"/>
    <w:rsid w:val="00A97ADA"/>
    <w:rsid w:val="00AA2E52"/>
    <w:rsid w:val="00AB62F5"/>
    <w:rsid w:val="00AC2E5B"/>
    <w:rsid w:val="00AE165A"/>
    <w:rsid w:val="00AF4BE1"/>
    <w:rsid w:val="00B01D5B"/>
    <w:rsid w:val="00B03406"/>
    <w:rsid w:val="00B0623E"/>
    <w:rsid w:val="00B10030"/>
    <w:rsid w:val="00B177E1"/>
    <w:rsid w:val="00B20124"/>
    <w:rsid w:val="00B304C9"/>
    <w:rsid w:val="00B35E8D"/>
    <w:rsid w:val="00B442B0"/>
    <w:rsid w:val="00B51D41"/>
    <w:rsid w:val="00B578C6"/>
    <w:rsid w:val="00B61F4E"/>
    <w:rsid w:val="00B63838"/>
    <w:rsid w:val="00B664E4"/>
    <w:rsid w:val="00B675C6"/>
    <w:rsid w:val="00B67FAA"/>
    <w:rsid w:val="00B7083F"/>
    <w:rsid w:val="00B90A82"/>
    <w:rsid w:val="00BA74A7"/>
    <w:rsid w:val="00BB58AC"/>
    <w:rsid w:val="00BB6058"/>
    <w:rsid w:val="00BC3990"/>
    <w:rsid w:val="00BC4000"/>
    <w:rsid w:val="00BC4FA0"/>
    <w:rsid w:val="00BD13C7"/>
    <w:rsid w:val="00BD4E1F"/>
    <w:rsid w:val="00BF683A"/>
    <w:rsid w:val="00BF6CAD"/>
    <w:rsid w:val="00C045C5"/>
    <w:rsid w:val="00C047B6"/>
    <w:rsid w:val="00C130C4"/>
    <w:rsid w:val="00C131D6"/>
    <w:rsid w:val="00C23B25"/>
    <w:rsid w:val="00C3737C"/>
    <w:rsid w:val="00C41A01"/>
    <w:rsid w:val="00C44953"/>
    <w:rsid w:val="00C550EB"/>
    <w:rsid w:val="00C56F80"/>
    <w:rsid w:val="00C60CE3"/>
    <w:rsid w:val="00C61F24"/>
    <w:rsid w:val="00C6431A"/>
    <w:rsid w:val="00C7045D"/>
    <w:rsid w:val="00C77105"/>
    <w:rsid w:val="00C86E04"/>
    <w:rsid w:val="00C86F9A"/>
    <w:rsid w:val="00C902B9"/>
    <w:rsid w:val="00C91E72"/>
    <w:rsid w:val="00C946D4"/>
    <w:rsid w:val="00CB0653"/>
    <w:rsid w:val="00CB50D6"/>
    <w:rsid w:val="00CB52D5"/>
    <w:rsid w:val="00CC0E54"/>
    <w:rsid w:val="00CC1EBB"/>
    <w:rsid w:val="00CC3EB2"/>
    <w:rsid w:val="00CC4E97"/>
    <w:rsid w:val="00CD7A93"/>
    <w:rsid w:val="00CD7E18"/>
    <w:rsid w:val="00CE2D36"/>
    <w:rsid w:val="00CE570C"/>
    <w:rsid w:val="00CE6399"/>
    <w:rsid w:val="00CF0EC7"/>
    <w:rsid w:val="00D17C8B"/>
    <w:rsid w:val="00D247C0"/>
    <w:rsid w:val="00D35508"/>
    <w:rsid w:val="00D51A3A"/>
    <w:rsid w:val="00D55C07"/>
    <w:rsid w:val="00D56C2A"/>
    <w:rsid w:val="00D605C5"/>
    <w:rsid w:val="00D623F1"/>
    <w:rsid w:val="00D67A8F"/>
    <w:rsid w:val="00DB0EB7"/>
    <w:rsid w:val="00DC3885"/>
    <w:rsid w:val="00DC4E56"/>
    <w:rsid w:val="00DC57B8"/>
    <w:rsid w:val="00DD0142"/>
    <w:rsid w:val="00DD0392"/>
    <w:rsid w:val="00DD226B"/>
    <w:rsid w:val="00DD4BC1"/>
    <w:rsid w:val="00DD67BD"/>
    <w:rsid w:val="00DE444A"/>
    <w:rsid w:val="00E105F7"/>
    <w:rsid w:val="00E3636E"/>
    <w:rsid w:val="00E419CE"/>
    <w:rsid w:val="00E55496"/>
    <w:rsid w:val="00E655B4"/>
    <w:rsid w:val="00E6734A"/>
    <w:rsid w:val="00E756E8"/>
    <w:rsid w:val="00E77FCF"/>
    <w:rsid w:val="00E8036D"/>
    <w:rsid w:val="00E82E26"/>
    <w:rsid w:val="00E8321E"/>
    <w:rsid w:val="00E930C3"/>
    <w:rsid w:val="00E960B1"/>
    <w:rsid w:val="00EB0E2A"/>
    <w:rsid w:val="00EC09F1"/>
    <w:rsid w:val="00EC1946"/>
    <w:rsid w:val="00EC552B"/>
    <w:rsid w:val="00ED1E54"/>
    <w:rsid w:val="00F017DD"/>
    <w:rsid w:val="00F038D9"/>
    <w:rsid w:val="00F064F6"/>
    <w:rsid w:val="00F13496"/>
    <w:rsid w:val="00F1712F"/>
    <w:rsid w:val="00F229CE"/>
    <w:rsid w:val="00F26388"/>
    <w:rsid w:val="00F339CB"/>
    <w:rsid w:val="00F35E42"/>
    <w:rsid w:val="00F40BBD"/>
    <w:rsid w:val="00F41ACD"/>
    <w:rsid w:val="00F46993"/>
    <w:rsid w:val="00F62AEF"/>
    <w:rsid w:val="00F729C8"/>
    <w:rsid w:val="00F83DDC"/>
    <w:rsid w:val="00F85DDE"/>
    <w:rsid w:val="00F87E2D"/>
    <w:rsid w:val="00F95FEA"/>
    <w:rsid w:val="00FB016B"/>
    <w:rsid w:val="00FC39FE"/>
    <w:rsid w:val="00FC3BAF"/>
    <w:rsid w:val="00FC4EE0"/>
    <w:rsid w:val="00FC555D"/>
    <w:rsid w:val="00FD078E"/>
    <w:rsid w:val="00FD3CE4"/>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2"/>
    <o:shapelayout v:ext="edit">
      <o:idmap v:ext="edit" data="1"/>
    </o:shapelayout>
  </w:shapeDefaults>
  <w:decimalSymbol w:val=","/>
  <w:listSeparator w:val=";"/>
  <w14:docId w14:val="3A72DFD2"/>
  <w15:chartTrackingRefBased/>
  <w15:docId w15:val="{76B55DE8-A4A3-4502-94DB-A4908473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916E36"/>
    <w:pPr>
      <w:spacing w:after="120" w:line="480" w:lineRule="auto"/>
      <w:ind w:left="283"/>
    </w:pPr>
    <w:rPr>
      <w:lang w:val="x-none" w:eastAsia="es-MX"/>
    </w:rPr>
  </w:style>
  <w:style w:type="character" w:customStyle="1" w:styleId="Sangra2detindependienteCar">
    <w:name w:val="Sangría 2 de t. independiente Car"/>
    <w:link w:val="Sangra2detindependiente"/>
    <w:rsid w:val="00916E36"/>
    <w:rPr>
      <w:sz w:val="24"/>
      <w:szCs w:val="24"/>
      <w:lang w:val="x-none" w:eastAsia="es-MX"/>
    </w:rPr>
  </w:style>
  <w:style w:type="paragraph" w:styleId="NormalWeb">
    <w:name w:val="Normal (Web)"/>
    <w:basedOn w:val="Normal"/>
    <w:uiPriority w:val="99"/>
    <w:unhideWhenUsed/>
    <w:rsid w:val="008C21BE"/>
    <w:pPr>
      <w:spacing w:before="100" w:beforeAutospacing="1" w:after="100" w:afterAutospacing="1"/>
    </w:pPr>
    <w:rPr>
      <w:lang w:val="es-AR" w:eastAsia="es-AR"/>
    </w:rPr>
  </w:style>
  <w:style w:type="character" w:styleId="nfasis">
    <w:name w:val="Emphasis"/>
    <w:uiPriority w:val="20"/>
    <w:qFormat/>
    <w:rsid w:val="008C21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93805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jconsulta.csjn.gov.ar/sjconsulta/documentos/verDocumentoByIdLinksJSP.html?idDocumento=5838941"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ervicios.infoleg.gob.ar/infolegInternet/anexos/40000-44999/44974/texact.htm" TargetMode="External"/><Relationship Id="rId12" Type="http://schemas.openxmlformats.org/officeDocument/2006/relationships/hyperlink" Target="https://sjconsulta.csjn.gov.ar/sjconsulta/documentos/verDocumentoByIdLinksJSP.html?idDocumento=5796151"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sjconsulta.csjn.gov.ar/sjconsulta/documentos/verDocumentoByIdLinksJSP.html?idDocumento=6398361&amp;cache=162888121140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Sumario.html?idDocumentoSumario=24586" TargetMode="External"/><Relationship Id="rId5" Type="http://schemas.openxmlformats.org/officeDocument/2006/relationships/footnotes" Target="footnotes.xml"/><Relationship Id="rId15" Type="http://schemas.openxmlformats.org/officeDocument/2006/relationships/hyperlink" Target="https://sjconsulta.csjn.gov.ar/sjconsulta/documentos/verDocumentoByIdLinksJSP.html?idDocumento=7717371" TargetMode="External"/><Relationship Id="rId10" Type="http://schemas.openxmlformats.org/officeDocument/2006/relationships/hyperlink" Target="https://sj.csjn.gov.ar/homeSJ/notas/nota/22/documento"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jconsulta.csjn.gov.ar/sjconsulta/documentos/verDocumentoByIdLinksJSP.html?idDocumento=6359051" TargetMode="External"/><Relationship Id="rId14" Type="http://schemas.openxmlformats.org/officeDocument/2006/relationships/hyperlink" Target="https://sjconsulta.csjn.gov.ar/sjconsulta/documentos/verDocumentoByIdLinksJSP.html?idDocumento=635905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21</Pages>
  <Words>8145</Words>
  <Characters>44801</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52841</CharactersWithSpaces>
  <SharedDoc>false</SharedDoc>
  <HLinks>
    <vt:vector size="162" baseType="variant">
      <vt:variant>
        <vt:i4>7143484</vt:i4>
      </vt:variant>
      <vt:variant>
        <vt:i4>78</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75</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72</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69</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66</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63</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60</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57</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54</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51</vt:i4>
      </vt:variant>
      <vt:variant>
        <vt:i4>0</vt:i4>
      </vt:variant>
      <vt:variant>
        <vt:i4>5</vt:i4>
      </vt:variant>
      <vt:variant>
        <vt:lpwstr>https://sj.csjn.gov.ar/homeSJ/notas/nota/22/documento</vt:lpwstr>
      </vt:variant>
      <vt:variant>
        <vt:lpwstr/>
      </vt:variant>
      <vt:variant>
        <vt:i4>6684720</vt:i4>
      </vt:variant>
      <vt:variant>
        <vt:i4>48</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45</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42</vt:i4>
      </vt:variant>
      <vt:variant>
        <vt:i4>0</vt:i4>
      </vt:variant>
      <vt:variant>
        <vt:i4>5</vt:i4>
      </vt:variant>
      <vt:variant>
        <vt:lpwstr>https://www.indec.gob.ar/uploads/informesdeprensa/canasta_01_245800192340.pdf</vt:lpwstr>
      </vt:variant>
      <vt:variant>
        <vt:lpwstr/>
      </vt:variant>
      <vt:variant>
        <vt:i4>7012452</vt:i4>
      </vt:variant>
      <vt:variant>
        <vt:i4>39</vt:i4>
      </vt:variant>
      <vt:variant>
        <vt:i4>0</vt:i4>
      </vt:variant>
      <vt:variant>
        <vt:i4>5</vt:i4>
      </vt:variant>
      <vt:variant>
        <vt:lpwstr>https://www.boletinoficial.gob.ar/detalleAviso/primera/295819/20231010</vt:lpwstr>
      </vt:variant>
      <vt:variant>
        <vt:lpwstr/>
      </vt:variant>
      <vt:variant>
        <vt:i4>7274607</vt:i4>
      </vt:variant>
      <vt:variant>
        <vt:i4>36</vt:i4>
      </vt:variant>
      <vt:variant>
        <vt:i4>0</vt:i4>
      </vt:variant>
      <vt:variant>
        <vt:i4>5</vt:i4>
      </vt:variant>
      <vt:variant>
        <vt:lpwstr>https://www.boletinoficial.gob.ar/detalleAviso/primera/295159/20230929</vt:lpwstr>
      </vt:variant>
      <vt:variant>
        <vt:lpwstr/>
      </vt:variant>
      <vt:variant>
        <vt:i4>2621541</vt:i4>
      </vt:variant>
      <vt:variant>
        <vt:i4>33</vt:i4>
      </vt:variant>
      <vt:variant>
        <vt:i4>0</vt:i4>
      </vt:variant>
      <vt:variant>
        <vt:i4>5</vt:i4>
      </vt:variant>
      <vt:variant>
        <vt:lpwstr>https://www.argentina.gob.ar/trabajo/seguridadsocial/ripte</vt:lpwstr>
      </vt:variant>
      <vt:variant>
        <vt:lpwstr/>
      </vt:variant>
      <vt:variant>
        <vt:i4>6684720</vt:i4>
      </vt:variant>
      <vt:variant>
        <vt:i4>30</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27</vt:i4>
      </vt:variant>
      <vt:variant>
        <vt:i4>0</vt:i4>
      </vt:variant>
      <vt:variant>
        <vt:i4>5</vt:i4>
      </vt:variant>
      <vt:variant>
        <vt:lpwstr>https://www.argentina.gob.ar/normativa/nacional/decreto-274-2024-397577/texto</vt:lpwstr>
      </vt:variant>
      <vt:variant>
        <vt:lpwstr/>
      </vt: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41</cp:revision>
  <cp:lastPrinted>2023-09-18T13:30:00Z</cp:lastPrinted>
  <dcterms:created xsi:type="dcterms:W3CDTF">2024-07-09T16:44:00Z</dcterms:created>
  <dcterms:modified xsi:type="dcterms:W3CDTF">2025-01-09T16:14:00Z</dcterms:modified>
</cp:coreProperties>
</file>