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a5199"/>
          <w:sz w:val="56"/>
          <w:szCs w:val="56"/>
        </w:rPr>
        <w:t xml:space="preserve">LEGALFORMS</w:t>
      </w:r>
    </w:p>
    <w:p>
      <w:pPr>
        <w:spacing w:after="500"/>
        <w:jc w:val="center"/>
      </w:pPr>
      <w:r>
        <w:rPr>
          <w:color w:val="3a5068"/>
          <w:sz w:val="24"/>
          <w:szCs w:val="24"/>
        </w:rPr>
        <w:t xml:space="preserve">Automatización de formularios legales con Inteligencia Artificial</w:t>
      </w:r>
    </w:p>
    <w:p>
      <w:pPr>
        <w:spacing w:after="0" w:before="600"/>
        <w:jc w:val="center"/>
      </w:pPr>
      <w:r>
        <w:rPr>
          <w:b/>
          <w:bCs/>
          <w:color w:val="2176c7"/>
          <w:sz w:val="34"/>
          <w:szCs w:val="34"/>
        </w:rPr>
        <w:t xml:space="preserve">PROPUESTA COMERCIAL</w:t>
      </w:r>
    </w:p>
    <w:p>
      <w:pPr>
        <w:spacing w:after="600" w:before="200"/>
        <w:jc w:val="center"/>
      </w:pPr>
      <w:r>
        <w:rPr>
          <w:color w:val="3a5068"/>
          <w:sz w:val="21"/>
          <w:szCs w:val="21"/>
        </w:rPr>
        <w:t xml:space="preserve">Sistema a medida — implementación llave en mano</w:t>
      </w:r>
    </w:p>
    <w:p>
      <w:pPr>
        <w:spacing w:after="40"/>
        <w:jc w:val="center"/>
      </w:pPr>
      <w:r>
        <w:rPr>
          <w:i/>
          <w:iCs/>
          <w:color w:val="90a8c0"/>
          <w:sz w:val="21"/>
          <w:szCs w:val="21"/>
        </w:rPr>
        <w:t xml:space="preserve">Preparado para: _________________________________</w:t>
      </w:r>
    </w:p>
    <w:p>
      <w:pPr>
        <w:spacing w:after="40"/>
        <w:jc w:val="center"/>
      </w:pPr>
      <w:r>
        <w:rPr>
          <w:color w:val="3a5068"/>
          <w:sz w:val="21"/>
          <w:szCs w:val="21"/>
        </w:rPr>
        <w:t xml:space="preserve">Preparado por: Octavio Galván</w:t>
      </w:r>
    </w:p>
    <w:p>
      <w:pPr>
        <w:spacing w:after="40"/>
        <w:jc w:val="center"/>
      </w:pPr>
      <w:r>
        <w:rPr>
          <w:color w:val="3a5068"/>
          <w:sz w:val="21"/>
          <w:szCs w:val="21"/>
        </w:rPr>
        <w:t xml:space="preserve">Fecha: 16 de septiembre de 2026</w:t>
      </w:r>
    </w:p>
    <w:p>
      <w:pPr>
        <w:spacing w:after="40"/>
        <w:jc w:val="center"/>
      </w:pPr>
      <w:r>
        <w:rPr>
          <w:color w:val="3a5068"/>
          <w:sz w:val="21"/>
          <w:szCs w:val="21"/>
        </w:rPr>
        <w:t xml:space="preserve">Validez de esta propuesta: 45 días</w:t>
      </w:r>
    </w:p>
    <w:p>
      <w:r>
        <w:br w:type="page"/>
      </w:r>
    </w:p>
    <w:p>
      <w:pPr>
        <w:pStyle w:val="Heading1"/>
        <w:spacing w:after="200" w:before="420"/>
      </w:pPr>
      <w:r>
        <w:t xml:space="preserve">1. Resumen</w:t>
      </w:r>
    </w:p>
    <w:p>
      <w:pPr>
        <w:spacing w:after="160"/>
      </w:pPr>
      <w:r>
        <w:rPr>
          <w:sz w:val="21"/>
          <w:szCs w:val="21"/>
        </w:rPr>
        <w:t xml:space="preserve">LegalForms es un sistema desarrollado a medida para estudios jurídicos que gestionan trámites con alto volumen de documentación repetitiva — previsional, laboral y afines. Reemplaza la carga manual de datos en decenas de formularios y documentos distintos por un flujo de pocos minutos: se cargan los datos del cliente una sola vez y el sistema genera automáticamente todo lo que corresponda, ya completo y listo para presentar.</w:t>
      </w:r>
    </w:p>
    <w:p>
      <w:pPr>
        <w:spacing w:after="160"/>
      </w:pPr>
      <w:r>
        <w:rPr>
          <w:sz w:val="21"/>
          <w:szCs w:val="21"/>
        </w:rPr>
        <w:t xml:space="preserve">El sistema ya está desarrollado y probado — esta propuesta corresponde a la puesta en marcha para su estudio: instalación, carga de sus formularios, capacitación y entrega.</w:t>
      </w:r>
    </w:p>
    <w:p>
      <w:pPr>
        <w:spacing w:after="100"/>
      </w:pPr>
    </w:p>
    <w:tbl>
      <w:tblPr>
        <w:tblW w:type="dxa" w:w="9350"/>
        <w:tblBorders>
          <w:top w:val="single" w:color="bdd0e8" w:sz="4"/>
          <w:left w:val="single" w:color="bdd0e8" w:sz="4"/>
          <w:bottom w:val="single" w:color="bdd0e8" w:sz="4"/>
          <w:right w:val="single" w:color="bdd0e8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e8f3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5199"/>
                <w:sz w:val="21"/>
                <w:szCs w:val="21"/>
              </w:rPr>
              <w:t xml:space="preserve">El problema que resuelve</w:t>
            </w:r>
          </w:p>
          <w:p>
            <w:pPr>
              <w:spacing w:after="60"/>
            </w:pPr>
            <w:r>
              <w:rPr>
                <w:color w:val="3a5068"/>
                <w:sz w:val="20"/>
                <w:szCs w:val="20"/>
              </w:rPr>
              <w:t xml:space="preserve">Hoy, cada trámite nuevo implica volver a escribir el nombre, DNI, CUIL y domicilio del mismo cliente en cinco, diez o veinte formularios distintos — a mano, uno por uno. Es lento y cada copia manual es una oportunidad de error.</w:t>
            </w:r>
          </w:p>
          <w:p>
            <w:pPr>
              <w:spacing w:after="60"/>
            </w:pPr>
            <w:r>
              <w:rPr>
                <w:color w:val="3a5068"/>
                <w:sz w:val="20"/>
                <w:szCs w:val="20"/>
              </w:rPr>
              <w:t xml:space="preserve">Con LegalForms, esos datos se cargan una vez — incluso automáticamente sacándole una foto al DNI — y el sistema arma todos los formularios que el trámite necesita, completados, en segundos.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t xml:space="preserve">2. Qué incluye el sistema</w:t>
      </w:r>
    </w:p>
    <w:p>
      <w:pPr>
        <w:pStyle w:val="Heading2"/>
        <w:spacing w:after="140" w:before="280"/>
      </w:pPr>
      <w:r>
        <w:t xml:space="preserve">2.1 Funcionalidades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Carga de clientes con Inteligencia Artificial — se sube una foto del DNI y el sistema extrae nombre, DNI, CUIL, domicilio y demás datos automáticamente. Todo dato extraído se puede revisar y corregir a mano antes de generar cualquier documento, por si la IA se equivoca en una lectura (una foto borrosa, un reflejo).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Catálogo de formularios y documentos propio del estudio — el equipo del estudio sube y organiza sus propias plantillas en PDF y Word, sin depender de un programador para agregar una nueva.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Generación automática de documentos — con un clic, el sistema completa todo lo elegido para un cliente y lo entrega listo para descargar.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Campos y trámites configurables — el estudio puede sumar sus propios datos de cliente (por ejemplo, profesión u obra social) y clasificar sus formularios por tipo de trámite, todo desde la aplicación.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Gestión de usuarios y permisos — cuentas para todo el equipo, con un rol administrador para quien gestiona el catálogo y un rol operativo para el uso diario.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Buscador y navegación pensada para catálogos grandes — pensado para estudios con decenas de formularios y trámites distintos.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Identidad visual propia — el nombre y los colores del sistema se personalizan según la imagen del estudio, para que se sienta una herramienta propia y no una plantilla genérica.</w:t>
      </w:r>
    </w:p>
    <w:p>
      <w:pPr>
        <w:spacing w:after="100"/>
      </w:pPr>
    </w:p>
    <w:tbl>
      <w:tblPr>
        <w:tblW w:type="dxa" w:w="9350"/>
        <w:tblBorders>
          <w:top w:val="single" w:color="bdd0e8" w:sz="4"/>
          <w:left w:val="single" w:color="bdd0e8" w:sz="4"/>
          <w:bottom w:val="single" w:color="bdd0e8" w:sz="4"/>
          <w:right w:val="single" w:color="bdd0e8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e8f3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5199"/>
                <w:sz w:val="21"/>
                <w:szCs w:val="21"/>
              </w:rPr>
              <w:t xml:space="preserve">No se limita a "formularios" en sentido estricto</w:t>
            </w:r>
          </w:p>
          <w:p>
            <w:pPr>
              <w:spacing w:after="60"/>
            </w:pPr>
            <w:r>
              <w:rPr>
                <w:color w:val="3a5068"/>
                <w:sz w:val="20"/>
                <w:szCs w:val="20"/>
              </w:rPr>
              <w:t xml:space="preserve">El catálogo admite cualquier plantilla en PDF o Word que el estudio quiera completar automáticamente con los datos del cliente — no solo formularios oficiales. Cartas poder, convenios de honorarios, actas, notas y cualquier otro documento que el estudio use repetidamente entran de la misma manera.</w:t>
            </w:r>
          </w:p>
        </w:tc>
      </w:tr>
    </w:tbl>
    <w:p>
      <w:pPr>
        <w:pStyle w:val="Heading2"/>
        <w:spacing w:after="140" w:before="280"/>
      </w:pPr>
      <w:r>
        <w:t xml:space="preserve">2.2 Entregables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Sistema instalado y funcionando en el entorno del estudio.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Manual de usuario completo, con ejemplos paso a paso.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Capacitación inicial al equipo del estudio.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60 días de garantía y soporte posteriores a la entrega, para corrección de errores.</w:t>
      </w:r>
    </w:p>
    <w:p>
      <w:pPr>
        <w:spacing w:after="100"/>
      </w:pPr>
    </w:p>
    <w:p>
      <w:pPr>
        <w:pBdr>
          <w:top w:val="single" w:color="d8e6f3" w:sz="4"/>
          <w:bottom w:val="single" w:color="d8e6f3" w:sz="4"/>
          <w:left w:val="single" w:color="d8e6f3" w:sz="4"/>
          <w:right w:val="single" w:color="d8e6f3" w:sz="4"/>
        </w:pBdr>
        <w:spacing w:after="200" w:before="120"/>
        <w:jc w:val="center"/>
      </w:pPr>
      <w:r>
        <w:drawing>
          <wp:inline distT="0" distB="0" distL="0" distR="0">
            <wp:extent cx="3048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20"/>
      </w:pPr>
      <w:r>
        <w:t xml:space="preserve">3. Costos operativos a cargo del estudio</w:t>
      </w:r>
    </w:p>
    <w:p>
      <w:pPr>
        <w:spacing w:after="160"/>
      </w:pPr>
      <w:r>
        <w:rPr>
          <w:sz w:val="21"/>
          <w:szCs w:val="21"/>
        </w:rPr>
        <w:t xml:space="preserve">El sistema queda funcionando en infraestructura propia del estudio, no en un servidor de terceros — eso significa que, una vez entregado, no depende de mí para seguir funcionando. Estos son los costos operativos, todos a nombre y a cargo del estudio:</w:t>
      </w:r>
    </w:p>
    <w:tbl>
      <w:tblPr>
        <w:tblW w:type="dxa" w:w="9350"/>
        <w:tblBorders>
          <w:top w:val="single" w:color="d8e6f3" w:sz="4"/>
          <w:left w:val="single" w:color="d8e6f3" w:sz="4"/>
          <w:bottom w:val="single" w:color="d8e6f3" w:sz="4"/>
          <w:right w:val="single" w:color="d8e6f3" w:sz="4"/>
          <w:insideH w:val="single" w:color="d8e6f3" w:sz="4"/>
          <w:insideV w:val="single" w:color="d8e6f3" w:sz="4"/>
        </w:tblBorders>
      </w:tblPr>
      <w:tblGrid>
        <w:gridCol w:w="4600"/>
        <w:gridCol w:w="4750"/>
      </w:tblGrid>
      <w:tr>
        <w:trPr>
          <w:tblHeader/>
        </w:trPr>
        <w:tc>
          <w:tcPr>
            <w:tcW w:type="dxa" w:w="4600"/>
            <w:shd w:fill="e8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199"/>
                <w:sz w:val="20"/>
                <w:szCs w:val="20"/>
              </w:rPr>
              <w:t xml:space="preserve">Concepto</w:t>
            </w:r>
          </w:p>
        </w:tc>
        <w:tc>
          <w:tcPr>
            <w:tcW w:type="dxa" w:w="4750"/>
            <w:shd w:fill="e8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199"/>
                <w:sz w:val="20"/>
                <w:szCs w:val="20"/>
              </w:rPr>
              <w:t xml:space="preserve">Costo aproximado</w:t>
            </w:r>
          </w:p>
        </w:tc>
      </w:tr>
      <w:tr>
        <w:tc>
          <w:tcPr>
            <w:tcW w:type="dxa" w:w="4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de datos (alojamiento de la información de clientes)</w:t>
            </w:r>
          </w:p>
        </w:tc>
        <w:tc>
          <w:tcPr>
            <w:tcW w:type="dxa" w:w="47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Desde USD 0/mes (plan gratuito suficiente para el volumen de un estudio)</w:t>
            </w:r>
          </w:p>
        </w:tc>
      </w:tr>
      <w:tr>
        <w:tc>
          <w:tcPr>
            <w:tcW w:type="dxa" w:w="4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 donde corre la aplicación</w:t>
            </w:r>
          </w:p>
        </w:tc>
        <w:tc>
          <w:tcPr>
            <w:tcW w:type="dxa" w:w="47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Desde USD 5/mes</w:t>
            </w:r>
          </w:p>
        </w:tc>
      </w:tr>
      <w:tr>
        <w:tc>
          <w:tcPr>
            <w:tcW w:type="dxa" w:w="4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Inteligencia Artificial para la lectura del DNI</w:t>
            </w:r>
          </w:p>
        </w:tc>
        <w:tc>
          <w:tcPr>
            <w:tcW w:type="dxa" w:w="47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Centavos de dólar por cliente cargado (uso muy bajo para este caso)</w:t>
            </w:r>
          </w:p>
        </w:tc>
      </w:tr>
      <w:tr>
        <w:tc>
          <w:tcPr>
            <w:tcW w:type="dxa" w:w="4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Dominio propio (opcional)</w:t>
            </w:r>
          </w:p>
        </w:tc>
        <w:tc>
          <w:tcPr>
            <w:tcW w:type="dxa" w:w="47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Aproximadamente USD 10-15/año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bdd0e8" w:sz="4"/>
          <w:left w:val="single" w:color="bdd0e8" w:sz="4"/>
          <w:bottom w:val="single" w:color="bdd0e8" w:sz="4"/>
          <w:right w:val="single" w:color="bdd0e8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e8f3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5199"/>
                <w:sz w:val="21"/>
                <w:szCs w:val="21"/>
              </w:rPr>
              <w:t xml:space="preserve">Por qué esto importa</w:t>
            </w:r>
          </w:p>
          <w:p>
            <w:pPr>
              <w:spacing w:after="60"/>
            </w:pPr>
            <w:r>
              <w:rPr>
                <w:color w:val="3a5068"/>
                <w:sz w:val="20"/>
                <w:szCs w:val="20"/>
              </w:rPr>
              <w:t xml:space="preserve">Todas estas cuentas quedan a nombre del estudio, no del desarrollador. El estudio ve exactamente cuánto gasta, paga directamente, y el sistema sigue funcionando sin que nadie más tenga que estar en el medio.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bdd0e8" w:sz="4"/>
          <w:left w:val="single" w:color="bdd0e8" w:sz="4"/>
          <w:bottom w:val="single" w:color="bdd0e8" w:sz="4"/>
          <w:right w:val="single" w:color="bdd0e8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e8f3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5199"/>
                <w:sz w:val="21"/>
                <w:szCs w:val="21"/>
              </w:rPr>
              <w:t xml:space="preserve">¿Para cuántos clientes alcanza el plan de USD 5/mes?</w:t>
            </w:r>
          </w:p>
          <w:p>
            <w:pPr>
              <w:spacing w:after="60"/>
            </w:pPr>
            <w:r>
              <w:rPr>
                <w:color w:val="3a5068"/>
                <w:sz w:val="20"/>
                <w:szCs w:val="20"/>
              </w:rPr>
              <w:t xml:space="preserve">La cantidad de clientes cargados casi no pesa sobre este plan — son registros de texto livianos y el margen ahí es muy amplio. Lo que sí define cuándo conviene escalar es cuántas personas usan el sistema al mismo tiempo y cuánto espacio ocupan los formularios PDF/Word subidos al catálogo. Para un estudio chico o mediano (varios usuarios simultáneos, catálogo de decenas o cientos de formularios), el plan de USD 5/mes alcanza cómodamente. Pasar a un plan mayor más adelante es un cambio simple que no requiere reinstalar nada.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t xml:space="preserve">4. Inversión</w:t>
      </w:r>
    </w:p>
    <w:tbl>
      <w:tblPr>
        <w:tblW w:type="dxa" w:w="9350"/>
        <w:tblBorders>
          <w:top w:val="single" w:color="d8e6f3" w:sz="4"/>
          <w:left w:val="single" w:color="d8e6f3" w:sz="4"/>
          <w:bottom w:val="single" w:color="d8e6f3" w:sz="4"/>
          <w:right w:val="single" w:color="d8e6f3" w:sz="4"/>
          <w:insideH w:val="single" w:color="d8e6f3" w:sz="4"/>
          <w:insideV w:val="single" w:color="d8e6f3" w:sz="4"/>
        </w:tblBorders>
      </w:tblPr>
      <w:tblGrid>
        <w:gridCol w:w="6500"/>
        <w:gridCol w:w="2850"/>
      </w:tblGrid>
      <w:tr>
        <w:trPr>
          <w:tblHeader/>
        </w:trPr>
        <w:tc>
          <w:tcPr>
            <w:tcW w:type="dxa" w:w="6500"/>
            <w:shd w:fill="e8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199"/>
                <w:sz w:val="20"/>
                <w:szCs w:val="20"/>
              </w:rPr>
              <w:t xml:space="preserve">Concepto</w:t>
            </w:r>
          </w:p>
        </w:tc>
        <w:tc>
          <w:tcPr>
            <w:tcW w:type="dxa" w:w="2850"/>
            <w:shd w:fill="e8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199"/>
                <w:sz w:val="20"/>
                <w:szCs w:val="20"/>
              </w:rPr>
              <w:t xml:space="preserve">Monto</w:t>
            </w:r>
          </w:p>
        </w:tc>
      </w:tr>
      <w:tr>
        <w:tc>
          <w:tcPr>
            <w:tcW w:type="dxa" w:w="6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LegalForms — instalación, configuración, carga inicial de formularios, capacitación y manual de usuario</w:t>
            </w:r>
          </w:p>
        </w:tc>
        <w:tc>
          <w:tcPr>
            <w:tcW w:type="dxa" w:w="2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$ 3.500.000 ARS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  <w:color w:val="3a5068"/>
          <w:sz w:val="19"/>
          <w:szCs w:val="19"/>
        </w:rPr>
        <w:t xml:space="preserve">Aproximadamente USD 2.260 al tipo de cambio del 16/09/2026 ($1.550). Pago único — el sistema queda en propiedad del estudio, sin cuotas ni suscripciones recurrentes.</w:t>
      </w:r>
    </w:p>
    <w:p>
      <w:pPr>
        <w:pStyle w:val="Heading2"/>
        <w:spacing w:after="140" w:before="280"/>
      </w:pPr>
      <w:r>
        <w:t xml:space="preserve">4.1 Forma de pago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50% al confirmar el inicio de los trabajos.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50% restante contra entrega del sistema funcionando.</w:t>
      </w:r>
    </w:p>
    <w:p>
      <w:pPr>
        <w:pStyle w:val="Heading2"/>
        <w:spacing w:after="140" w:before="280"/>
      </w:pPr>
      <w:r>
        <w:t xml:space="preserve">4.2 Qué incluye el precio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Instalación completa en el entorno del estudio.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Carga de los formularios que el estudio ya tenga en uso.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Capacitación al equipo (una sesión).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Manual de usuario.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60 días de garantía y soporte para corrección de errores posteriores a la entrega.</w:t>
      </w:r>
    </w:p>
    <w:p>
      <w:pPr>
        <w:pStyle w:val="Heading2"/>
        <w:spacing w:after="140" w:before="280"/>
      </w:pPr>
      <w:r>
        <w:t xml:space="preserve">4.3 Garantía</w:t>
      </w:r>
    </w:p>
    <w:p>
      <w:pPr>
        <w:spacing w:after="160"/>
      </w:pPr>
      <w:r>
        <w:rPr>
          <w:sz w:val="21"/>
          <w:szCs w:val="21"/>
        </w:rPr>
        <w:t xml:space="preserve">Durante los 60 días posteriores a la entrega, cualquier error de funcionamiento del sistema se corrige sin costo adicional. La garantía cubre que el sistema funcione tal como se describe en esta propuesta; no cubre pedidos de funcionalidades nuevas ni cambios de alcance, que se presupuestan aparte si surgen.</w:t>
      </w:r>
    </w:p>
    <w:p>
      <w:pPr>
        <w:pStyle w:val="Heading2"/>
        <w:spacing w:after="140" w:before="280"/>
      </w:pPr>
      <w:r>
        <w:t xml:space="preserve">4.4 Soporte técnico después de la garantía</w:t>
      </w:r>
    </w:p>
    <w:p>
      <w:pPr>
        <w:spacing w:after="160"/>
      </w:pPr>
      <w:r>
        <w:rPr>
          <w:sz w:val="21"/>
          <w:szCs w:val="21"/>
        </w:rPr>
        <w:t xml:space="preserve">Pasados los 60 días, el estudio sigue usando el sistema sin costo adicional — no es un servicio por suscripción obligatoria. Para lo que surja más adelante (un cambio, una API externa que se actualiza, una duda puntual), el soporte técnico se cobra de dos formas posibles:</w:t>
      </w:r>
    </w:p>
    <w:tbl>
      <w:tblPr>
        <w:tblW w:type="dxa" w:w="9350"/>
        <w:tblBorders>
          <w:top w:val="single" w:color="d8e6f3" w:sz="4"/>
          <w:left w:val="single" w:color="d8e6f3" w:sz="4"/>
          <w:bottom w:val="single" w:color="d8e6f3" w:sz="4"/>
          <w:right w:val="single" w:color="d8e6f3" w:sz="4"/>
          <w:insideH w:val="single" w:color="d8e6f3" w:sz="4"/>
          <w:insideV w:val="single" w:color="d8e6f3" w:sz="4"/>
        </w:tblBorders>
      </w:tblPr>
      <w:tblGrid>
        <w:gridCol w:w="6500"/>
        <w:gridCol w:w="2850"/>
      </w:tblGrid>
      <w:tr>
        <w:trPr>
          <w:tblHeader/>
        </w:trPr>
        <w:tc>
          <w:tcPr>
            <w:tcW w:type="dxa" w:w="6500"/>
            <w:shd w:fill="e8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199"/>
                <w:sz w:val="20"/>
                <w:szCs w:val="20"/>
              </w:rPr>
              <w:t xml:space="preserve">Modalidad</w:t>
            </w:r>
          </w:p>
        </w:tc>
        <w:tc>
          <w:tcPr>
            <w:tcW w:type="dxa" w:w="2850"/>
            <w:shd w:fill="e8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199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6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incidente / hora, a demanda</w:t>
            </w:r>
          </w:p>
        </w:tc>
        <w:tc>
          <w:tcPr>
            <w:tcW w:type="dxa" w:w="2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$ 45.000 ARS / hora</w:t>
            </w:r>
          </w:p>
        </w:tc>
      </w:tr>
      <w:tr>
        <w:tc>
          <w:tcPr>
            <w:tcW w:type="dxa" w:w="6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de mantenimiento mensual (hasta 2 horas incluidas, prioridad de respuesta)</w:t>
            </w:r>
          </w:p>
        </w:tc>
        <w:tc>
          <w:tcPr>
            <w:tcW w:type="dxa" w:w="28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$ 80.000 ARS / mes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  <w:color w:val="3a5068"/>
          <w:sz w:val="19"/>
          <w:szCs w:val="19"/>
        </w:rPr>
        <w:t xml:space="preserve">Ninguna de las dos modalidades es obligatoria para que el sistema siga funcionando — son solo la forma de resolver algo si hace falta más adelante.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5. Próximos pasos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Aceptación de la propuesta y pago del anticipo.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Configuración del entorno del estudio (base de datos y servidor).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Carga de los formularios del estudio en el catálogo del sistema.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Capacitación al equipo.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Entrega final y arranque en producción.</w:t>
      </w:r>
    </w:p>
    <w:p>
      <w:pPr>
        <w:spacing w:after="100"/>
      </w:pPr>
    </w:p>
    <w:p>
      <w:pPr>
        <w:spacing w:after="160"/>
      </w:pPr>
      <w:r>
        <w:rPr>
          <w:sz w:val="21"/>
          <w:szCs w:val="21"/>
        </w:rPr>
        <w:t xml:space="preserve">Como el sistema ya está desarrollado y probado, el tiempo entre la aceptación de esta propuesta y la entrega depende principalmente de la cantidad de formularios a cargar — se estima entre 5 y 10 días hábiles.</w:t>
      </w:r>
    </w:p>
    <w:p>
      <w:pPr>
        <w:pStyle w:val="Heading1"/>
        <w:spacing w:after="200" w:before="420"/>
      </w:pPr>
      <w:r>
        <w:t xml:space="preserve">6. Condiciones generales</w:t>
      </w:r>
    </w:p>
    <w:p>
      <w:pPr>
        <w:pStyle w:val="Heading2"/>
        <w:spacing w:after="140" w:before="280"/>
      </w:pPr>
      <w:r>
        <w:t xml:space="preserve">6.1 Vigencia de la propuesta</w:t>
      </w:r>
    </w:p>
    <w:p>
      <w:pPr>
        <w:spacing w:after="160"/>
      </w:pPr>
      <w:r>
        <w:rPr>
          <w:sz w:val="21"/>
          <w:szCs w:val="21"/>
        </w:rPr>
        <w:t xml:space="preserve">Esta propuesta tiene una validez de 45 días desde la fecha indicada en la portada.</w:t>
      </w:r>
    </w:p>
    <w:p>
      <w:pPr>
        <w:pStyle w:val="Heading2"/>
        <w:spacing w:after="140" w:before="280"/>
      </w:pPr>
      <w:r>
        <w:t xml:space="preserve">6.2 Seguridad, acceso y confidencialidad</w:t>
      </w:r>
    </w:p>
    <w:p>
      <w:pPr>
        <w:spacing w:after="160"/>
      </w:pPr>
      <w:r>
        <w:rPr>
          <w:sz w:val="21"/>
          <w:szCs w:val="21"/>
        </w:rPr>
        <w:t xml:space="preserve">Mi rol como proveedor se limita a instalar, configurar y entregar el sistema funcionando en el servidor del estudio. Una vez completada la entrega, no conservo acceso permanente al sistema, a la base de datos ni a la información de los clientes que el estudio cargue — el servidor, la base de datos y las credenciales de administrador quedan exclusivamente a nombre y bajo control del estudio, que es quien opera el sistema de ahí en más.</w:t>
      </w:r>
    </w:p>
    <w:p>
      <w:pPr>
        <w:spacing w:after="160"/>
      </w:pPr>
      <w:r>
        <w:rPr>
          <w:sz w:val="21"/>
          <w:szCs w:val="21"/>
        </w:rPr>
        <w:t xml:space="preserve">Durante los 60 días de garantía y soporte (§4.3) puedo necesitar acceso puntual para resolver algún inconveniente reportado; ese acceso es siempre a pedido del estudio y puede restringirse o revocarse en cualquier momento.</w:t>
      </w:r>
    </w:p>
    <w:p>
      <w:pPr>
        <w:spacing w:after="160"/>
      </w:pPr>
      <w:r>
        <w:rPr>
          <w:sz w:val="21"/>
          <w:szCs w:val="21"/>
        </w:rPr>
        <w:t xml:space="preserve">Toda la información técnica y comercial de esta propuesta, así como el diseño y funcionamiento interno del sistema, es confidencial y de uso exclusivo del estudio destinatario — no puede compartirse con terceros sin autorización previa.</w:t>
      </w:r>
    </w:p>
    <w:p>
      <w:pPr>
        <w:spacing w:after="200"/>
      </w:pPr>
    </w:p>
    <w:p>
      <w:pPr>
        <w:pBdr>
          <w:top w:val="single" w:color="d8e6f3" w:sz="6"/>
        </w:pBdr>
        <w:spacing w:after="40" w:before="300"/>
      </w:pPr>
      <w:r>
        <w:rPr>
          <w:b/>
          <w:bCs/>
          <w:color w:val="1a5199"/>
          <w:sz w:val="22"/>
          <w:szCs w:val="22"/>
        </w:rPr>
        <w:t xml:space="preserve">Octavio Galván</w:t>
      </w:r>
    </w:p>
    <w:p>
      <w:pPr>
        <w:spacing w:after="60"/>
      </w:pPr>
      <w:r>
        <w:rPr>
          <w:color w:val="3a5068"/>
          <w:sz w:val="20"/>
          <w:szCs w:val="20"/>
        </w:rPr>
        <w:t xml:space="preserve">Técnico Informático</w:t>
      </w:r>
    </w:p>
    <w:p>
      <w:pPr>
        <w:spacing w:after="20"/>
      </w:pPr>
      <w:r>
        <w:rPr>
          <w:color w:val="3a5068"/>
          <w:sz w:val="20"/>
          <w:szCs w:val="20"/>
        </w:rPr>
        <w:t xml:space="preserve">octaviogalvansolucionesia@gmail.com</w:t>
      </w:r>
    </w:p>
    <w:p>
      <w:pPr>
        <w:spacing w:after="160"/>
      </w:pPr>
      <w:r>
        <w:rPr>
          <w:color w:val="3a5068"/>
          <w:sz w:val="20"/>
          <w:szCs w:val="20"/>
        </w:rPr>
        <w:t xml:space="preserve">+54 9 387 488-2011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a8c0"/>
        <w:sz w:val="16"/>
        <w:szCs w:val="16"/>
      </w:rPr>
      <w:t xml:space="preserve">Página </w:t>
    </w:r>
    <w:r>
      <w:rPr>
        <w:color w:val="90a8c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0a8c0"/>
        <w:sz w:val="16"/>
        <w:szCs w:val="16"/>
      </w:rPr>
      <w:t xml:space="preserve"> de </w:t>
    </w:r>
    <w:r>
      <w:rPr>
        <w:color w:val="90a8c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0a8c0"/>
        <w:sz w:val="16"/>
        <w:szCs w:val="16"/>
      </w:rPr>
      <w:t xml:space="preserve">LegalForms — Propuesta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Calibri" w:cs="Calibri" w:eastAsia="Calibri" w:hAnsi="Calibri"/>
      <w:b/>
      <w:bCs/>
      <w:color w:val="1a51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176c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4bfcfd6a1477f148ed50a8d7e0164135c441f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— LegalForms</dc:title>
  <dc:creator>Octavio Galván</dc:creator>
  <cp:lastModifiedBy>Un-named</cp:lastModifiedBy>
  <cp:revision>1</cp:revision>
  <dcterms:created xsi:type="dcterms:W3CDTF">2026-09-16T22:05:27.566Z</dcterms:created>
  <dcterms:modified xsi:type="dcterms:W3CDTF">2026-09-16T22:05:27.568Z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