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1F497D"/>
          <w:sz w:val="40"/>
        </w:rPr>
        <w:t>Relatório Final: Orquestração Cognitiva em Redes</w:t>
        <w:br/>
        <w:t>NTN-MEC via LLM/SLM/DRL</w:t>
      </w:r>
    </w:p>
    <w:p>
      <w:pPr>
        <w:jc w:val="center"/>
      </w:pPr>
      <w:r>
        <w:rPr>
          <w:sz w:val="24"/>
        </w:rPr>
        <w:t>Estudo Dirigido — Segunda Etapa</w:t>
        <w:br/>
      </w:r>
    </w:p>
    <w:p>
      <w:pPr>
        <w:spacing w:before="400"/>
        <w:jc w:val="center"/>
      </w:pPr>
      <w:r>
        <w:rPr>
          <w:sz w:val="22"/>
        </w:rPr>
        <w:t>Instituto de Computação — Universidade Estadual de Campinas (UNICAMP)</w:t>
        <w:br/>
        <w:br/>
        <w:t>Autor: Octávio Augusto Barquilia do Nascimento — RA 241327</w:t>
        <w:br/>
        <w:t>Orientador: Prof. Carlos Alberto Astudillo Trujillo</w:t>
        <w:br/>
        <w:t>Repositório: github.com/wocn-unicamp/CosmicBeats-Simulator</w:t>
        <w:br/>
        <w:t>Data: Maio de 2026</w:t>
      </w:r>
    </w:p>
    <w:p>
      <w:r>
        <w:br w:type="page"/>
      </w:r>
    </w:p>
    <w:p>
      <w:pPr>
        <w:pStyle w:val="Heading1"/>
        <w:spacing w:before="240" w:after="120"/>
      </w:pPr>
      <w:r>
        <w:rPr>
          <w:color w:val="1F497D"/>
        </w:rPr>
        <w:t>1. Introdução e Contexto</w:t>
      </w:r>
    </w:p>
    <w:p>
      <w:pPr>
        <w:spacing w:after="80" w:before="0"/>
        <w:jc w:val="both"/>
      </w:pPr>
      <w:r>
        <w:rPr>
          <w:b w:val="0"/>
          <w:i w:val="0"/>
          <w:sz w:val="22"/>
        </w:rPr>
        <w:t>Cenário: uma constelação de três satélites em órbita baixa (LEO) atua como nós de computação de borda (MEC), cada um responsável por uma região geográfica (Brasil, Europa, EUA). Tarefas de processamento chegam continuamente e cada satélite decide, sozinho e em tempo real, se aceita, redireciona para outro satélite ou descarta a tarefa — sob restrições reais de bateria (ciclo solar/eclipse orbital) e RAM.</w:t>
      </w:r>
    </w:p>
    <w:p>
      <w:pPr>
        <w:spacing w:after="80" w:before="0"/>
        <w:jc w:val="both"/>
      </w:pPr>
      <w:r>
        <w:rPr>
          <w:b w:val="0"/>
          <w:i w:val="0"/>
          <w:sz w:val="22"/>
        </w:rPr>
        <w:t>Para enriquecer o cenário, 10% das tarefas trazem uma restrição semântica do mundo real: uma lei de privacidade europeia (GDPR), uma exigência de soberania de dados do Brasil, ou uma falha crítica de hardware. Cumprir essas regras exige entender o significado da restrição, não apenas otimizar recursos — esse é o núcleo do experimento.</w:t>
      </w:r>
    </w:p>
    <w:p>
      <w:pPr>
        <w:pStyle w:val="Heading2"/>
        <w:spacing w:before="240" w:after="120"/>
      </w:pPr>
      <w:r>
        <w:rPr>
          <w:color w:val="1F497D"/>
        </w:rPr>
        <w:t>1.1. Motivação Científica</w:t>
      </w:r>
    </w:p>
    <w:p>
      <w:pPr>
        <w:spacing w:after="80" w:before="0"/>
        <w:jc w:val="both"/>
      </w:pPr>
      <w:r>
        <w:rPr>
          <w:b w:val="0"/>
          <w:i w:val="0"/>
          <w:sz w:val="22"/>
        </w:rPr>
        <w:t>Hipótese central: orquestradores que leem e interpretam regras em linguagem natural (SLM embarcado e LLM na nuvem) tomam decisões mais corretas que uma heurística fixa (BASELINE) ou um agente de aprendizado por reforço puramente numérico (DRL), pagando em troca mais latência e energia. O valor científico do experimento é quantificar esse trade-off entre correção semântica e custo computacional — uma decisão de engenharia real para sistemas NTN-MEC, que operam sob orçamento de energia e banda extremamente restrito.</w:t>
      </w:r>
    </w:p>
    <w:p>
      <w:pPr>
        <w:pStyle w:val="Heading1"/>
        <w:spacing w:before="240" w:after="120"/>
      </w:pPr>
      <w:r>
        <w:rPr>
          <w:color w:val="1F497D"/>
        </w:rPr>
        <w:t>2. Adaptações em Relação ao Plano Original</w:t>
      </w:r>
    </w:p>
    <w:p>
      <w:pPr>
        <w:spacing w:after="80" w:before="0"/>
        <w:jc w:val="both"/>
      </w:pPr>
      <w:r>
        <w:rPr>
          <w:b w:val="0"/>
          <w:i w:val="0"/>
          <w:sz w:val="22"/>
        </w:rPr>
        <w:t>O plano original previa DRL via Stable Baselines3 (SB3) com Gym Wrapper — implementado com sucesso. Três componentes evoluíram além do plano original durante a implementação: o SLM, o modelo de bateria, e a premissa de conectividade entre satélites (ISL).</w:t>
      </w:r>
    </w:p>
    <w:p>
      <w:pPr>
        <w:pStyle w:val="Heading2"/>
        <w:spacing w:before="240" w:after="120"/>
      </w:pPr>
      <w:r>
        <w:rPr>
          <w:color w:val="1F497D"/>
        </w:rPr>
        <w:t>2.1. DRL: SB3 DQN com Ambiente Gymnasium Customizado</w:t>
      </w:r>
    </w:p>
    <w:p>
      <w:pPr>
        <w:spacing w:after="80" w:before="0"/>
        <w:jc w:val="both"/>
      </w:pPr>
      <w:r>
        <w:rPr>
          <w:b w:val="0"/>
          <w:i w:val="0"/>
          <w:sz w:val="22"/>
        </w:rPr>
        <w:t>O SB3 não pode ser conectado diretamente ao loop de eventos discretos do SimPy (que mantém estado compartilhado entre satélites), então o treinamento foi separado da execução: um ambiente Gymnasium sintético (NTNMECEnv) gera 50.000 episódios cobrindo a distribuição real de estados da simulação; o modelo treinado roda apenas inferência determinística (~0.5 ms) dentro da simulação.</w:t>
      </w:r>
    </w:p>
    <w:p>
      <w:pPr>
        <w:spacing w:after="80" w:before="0"/>
        <w:jc w:val="both"/>
      </w:pPr>
      <w:r>
        <w:rPr>
          <w:b w:val="0"/>
          <w:i w:val="0"/>
          <w:sz w:val="22"/>
        </w:rPr>
        <w:t>Observação: 13 valores normalizados — região da tarefa, um sinal binário "há anomalia" e o estado de bateria/RAM/luz-solar dos 3 satélites. O agente nunca vê o TIPO da anomalia, só que ela existe — isso preserva a comparação justa com SLM/LLM, que leem a regra em texto. Durante o treino, a recompensa usa o subtipo real da anomalia (oculto, nunca exposto ao agente) para ensinar a melhor estratégia possível dado essa cegueira parcial.</w:t>
      </w:r>
    </w:p>
    <w:p>
      <w:pPr>
        <w:pStyle w:val="Heading2"/>
        <w:spacing w:before="240" w:after="120"/>
      </w:pPr>
      <w:r>
        <w:rPr>
          <w:color w:val="1F497D"/>
        </w:rPr>
        <w:t>2.2. SLM: API Simulada em Vez de Modelo Quantizado Local</w:t>
      </w:r>
    </w:p>
    <w:p>
      <w:pPr>
        <w:spacing w:after="80" w:before="0"/>
        <w:jc w:val="both"/>
      </w:pPr>
      <w:r>
        <w:rPr>
          <w:b w:val="0"/>
          <w:i w:val="0"/>
          <w:sz w:val="22"/>
        </w:rPr>
        <w:t>Sem hardware NPU disponível para teste, o SLM é simulado via API do Gemma 4 26B (modelo pequeno, classe de parâmetros equivalente a um SLM embarcado). A latência usada nos KPIs é fixada em 50 ms — benchmark de NPU satelital da literatura — independente da latência real de rede da API, que é maior e serve apenas para diagnóstico.</w:t>
      </w:r>
    </w:p>
    <w:p>
      <w:pPr>
        <w:pStyle w:val="Heading2"/>
        <w:spacing w:before="240" w:after="120"/>
      </w:pPr>
      <w:r>
        <w:rPr>
          <w:color w:val="1F497D"/>
        </w:rPr>
        <w:t>2.3. Bateria: Modelo Orbital de Eclipse em Vez de Drenagem Estática</w:t>
      </w:r>
    </w:p>
    <w:p>
      <w:pPr>
        <w:spacing w:after="80" w:before="0"/>
        <w:jc w:val="both"/>
      </w:pPr>
      <w:r>
        <w:rPr>
          <w:b w:val="0"/>
          <w:i w:val="0"/>
          <w:sz w:val="22"/>
        </w:rPr>
        <w:t>A bateria segue um modelo físico de eclipse orbital: a iluminação solar varia como uma senoide de período 90 minutos (órbita LEO); abaixo de um limiar a bateria entra em eclipse e drena por consumo de housekeeping, fora do eclipse ela recarrega.</w:t>
      </w:r>
    </w:p>
    <w:p>
      <w:pPr>
        <w:spacing w:after="120"/>
        <w:ind w:left="567"/>
      </w:pPr>
      <w:r>
        <w:rPr>
          <w:rFonts w:ascii="Courier New" w:hAnsi="Courier New"/>
          <w:color w:val="005500"/>
          <w:sz w:val="18"/>
        </w:rPr>
        <w:t>solar(t) = sin(2π(t + phase) / 5400)  # período orbital LEO = 90 min</w:t>
        <w:br/>
        <w:t>em_eclipse = (solar(t) ≤ -0.10)       # ~35% do ciclo</w:t>
        <w:br/>
        <w:t>SOC += +0.083%/step (luz solar)  |  SOC -= 0.040%/step (eclipse)</w:t>
        <w:br/>
        <w:t>SOC -= 2.0% por tarefa aceita (custo de processamento MEC)</w:t>
      </w:r>
    </w:p>
    <w:p>
      <w:pPr>
        <w:spacing w:after="80" w:before="0"/>
        <w:jc w:val="both"/>
      </w:pPr>
      <w:r>
        <w:rPr>
          <w:b w:val="0"/>
          <w:i w:val="0"/>
          <w:sz w:val="22"/>
        </w:rPr>
        <w:t>Os três satélites têm capacidades (75, 50 e 100 Wh) e fases orbitais diferentes, simulando hardware heterogêneo real. O eclipse ocupa ~53% de cada órbita (46 dos 90 min), criando pressão energética real; abaixo de 20% de carga, o satélite recusa novas tarefas.</w:t>
      </w:r>
    </w:p>
    <w:p>
      <w:pPr>
        <w:pStyle w:val="Heading2"/>
        <w:spacing w:before="240" w:after="120"/>
      </w:pPr>
      <w:r>
        <w:rPr>
          <w:color w:val="1F497D"/>
        </w:rPr>
        <w:t>2.4. ISL: Premissa de Conectividade Ideal</w:t>
      </w:r>
    </w:p>
    <w:p>
      <w:pPr>
        <w:spacing w:after="80" w:before="0"/>
        <w:jc w:val="both"/>
      </w:pPr>
      <w:r>
        <w:rPr>
          <w:b w:val="0"/>
          <w:i w:val="0"/>
          <w:sz w:val="22"/>
        </w:rPr>
        <w:t>O link entre satélites (ISL) é assumido sempre disponível, premissa comum em constelações modernas com ISL óptico — elimina uma variável de qualidade de sinal fora do escopo deste estudo. Drops refletem exclusivamente esgotamento de bateria/RAM ou recusa semântica, nunca falha de transmissão.</w:t>
      </w:r>
    </w:p>
    <w:p>
      <w:pPr>
        <w:pStyle w:val="Heading1"/>
        <w:spacing w:before="240" w:after="120"/>
      </w:pPr>
      <w:r>
        <w:rPr>
          <w:color w:val="1F497D"/>
        </w:rPr>
        <w:t>3. Arquitetura do Simulador</w:t>
      </w:r>
    </w:p>
    <w:p>
      <w:pPr>
        <w:pStyle w:val="Heading2"/>
        <w:spacing w:before="240" w:after="120"/>
      </w:pPr>
      <w:r>
        <w:rPr>
          <w:color w:val="1F497D"/>
        </w:rPr>
        <w:t>3.1. Framework Multi-Engine</w:t>
      </w:r>
    </w:p>
    <w:p>
      <w:pPr>
        <w:spacing w:after="80" w:before="0"/>
        <w:jc w:val="both"/>
      </w:pPr>
      <w:r>
        <w:rPr>
          <w:b w:val="0"/>
          <w:i w:val="0"/>
          <w:sz w:val="22"/>
        </w:rPr>
        <w:t>O CosmicBeats foi estendido com uma camada MEC intercambiável via variável de ambiente MEC_ENGINE. O MECOrchestrator coordena todos os engines com a mesma sequência de tarefas (random.seed(0)), garantindo reprodutibilidade e comparabilidade dos resultados.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sz w:val="20"/>
              </w:rPr>
              <w:t>Engine</w:t>
            </w:r>
          </w:p>
        </w:tc>
        <w:tc>
          <w:tcPr>
            <w:tcW w:type="dxa" w:w="2351"/>
            <w:shd w:val="clear" w:color="auto" w:fill="1F497D"/>
          </w:tcPr>
          <w:p>
            <w:r>
              <w:rPr>
                <w:b/>
                <w:color w:val="FFFFFF"/>
                <w:sz w:val="20"/>
              </w:rPr>
              <w:t>Paradigma</w:t>
            </w:r>
          </w:p>
        </w:tc>
        <w:tc>
          <w:tcPr>
            <w:tcW w:type="dxa" w:w="2351"/>
            <w:shd w:val="clear" w:color="auto" w:fill="1F497D"/>
          </w:tcPr>
          <w:p>
            <w:r>
              <w:rPr>
                <w:b/>
                <w:color w:val="FFFFFF"/>
                <w:sz w:val="20"/>
              </w:rPr>
              <w:t>Latência modelada</w:t>
            </w:r>
          </w:p>
        </w:tc>
        <w:tc>
          <w:tcPr>
            <w:tcW w:type="dxa" w:w="2351"/>
            <w:shd w:val="clear" w:color="auto" w:fill="1F497D"/>
          </w:tcPr>
          <w:p>
            <w:r>
              <w:rPr>
                <w:b/>
                <w:color w:val="FFFFFF"/>
                <w:sz w:val="20"/>
              </w:rPr>
              <w:t>Energia/decisão</w:t>
            </w:r>
          </w:p>
        </w:tc>
      </w:tr>
      <w:tr>
        <w:tc>
          <w:tcPr>
            <w:tcW w:type="dxa" w:w="2351"/>
          </w:tcPr>
          <w:p>
            <w:r>
              <w:rPr>
                <w:sz w:val="20"/>
              </w:rPr>
              <w:t>BASELINE</w:t>
            </w:r>
          </w:p>
        </w:tc>
        <w:tc>
          <w:tcPr>
            <w:tcW w:type="dxa" w:w="2351"/>
          </w:tcPr>
          <w:p>
            <w:r>
              <w:rPr>
                <w:sz w:val="20"/>
              </w:rPr>
              <w:t>Heurística gulosa (greedy)</w:t>
            </w:r>
          </w:p>
        </w:tc>
        <w:tc>
          <w:tcPr>
            <w:tcW w:type="dxa" w:w="2351"/>
          </w:tcPr>
          <w:p>
            <w:r>
              <w:rPr>
                <w:sz w:val="20"/>
              </w:rPr>
              <w:t>~0 ms (CPU if/else)</w:t>
            </w:r>
          </w:p>
        </w:tc>
        <w:tc>
          <w:tcPr>
            <w:tcW w:type="dxa" w:w="2351"/>
          </w:tcPr>
          <w:p>
            <w:r>
              <w:rPr>
                <w:sz w:val="20"/>
              </w:rPr>
              <w:t>0.001 J</w:t>
            </w:r>
          </w:p>
        </w:tc>
      </w:tr>
      <w:tr>
        <w:tc>
          <w:tcPr>
            <w:tcW w:type="dxa" w:w="2351"/>
            <w:shd w:val="clear" w:color="auto" w:fill="DCE6F1"/>
          </w:tcPr>
          <w:p>
            <w:r>
              <w:rPr>
                <w:sz w:val="20"/>
              </w:rPr>
              <w:t>DRL</w:t>
            </w:r>
          </w:p>
        </w:tc>
        <w:tc>
          <w:tcPr>
            <w:tcW w:type="dxa" w:w="2351"/>
            <w:shd w:val="clear" w:color="auto" w:fill="DCE6F1"/>
          </w:tcPr>
          <w:p>
            <w:r>
              <w:t>SB3 DQN (pré-treinado, 50k steps)</w:t>
            </w:r>
          </w:p>
        </w:tc>
        <w:tc>
          <w:tcPr>
            <w:tcW w:type="dxa" w:w="2351"/>
            <w:shd w:val="clear" w:color="auto" w:fill="DCE6F1"/>
          </w:tcPr>
          <w:p>
            <w:r>
              <w:t>~0.5 ms (inferência MLP)</w:t>
            </w:r>
          </w:p>
        </w:tc>
        <w:tc>
          <w:tcPr>
            <w:tcW w:type="dxa" w:w="2351"/>
            <w:shd w:val="clear" w:color="auto" w:fill="DCE6F1"/>
          </w:tcPr>
          <w:p>
            <w:r>
              <w:rPr>
                <w:sz w:val="20"/>
              </w:rPr>
              <w:t>0.005 J</w:t>
            </w:r>
          </w:p>
        </w:tc>
      </w:tr>
      <w:tr>
        <w:tc>
          <w:tcPr>
            <w:tcW w:type="dxa" w:w="2351"/>
          </w:tcPr>
          <w:p>
            <w:r>
              <w:rPr>
                <w:sz w:val="20"/>
              </w:rPr>
              <w:t>SLM</w:t>
            </w:r>
          </w:p>
        </w:tc>
        <w:tc>
          <w:tcPr>
            <w:tcW w:type="dxa" w:w="2351"/>
          </w:tcPr>
          <w:p>
            <w:r>
              <w:t>Edge AI embarcada (Gemma 4 26B)</w:t>
            </w:r>
          </w:p>
        </w:tc>
        <w:tc>
          <w:tcPr>
            <w:tcW w:type="dxa" w:w="2351"/>
          </w:tcPr>
          <w:p>
            <w:r>
              <w:rPr>
                <w:sz w:val="20"/>
              </w:rPr>
              <w:t>50 ms (NPU benchmark)</w:t>
            </w:r>
          </w:p>
        </w:tc>
        <w:tc>
          <w:tcPr>
            <w:tcW w:type="dxa" w:w="2351"/>
          </w:tcPr>
          <w:p>
            <w:r>
              <w:rPr>
                <w:sz w:val="20"/>
              </w:rPr>
              <w:t>0.100 J</w:t>
            </w:r>
          </w:p>
        </w:tc>
      </w:tr>
      <w:tr>
        <w:tc>
          <w:tcPr>
            <w:tcW w:type="dxa" w:w="2351"/>
            <w:shd w:val="clear" w:color="auto" w:fill="DCE6F1"/>
          </w:tcPr>
          <w:p>
            <w:r>
              <w:rPr>
                <w:sz w:val="20"/>
              </w:rPr>
              <w:t>LLM</w:t>
            </w:r>
          </w:p>
        </w:tc>
        <w:tc>
          <w:tcPr>
            <w:tcW w:type="dxa" w:w="2351"/>
            <w:shd w:val="clear" w:color="auto" w:fill="DCE6F1"/>
          </w:tcPr>
          <w:p>
            <w:r>
              <w:t>Cloud AI centralizada (Gemini 3.1 Flash Lite)</w:t>
            </w:r>
          </w:p>
        </w:tc>
        <w:tc>
          <w:tcPr>
            <w:tcW w:type="dxa" w:w="2351"/>
            <w:shd w:val="clear" w:color="auto" w:fill="DCE6F1"/>
          </w:tcPr>
          <w:p>
            <w:r>
              <w:t>~1-6 s (round-trip, inclui rate-limit)</w:t>
            </w:r>
          </w:p>
        </w:tc>
        <w:tc>
          <w:tcPr>
            <w:tcW w:type="dxa" w:w="2351"/>
            <w:shd w:val="clear" w:color="auto" w:fill="DCE6F1"/>
          </w:tcPr>
          <w:p>
            <w:r>
              <w:rPr>
                <w:sz w:val="20"/>
              </w:rPr>
              <w:t>5.000 J</w:t>
            </w:r>
          </w:p>
        </w:tc>
      </w:tr>
    </w:tbl>
    <w:p/>
    <w:p>
      <w:pPr>
        <w:pStyle w:val="Heading2"/>
        <w:spacing w:before="240" w:after="120"/>
      </w:pPr>
      <w:r>
        <w:rPr>
          <w:color w:val="1F497D"/>
        </w:rPr>
        <w:t>3.2. Constelação e Carga de Trabalho</w:t>
      </w:r>
    </w:p>
    <w:p>
      <w:pPr>
        <w:spacing w:after="80" w:before="0"/>
        <w:jc w:val="both"/>
      </w:pPr>
      <w:r>
        <w:rPr>
          <w:b w:val="0"/>
          <w:i w:val="0"/>
          <w:sz w:val="22"/>
        </w:rPr>
        <w:t>A constelação é composta por três satélites LEO em regiões geográficas distintas, com hardware heterogêneo propositalmente configurado para evidenciar os constraints de roteamento: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b/>
                <w:color w:val="FFFFFF"/>
                <w:sz w:val="20"/>
              </w:rPr>
              <w:t>SAT ID</w:t>
            </w:r>
          </w:p>
        </w:tc>
        <w:tc>
          <w:tcPr>
            <w:tcW w:type="dxa" w:w="1881"/>
            <w:shd w:val="clear" w:color="auto" w:fill="1F497D"/>
          </w:tcPr>
          <w:p>
            <w:r>
              <w:rPr>
                <w:b/>
                <w:color w:val="FFFFFF"/>
                <w:sz w:val="20"/>
              </w:rPr>
              <w:t>Região MEC</w:t>
            </w:r>
          </w:p>
        </w:tc>
        <w:tc>
          <w:tcPr>
            <w:tcW w:type="dxa" w:w="1881"/>
            <w:shd w:val="clear" w:color="auto" w:fill="1F497D"/>
          </w:tcPr>
          <w:p>
            <w:r>
              <w:rPr>
                <w:b/>
                <w:color w:val="FFFFFF"/>
                <w:sz w:val="20"/>
              </w:rPr>
              <w:t>Capacidade Bat.</w:t>
            </w:r>
          </w:p>
        </w:tc>
        <w:tc>
          <w:tcPr>
            <w:tcW w:type="dxa" w:w="1881"/>
            <w:shd w:val="clear" w:color="auto" w:fill="1F497D"/>
          </w:tcPr>
          <w:p>
            <w:r>
              <w:rPr>
                <w:b/>
                <w:color w:val="FFFFFF"/>
                <w:sz w:val="20"/>
              </w:rPr>
              <w:t>SOC Inicial</w:t>
            </w:r>
          </w:p>
        </w:tc>
        <w:tc>
          <w:tcPr>
            <w:tcW w:type="dxa" w:w="1881"/>
            <w:shd w:val="clear" w:color="auto" w:fill="1F497D"/>
          </w:tcPr>
          <w:p>
            <w:r>
              <w:rPr>
                <w:b/>
                <w:color w:val="FFFFFF"/>
                <w:sz w:val="20"/>
              </w:rPr>
              <w:t>Fase Orbital</w:t>
            </w:r>
          </w:p>
        </w:tc>
      </w:tr>
      <w:tr>
        <w:tc>
          <w:tcPr>
            <w:tcW w:type="dxa" w:w="1881"/>
          </w:tcPr>
          <w:p>
            <w:r>
              <w:rPr>
                <w:sz w:val="20"/>
              </w:rPr>
              <w:t>1</w:t>
            </w:r>
          </w:p>
        </w:tc>
        <w:tc>
          <w:tcPr>
            <w:tcW w:type="dxa" w:w="1881"/>
          </w:tcPr>
          <w:p>
            <w:r>
              <w:rPr>
                <w:sz w:val="20"/>
              </w:rPr>
              <w:t>BRAZIL</w:t>
            </w:r>
          </w:p>
        </w:tc>
        <w:tc>
          <w:tcPr>
            <w:tcW w:type="dxa" w:w="1881"/>
          </w:tcPr>
          <w:p>
            <w:r>
              <w:rPr>
                <w:sz w:val="20"/>
              </w:rPr>
              <w:t>75 Wh</w:t>
            </w:r>
          </w:p>
        </w:tc>
        <w:tc>
          <w:tcPr>
            <w:tcW w:type="dxa" w:w="1881"/>
          </w:tcPr>
          <w:p>
            <w:r>
              <w:rPr>
                <w:sz w:val="20"/>
              </w:rPr>
              <w:t>90%</w:t>
            </w:r>
          </w:p>
        </w:tc>
        <w:tc>
          <w:tcPr>
            <w:tcW w:type="dxa" w:w="1881"/>
          </w:tcPr>
          <w:p>
            <w:r>
              <w:rPr>
                <w:sz w:val="20"/>
              </w:rPr>
              <w:t>0 s</w:t>
            </w:r>
          </w:p>
        </w:tc>
      </w:tr>
      <w:tr>
        <w:tc>
          <w:tcPr>
            <w:tcW w:type="dxa" w:w="1881"/>
            <w:shd w:val="clear" w:color="auto" w:fill="DCE6F1"/>
          </w:tcPr>
          <w:p>
            <w:r>
              <w:rPr>
                <w:sz w:val="20"/>
              </w:rPr>
              <w:t>2</w:t>
            </w:r>
          </w:p>
        </w:tc>
        <w:tc>
          <w:tcPr>
            <w:tcW w:type="dxa" w:w="1881"/>
            <w:shd w:val="clear" w:color="auto" w:fill="DCE6F1"/>
          </w:tcPr>
          <w:p>
            <w:r>
              <w:rPr>
                <w:sz w:val="20"/>
              </w:rPr>
              <w:t>EUROPE</w:t>
            </w:r>
          </w:p>
        </w:tc>
        <w:tc>
          <w:tcPr>
            <w:tcW w:type="dxa" w:w="1881"/>
            <w:shd w:val="clear" w:color="auto" w:fill="DCE6F1"/>
          </w:tcPr>
          <w:p>
            <w:r>
              <w:rPr>
                <w:sz w:val="20"/>
              </w:rPr>
              <w:t>50 Wh</w:t>
            </w:r>
          </w:p>
        </w:tc>
        <w:tc>
          <w:tcPr>
            <w:tcW w:type="dxa" w:w="1881"/>
            <w:shd w:val="clear" w:color="auto" w:fill="DCE6F1"/>
          </w:tcPr>
          <w:p>
            <w:r>
              <w:rPr>
                <w:sz w:val="20"/>
              </w:rPr>
              <w:t>75%</w:t>
            </w:r>
          </w:p>
        </w:tc>
        <w:tc>
          <w:tcPr>
            <w:tcW w:type="dxa" w:w="1881"/>
            <w:shd w:val="clear" w:color="auto" w:fill="DCE6F1"/>
          </w:tcPr>
          <w:p>
            <w:r>
              <w:rPr>
                <w:sz w:val="20"/>
              </w:rPr>
              <w:t>1800 s</w:t>
            </w:r>
          </w:p>
        </w:tc>
      </w:tr>
      <w:tr>
        <w:tc>
          <w:tcPr>
            <w:tcW w:type="dxa" w:w="1881"/>
          </w:tcPr>
          <w:p>
            <w:r>
              <w:rPr>
                <w:sz w:val="20"/>
              </w:rPr>
              <w:t>15</w:t>
            </w:r>
          </w:p>
        </w:tc>
        <w:tc>
          <w:tcPr>
            <w:tcW w:type="dxa" w:w="1881"/>
          </w:tcPr>
          <w:p>
            <w:r>
              <w:rPr>
                <w:sz w:val="20"/>
              </w:rPr>
              <w:t>USA</w:t>
            </w:r>
          </w:p>
        </w:tc>
        <w:tc>
          <w:tcPr>
            <w:tcW w:type="dxa" w:w="1881"/>
          </w:tcPr>
          <w:p>
            <w:r>
              <w:rPr>
                <w:sz w:val="20"/>
              </w:rPr>
              <w:t>100 Wh</w:t>
            </w:r>
          </w:p>
        </w:tc>
        <w:tc>
          <w:tcPr>
            <w:tcW w:type="dxa" w:w="1881"/>
          </w:tcPr>
          <w:p>
            <w:r>
              <w:rPr>
                <w:sz w:val="20"/>
              </w:rPr>
              <w:t>85%</w:t>
            </w:r>
          </w:p>
        </w:tc>
        <w:tc>
          <w:tcPr>
            <w:tcW w:type="dxa" w:w="1881"/>
          </w:tcPr>
          <w:p>
            <w:r>
              <w:rPr>
                <w:sz w:val="20"/>
              </w:rPr>
              <w:t>3600 s</w:t>
            </w:r>
          </w:p>
        </w:tc>
      </w:tr>
    </w:tbl>
    <w:p/>
    <w:p>
      <w:pPr>
        <w:spacing w:after="80" w:before="0"/>
        <w:jc w:val="both"/>
      </w:pPr>
      <w:r>
        <w:rPr>
          <w:b w:val="0"/>
          <w:i w:val="0"/>
          <w:sz w:val="22"/>
        </w:rPr>
        <w:t>A chegada de tarefas segue processo de Poisson (λ = 4 req/min), com distribuição uniforme entre as três regiões. Cada tarefa consome 500 MB de RAM por 60 segundos simulados (TASK_DURATION_S), após os quais o recurso é liberado. Satélites com 4096 MB de RAM total suportam até 8 tarefas simultâneas antes de saturar.</w:t>
      </w:r>
    </w:p>
    <w:p>
      <w:pPr>
        <w:pStyle w:val="Heading2"/>
        <w:spacing w:before="240" w:after="120"/>
      </w:pPr>
      <w:r>
        <w:rPr>
          <w:color w:val="1F497D"/>
        </w:rPr>
        <w:t>3.3. Anomalias Semânticas</w:t>
      </w:r>
    </w:p>
    <w:p>
      <w:pPr>
        <w:spacing w:after="80" w:before="0"/>
        <w:jc w:val="both"/>
      </w:pPr>
      <w:r>
        <w:rPr>
          <w:b w:val="0"/>
          <w:i w:val="0"/>
          <w:sz w:val="22"/>
        </w:rPr>
        <w:t>10% das tarefas (anomaly_rate = 0.10) recebem uma restrição semântica sorteada equiprovavelmente entre três tipos. Estes cenários são o núcleo do teste de capacidade cognitiva de cada engine: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Tipo de Anomalia</w:t>
            </w:r>
          </w:p>
        </w:tc>
        <w:tc>
          <w:tcPr>
            <w:tcW w:type="dxa" w:w="3135"/>
            <w:shd w:val="clear" w:color="auto" w:fill="1F497D"/>
          </w:tcPr>
          <w:p>
            <w:r>
              <w:rPr>
                <w:b/>
                <w:color w:val="FFFFFF"/>
                <w:sz w:val="20"/>
              </w:rPr>
              <w:t>Comportamento Correto</w:t>
            </w:r>
          </w:p>
        </w:tc>
        <w:tc>
          <w:tcPr>
            <w:tcW w:type="dxa" w:w="3135"/>
            <w:shd w:val="clear" w:color="auto" w:fill="1F497D"/>
          </w:tcPr>
          <w:p>
            <w:r>
              <w:rPr>
                <w:b/>
                <w:color w:val="FFFFFF"/>
                <w:sz w:val="20"/>
              </w:rPr>
              <w:t>Quem acerta</w:t>
            </w:r>
          </w:p>
        </w:tc>
      </w:tr>
      <w:tr>
        <w:tc>
          <w:tcPr>
            <w:tcW w:type="dxa" w:w="3135"/>
          </w:tcPr>
          <w:p>
            <w:r>
              <w:rPr>
                <w:sz w:val="19"/>
              </w:rPr>
              <w:t>restricao_gdpr_europa</w:t>
            </w:r>
          </w:p>
        </w:tc>
        <w:tc>
          <w:tcPr>
            <w:tcW w:type="dxa" w:w="3135"/>
          </w:tcPr>
          <w:p>
            <w:r>
              <w:rPr>
                <w:sz w:val="19"/>
              </w:rPr>
              <w:t>Rotear exclusivamente para EUROPE; drop se indisponível</w:t>
            </w:r>
          </w:p>
        </w:tc>
        <w:tc>
          <w:tcPr>
            <w:tcW w:type="dxa" w:w="3135"/>
          </w:tcPr>
          <w:p>
            <w:r>
              <w:rPr>
                <w:sz w:val="19"/>
              </w:rPr>
              <w:t>SLM, LLM (raciocínio semântico)</w:t>
            </w:r>
          </w:p>
        </w:tc>
      </w:tr>
      <w:tr>
        <w:tc>
          <w:tcPr>
            <w:tcW w:type="dxa" w:w="3135"/>
            <w:shd w:val="clear" w:color="auto" w:fill="DCE6F1"/>
          </w:tcPr>
          <w:p>
            <w:r>
              <w:rPr>
                <w:sz w:val="19"/>
              </w:rPr>
              <w:t>restricao_soberania_brasil</w:t>
            </w:r>
          </w:p>
        </w:tc>
        <w:tc>
          <w:tcPr>
            <w:tcW w:type="dxa" w:w="3135"/>
            <w:shd w:val="clear" w:color="auto" w:fill="DCE6F1"/>
          </w:tcPr>
          <w:p>
            <w:r>
              <w:rPr>
                <w:sz w:val="19"/>
              </w:rPr>
              <w:t>Rotear exclusivamente para BRAZIL; drop se indisponível</w:t>
            </w:r>
          </w:p>
        </w:tc>
        <w:tc>
          <w:tcPr>
            <w:tcW w:type="dxa" w:w="3135"/>
            <w:shd w:val="clear" w:color="auto" w:fill="DCE6F1"/>
          </w:tcPr>
          <w:p>
            <w:r>
              <w:rPr>
                <w:sz w:val="19"/>
              </w:rPr>
              <w:t>SLM, LLM (raciocínio semântico)</w:t>
            </w:r>
          </w:p>
        </w:tc>
      </w:tr>
      <w:tr>
        <w:tc>
          <w:tcPr>
            <w:tcW w:type="dxa" w:w="3135"/>
          </w:tcPr>
          <w:p>
            <w:r>
              <w:rPr>
                <w:sz w:val="19"/>
              </w:rPr>
              <w:t>falha_hardware_camera_esq</w:t>
            </w:r>
          </w:p>
        </w:tc>
        <w:tc>
          <w:tcPr>
            <w:tcW w:type="dxa" w:w="3135"/>
          </w:tcPr>
          <w:p>
            <w:r>
              <w:rPr>
                <w:sz w:val="19"/>
              </w:rPr>
              <w:t>Drop obrigatório (hardware fatal)</w:t>
            </w:r>
          </w:p>
        </w:tc>
        <w:tc>
          <w:tcPr>
            <w:tcW w:type="dxa" w:w="3135"/>
          </w:tcPr>
          <w:p>
            <w:r>
              <w:t>Todos os engines, incluindo DRL — única regra que o DRL aprendeu corretamente via reward shaping (responsável pelos 37.5% de anomaly_compliance)</w:t>
            </w:r>
          </w:p>
        </w:tc>
      </w:tr>
    </w:tbl>
    <w:p/>
    <w:p>
      <w:pPr>
        <w:spacing w:after="80" w:before="0"/>
        <w:jc w:val="both"/>
      </w:pPr>
      <w:r>
        <w:rPr>
          <w:b w:val="0"/>
          <w:i w:val="0"/>
          <w:sz w:val="22"/>
        </w:rPr>
        <w:t>Como detalhado na Seção 2.1, o DRL não conhece o tipo da anomalia — apenas que ela existe — o que limita sua compliance semântica em comparação a SLM/LLM, que leem a regra em texto.</w:t>
      </w:r>
    </w:p>
    <w:p>
      <w:pPr>
        <w:pStyle w:val="Heading2"/>
        <w:spacing w:before="240" w:after="120"/>
      </w:pPr>
      <w:r>
        <w:rPr>
          <w:color w:val="1F497D"/>
        </w:rPr>
        <w:t>3.4. Implementação dos Engines</w:t>
      </w:r>
    </w:p>
    <w:p>
      <w:pPr>
        <w:pStyle w:val="Heading3"/>
        <w:spacing w:before="240" w:after="120"/>
      </w:pPr>
      <w:r>
        <w:rPr>
          <w:color w:val="1F497D"/>
        </w:rPr>
        <w:t>3.4.1. BASELINE (Heurística Gulosa)</w:t>
      </w:r>
    </w:p>
    <w:p>
      <w:pPr>
        <w:spacing w:after="80" w:before="0"/>
        <w:jc w:val="both"/>
      </w:pPr>
      <w:r>
        <w:rPr>
          <w:b w:val="0"/>
          <w:i w:val="0"/>
          <w:sz w:val="22"/>
        </w:rPr>
        <w:t>Filtra candidatos por: (1) região compatível com a tarefa, (2) SOC de bateria &gt; 20%, (3) RAM livre ≥ 500 MB. Seleciona o satélite com maior bateria, usando RAM como critério de desempate. Não possui capacidade semântica — conformidade com anomalias ocorre apenas por acidente geográfico.</w:t>
      </w:r>
    </w:p>
    <w:p>
      <w:pPr>
        <w:pStyle w:val="Heading3"/>
        <w:spacing w:before="240" w:after="120"/>
      </w:pPr>
      <w:r>
        <w:rPr>
          <w:color w:val="1F497D"/>
        </w:rPr>
        <w:t>3.4.2. DRL (SB3 DQN)</w:t>
      </w:r>
    </w:p>
    <w:p>
      <w:pPr>
        <w:spacing w:after="80" w:before="0"/>
        <w:jc w:val="both"/>
      </w:pPr>
      <w:r>
        <w:rPr>
          <w:b w:val="0"/>
          <w:i w:val="0"/>
          <w:sz w:val="22"/>
        </w:rPr>
        <w:t>Agente SB3 DQN pré-treinado em 50.000 episódios sintéticos via NTNMECEnv (Gymnasium), com recompensa moldada por subtipo de anomalia oculto durante o treino (nunca exposto na observação). Observação: vetor de 13 features — região da tarefa (one-hot 3D), has_anomaly, bateria/RAM/solar dos 3 satélites. Ações: Discrete(4) → SAT-1 | SAT-2 | SAT-15 | DROP. Inferência determinística na simulação: ~0.5 ms (MLP forward pass).</w:t>
      </w:r>
    </w:p>
    <w:p>
      <w:pPr>
        <w:pStyle w:val="Heading3"/>
        <w:spacing w:before="240" w:after="120"/>
      </w:pPr>
      <w:r>
        <w:rPr>
          <w:color w:val="1F497D"/>
        </w:rPr>
        <w:t>3.4.3. SLM (Edge AI Embarcada)</w:t>
      </w:r>
    </w:p>
    <w:p>
      <w:pPr>
        <w:spacing w:after="80" w:before="0"/>
        <w:jc w:val="both"/>
      </w:pPr>
      <w:r>
        <w:rPr>
          <w:b w:val="0"/>
          <w:i w:val="0"/>
          <w:sz w:val="22"/>
        </w:rPr>
        <w:t>Modelo Gemma 4 26B via Gemini API, simulando um SLM embarcado em NPU satelital. Opera em modo assíncrono: receive_task() enfileira a tarefa com ready_time = max(t, npu_busy_until) + 50 ms. O modelo recebe prompt estruturado com o estado completo da frota (battery_pct, solar_charging, ram_free) e as cinco regras semânticas de roteamento. Rate limiter: janela deslizante de 14 RPM.</w:t>
      </w:r>
    </w:p>
    <w:p>
      <w:pPr>
        <w:pStyle w:val="Heading3"/>
        <w:spacing w:before="240" w:after="120"/>
      </w:pPr>
      <w:r>
        <w:rPr>
          <w:color w:val="1F497D"/>
        </w:rPr>
        <w:t>3.4.4. LLM (Cloud AI Centralizada)</w:t>
      </w:r>
    </w:p>
    <w:p>
      <w:pPr>
        <w:spacing w:after="80" w:before="0"/>
        <w:jc w:val="both"/>
      </w:pPr>
      <w:r>
        <w:rPr>
          <w:b w:val="0"/>
          <w:i w:val="0"/>
          <w:sz w:val="22"/>
        </w:rPr>
        <w:t>Modelo Gemini 3.1 Flash Lite via API, representando um orquestrador centralizado na estação terrestre. Mesmo prompt e regras semânticas do SLM. Rate limiter: janela deslizante de 10 RPM. Latência real medida: ~6 s/decisão (round-trip + rate limiting). Consome 5 J/decisão, 5000× mais que o BASELINE.</w:t>
      </w:r>
    </w:p>
    <w:p>
      <w:pPr>
        <w:pStyle w:val="Heading1"/>
        <w:spacing w:before="240" w:after="120"/>
      </w:pPr>
      <w:r>
        <w:rPr>
          <w:color w:val="1F497D"/>
        </w:rPr>
        <w:t>4. Desafios Técnicos Superados</w:t>
      </w:r>
    </w:p>
    <w:p>
      <w:pPr>
        <w:pStyle w:val="ListNumber"/>
        <w:spacing w:after="80"/>
      </w:pPr>
      <w:r>
        <w:rPr>
          <w:b/>
          <w:sz w:val="21"/>
        </w:rPr>
        <w:t>RAM sem recuperação: tarefas consumiam RAM permanentemente, esgotando os 4096 MB após ~8 tarefas. Corrigido liberando RAM 60s após a conclusão de cada tarefa (TASK_DURATION_S).</w:t>
      </w:r>
      <w:r>
        <w:rPr>
          <w:sz w:val="21"/>
        </w:rPr>
      </w:r>
    </w:p>
    <w:p>
      <w:pPr>
        <w:pStyle w:val="ListNumber"/>
        <w:spacing w:after="80"/>
      </w:pPr>
      <w:r>
        <w:rPr>
          <w:b/>
          <w:sz w:val="21"/>
        </w:rPr>
        <w:t>DRL sem aprendizado real: a versão inicial usava pesos fixos (0.6×bateria + 0.4×RAM), sem qualquer treinamento. Substituído pelo agente SB3 DQN descrito na Seção 2.1.</w:t>
      </w:r>
      <w:r>
        <w:rPr>
          <w:sz w:val="21"/>
        </w:rPr>
      </w:r>
    </w:p>
    <w:p>
      <w:pPr>
        <w:pStyle w:val="ListNumber"/>
        <w:spacing w:after="80"/>
      </w:pPr>
      <w:r>
        <w:rPr>
          <w:b/>
          <w:sz w:val="21"/>
        </w:rPr>
        <w:t>Latência do SLM media o tempo de rede da API (segundos), não o hardware-alvo. Corrigido para usar a latência de benchmark de NPU (50 ms) nos KPIs, mantendo o tempo de rede real apenas como diagnóstico.</w:t>
      </w:r>
      <w:r>
        <w:rPr>
          <w:sz w:val="21"/>
        </w:rPr>
      </w:r>
    </w:p>
    <w:p>
      <w:pPr>
        <w:pStyle w:val="ListNumber"/>
        <w:spacing w:after="80"/>
      </w:pPr>
      <w:r>
        <w:rPr>
          <w:b/>
          <w:sz w:val="21"/>
        </w:rPr>
        <w:t>O prompt do LLM não incluía as regras semânticas nem um limitador de taxa, causando estouro do rate limit da API. Unificado com o mesmo prompt e regras do SLM, com limitador de 10 RPM.</w:t>
      </w:r>
      <w:r>
        <w:rPr>
          <w:sz w:val="21"/>
        </w:rPr>
      </w:r>
    </w:p>
    <w:p>
      <w:pPr>
        <w:pStyle w:val="ListNumber"/>
        <w:spacing w:after="80"/>
      </w:pPr>
      <w:r>
        <w:rPr>
          <w:b/>
          <w:sz w:val="21"/>
        </w:rPr>
        <w:t>O modelo de bateria estático foi substituído pelo modelo físico de eclipse orbital (Seção 2.3), após constatar que ele criava drops artificiais não relacionados a recursos reais.</w:t>
      </w:r>
      <w:r>
        <w:rPr>
          <w:sz w:val="21"/>
        </w:rPr>
      </w:r>
    </w:p>
    <w:p>
      <w:pPr>
        <w:pStyle w:val="ListNumber"/>
        <w:spacing w:after="80"/>
      </w:pPr>
      <w:r>
        <w:rPr>
          <w:b/>
          <w:sz w:val="21"/>
        </w:rPr>
        <w:t>API do SLM retorna o "pensamento" (thought) e a resposta final em partes separadas; o código inicial lia apenas a primeira parte (quase sempre o raciocínio, não a decisão), gerando ~40% de falhas de parsing que pareciam instabilidade de rede. Corrigido para usar apenas as partes finais (thought=false), eliminando praticamente todas as falhas espúrias (de 14 para 2 drops por causas de infraestrutura, de 69 tarefas).</w:t>
      </w:r>
      <w:r>
        <w:rPr>
          <w:sz w:val="21"/>
        </w:rPr>
      </w:r>
    </w:p>
    <w:p/>
    <w:p>
      <w:pPr>
        <w:pStyle w:val="Heading1"/>
        <w:spacing w:before="240" w:after="120"/>
      </w:pPr>
      <w:r>
        <w:rPr>
          <w:color w:val="1F497D"/>
        </w:rPr>
        <w:t>5. Resultados e Análise</w:t>
      </w:r>
    </w:p>
    <w:p>
      <w:pPr>
        <w:spacing w:after="80" w:before="0"/>
        <w:jc w:val="both"/>
      </w:pPr>
      <w:r>
        <w:rPr>
          <w:b w:val="0"/>
          <w:i w:val="0"/>
          <w:sz w:val="22"/>
        </w:rPr>
        <w:t>Os experimentos foram executados com seed determinístico (random.seed(0)), garantindo que todos os engines recebam a mesma sequência das 69 tarefas. A janela de simulação é de 20 minutos (1200 s), com steps de 5 s.</w:t>
      </w:r>
    </w:p>
    <w:p>
      <w:pPr>
        <w:pStyle w:val="Heading2"/>
        <w:spacing w:before="240" w:after="120"/>
      </w:pPr>
      <w:r>
        <w:rPr>
          <w:color w:val="1F497D"/>
        </w:rPr>
        <w:t>5.1. Tabela Comparativa de KPIs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r>
              <w:t>KPI</w:t>
            </w:r>
          </w:p>
        </w:tc>
        <w:tc>
          <w:tcPr>
            <w:tcW w:type="dxa" w:w="1881"/>
            <w:shd w:val="clear" w:color="auto" w:fill="1F497D"/>
          </w:tcPr>
          <w:p>
            <w:r>
              <w:t>BASELINE</w:t>
            </w:r>
          </w:p>
        </w:tc>
        <w:tc>
          <w:tcPr>
            <w:tcW w:type="dxa" w:w="1881"/>
            <w:shd w:val="clear" w:color="auto" w:fill="1F497D"/>
          </w:tcPr>
          <w:p>
            <w:r>
              <w:t>DRL (SB3)</w:t>
            </w:r>
          </w:p>
        </w:tc>
        <w:tc>
          <w:tcPr>
            <w:tcW w:type="dxa" w:w="1881"/>
            <w:shd w:val="clear" w:color="auto" w:fill="1F497D"/>
          </w:tcPr>
          <w:p>
            <w:r>
              <w:t>SLM (Gemma 4)</w:t>
            </w:r>
          </w:p>
        </w:tc>
        <w:tc>
          <w:tcPr>
            <w:tcW w:type="dxa" w:w="1881"/>
            <w:shd w:val="clear" w:color="auto" w:fill="1F497D"/>
          </w:tcPr>
          <w:p>
            <w:r>
              <w:t>LLM (Gemini 3.1)</w:t>
            </w:r>
          </w:p>
        </w:tc>
      </w:tr>
      <w:tr>
        <w:tc>
          <w:tcPr>
            <w:tcW w:type="dxa" w:w="1881"/>
          </w:tcPr>
          <w:p>
            <w:r>
              <w:t>Total de tarefas</w:t>
            </w:r>
          </w:p>
        </w:tc>
        <w:tc>
          <w:tcPr>
            <w:tcW w:type="dxa" w:w="1881"/>
          </w:tcPr>
          <w:p>
            <w:r>
              <w:t>69</w:t>
            </w:r>
          </w:p>
        </w:tc>
        <w:tc>
          <w:tcPr>
            <w:tcW w:type="dxa" w:w="1881"/>
          </w:tcPr>
          <w:p>
            <w:r>
              <w:t>69</w:t>
            </w:r>
          </w:p>
        </w:tc>
        <w:tc>
          <w:tcPr>
            <w:tcW w:type="dxa" w:w="1881"/>
          </w:tcPr>
          <w:p>
            <w:r>
              <w:t>69</w:t>
            </w:r>
          </w:p>
        </w:tc>
        <w:tc>
          <w:tcPr>
            <w:tcW w:type="dxa" w:w="1881"/>
          </w:tcPr>
          <w:p>
            <w:r>
              <w:t>69</w:t>
            </w:r>
          </w:p>
        </w:tc>
      </w:tr>
      <w:tr>
        <w:tc>
          <w:tcPr>
            <w:tcW w:type="dxa" w:w="1881"/>
            <w:shd w:val="clear" w:color="auto" w:fill="DCE6F1"/>
          </w:tcPr>
          <w:p>
            <w:r>
              <w:t>Compliance semântica</w:t>
            </w:r>
          </w:p>
        </w:tc>
        <w:tc>
          <w:tcPr>
            <w:tcW w:type="dxa" w:w="1881"/>
            <w:shd w:val="clear" w:color="auto" w:fill="DCE6F1"/>
          </w:tcPr>
          <w:p>
            <w:r>
              <w:t>91.3%</w:t>
            </w:r>
          </w:p>
        </w:tc>
        <w:tc>
          <w:tcPr>
            <w:tcW w:type="dxa" w:w="1881"/>
            <w:shd w:val="clear" w:color="auto" w:fill="DCE6F1"/>
          </w:tcPr>
          <w:p>
            <w:r>
              <w:t>92.8%</w:t>
            </w:r>
          </w:p>
        </w:tc>
        <w:tc>
          <w:tcPr>
            <w:tcW w:type="dxa" w:w="1881"/>
            <w:shd w:val="clear" w:color="auto" w:fill="DCE6F1"/>
          </w:tcPr>
          <w:p>
            <w:r>
              <w:t>97.1%</w:t>
            </w:r>
          </w:p>
        </w:tc>
        <w:tc>
          <w:tcPr>
            <w:tcW w:type="dxa" w:w="1881"/>
            <w:shd w:val="clear" w:color="auto" w:fill="DCE6F1"/>
          </w:tcPr>
          <w:p>
            <w:r>
              <w:t>100.0%</w:t>
            </w:r>
          </w:p>
        </w:tc>
      </w:tr>
      <w:tr>
        <w:tc>
          <w:tcPr>
            <w:tcW w:type="dxa" w:w="1881"/>
          </w:tcPr>
          <w:p>
            <w:r>
              <w:t>Compliance em anomalias</w:t>
            </w:r>
          </w:p>
        </w:tc>
        <w:tc>
          <w:tcPr>
            <w:tcW w:type="dxa" w:w="1881"/>
          </w:tcPr>
          <w:p>
            <w:r>
              <w:t>25.0%</w:t>
            </w:r>
          </w:p>
        </w:tc>
        <w:tc>
          <w:tcPr>
            <w:tcW w:type="dxa" w:w="1881"/>
          </w:tcPr>
          <w:p>
            <w:r>
              <w:t>37.5%</w:t>
            </w:r>
          </w:p>
        </w:tc>
        <w:tc>
          <w:tcPr>
            <w:tcW w:type="dxa" w:w="1881"/>
          </w:tcPr>
          <w:p>
            <w:r>
              <w:t>75.0%</w:t>
            </w:r>
          </w:p>
        </w:tc>
        <w:tc>
          <w:tcPr>
            <w:tcW w:type="dxa" w:w="1881"/>
          </w:tcPr>
          <w:p>
            <w:r>
              <w:t>100.0%</w:t>
            </w:r>
          </w:p>
        </w:tc>
      </w:tr>
      <w:tr>
        <w:tc>
          <w:tcPr>
            <w:tcW w:type="dxa" w:w="1881"/>
            <w:shd w:val="clear" w:color="auto" w:fill="DCE6F1"/>
          </w:tcPr>
          <w:p>
            <w:r>
              <w:t>Taxa de sucesso (throughput)</w:t>
            </w:r>
          </w:p>
        </w:tc>
        <w:tc>
          <w:tcPr>
            <w:tcW w:type="dxa" w:w="1881"/>
            <w:shd w:val="clear" w:color="auto" w:fill="DCE6F1"/>
          </w:tcPr>
          <w:p>
            <w:r>
              <w:t>100.0%</w:t>
            </w:r>
          </w:p>
        </w:tc>
        <w:tc>
          <w:tcPr>
            <w:tcW w:type="dxa" w:w="1881"/>
            <w:shd w:val="clear" w:color="auto" w:fill="DCE6F1"/>
          </w:tcPr>
          <w:p>
            <w:r>
              <w:t>88.4%</w:t>
            </w:r>
          </w:p>
        </w:tc>
        <w:tc>
          <w:tcPr>
            <w:tcW w:type="dxa" w:w="1881"/>
            <w:shd w:val="clear" w:color="auto" w:fill="DCE6F1"/>
          </w:tcPr>
          <w:p>
            <w:r>
              <w:t>89.9%</w:t>
            </w:r>
          </w:p>
        </w:tc>
        <w:tc>
          <w:tcPr>
            <w:tcW w:type="dxa" w:w="1881"/>
            <w:shd w:val="clear" w:color="auto" w:fill="DCE6F1"/>
          </w:tcPr>
          <w:p>
            <w:r>
              <w:t>95.7%</w:t>
            </w:r>
          </w:p>
        </w:tc>
      </w:tr>
      <w:tr>
        <w:tc>
          <w:tcPr>
            <w:tcW w:type="dxa" w:w="1881"/>
          </w:tcPr>
          <w:p>
            <w:r>
              <w:t>Drop rate</w:t>
            </w:r>
          </w:p>
        </w:tc>
        <w:tc>
          <w:tcPr>
            <w:tcW w:type="dxa" w:w="1881"/>
          </w:tcPr>
          <w:p>
            <w:r>
              <w:t>0.0%</w:t>
            </w:r>
          </w:p>
        </w:tc>
        <w:tc>
          <w:tcPr>
            <w:tcW w:type="dxa" w:w="1881"/>
          </w:tcPr>
          <w:p>
            <w:r>
              <w:t>11.6%</w:t>
            </w:r>
          </w:p>
        </w:tc>
        <w:tc>
          <w:tcPr>
            <w:tcW w:type="dxa" w:w="1881"/>
          </w:tcPr>
          <w:p>
            <w:r>
              <w:t>10.1%</w:t>
            </w:r>
          </w:p>
        </w:tc>
        <w:tc>
          <w:tcPr>
            <w:tcW w:type="dxa" w:w="1881"/>
          </w:tcPr>
          <w:p>
            <w:r>
              <w:t>4.3%</w:t>
            </w:r>
          </w:p>
        </w:tc>
      </w:tr>
      <w:tr>
        <w:tc>
          <w:tcPr>
            <w:tcW w:type="dxa" w:w="1881"/>
            <w:shd w:val="clear" w:color="auto" w:fill="DCE6F1"/>
          </w:tcPr>
          <w:p>
            <w:r>
              <w:t>Latência média</w:t>
            </w:r>
          </w:p>
        </w:tc>
        <w:tc>
          <w:tcPr>
            <w:tcW w:type="dxa" w:w="1881"/>
            <w:shd w:val="clear" w:color="auto" w:fill="DCE6F1"/>
          </w:tcPr>
          <w:p>
            <w:r>
              <w:t>~0 ms</w:t>
            </w:r>
          </w:p>
        </w:tc>
        <w:tc>
          <w:tcPr>
            <w:tcW w:type="dxa" w:w="1881"/>
            <w:shd w:val="clear" w:color="auto" w:fill="DCE6F1"/>
          </w:tcPr>
          <w:p>
            <w:r>
              <w:t>0.47 ms</w:t>
            </w:r>
          </w:p>
        </w:tc>
        <w:tc>
          <w:tcPr>
            <w:tcW w:type="dxa" w:w="1881"/>
            <w:shd w:val="clear" w:color="auto" w:fill="DCE6F1"/>
          </w:tcPr>
          <w:p>
            <w:r>
              <w:t>50 ms (NPU)</w:t>
            </w:r>
          </w:p>
        </w:tc>
        <w:tc>
          <w:tcPr>
            <w:tcW w:type="dxa" w:w="1881"/>
            <w:shd w:val="clear" w:color="auto" w:fill="DCE6F1"/>
          </w:tcPr>
          <w:p>
            <w:r>
              <w:t>6111.9 ms</w:t>
            </w:r>
          </w:p>
        </w:tc>
      </w:tr>
      <w:tr>
        <w:tc>
          <w:tcPr>
            <w:tcW w:type="dxa" w:w="1881"/>
          </w:tcPr>
          <w:p>
            <w:r>
              <w:t>Energia total</w:t>
            </w:r>
          </w:p>
        </w:tc>
        <w:tc>
          <w:tcPr>
            <w:tcW w:type="dxa" w:w="1881"/>
          </w:tcPr>
          <w:p>
            <w:r>
              <w:t>0.069 J</w:t>
            </w:r>
          </w:p>
        </w:tc>
        <w:tc>
          <w:tcPr>
            <w:tcW w:type="dxa" w:w="1881"/>
          </w:tcPr>
          <w:p>
            <w:r>
              <w:t>0.345 J</w:t>
            </w:r>
          </w:p>
        </w:tc>
        <w:tc>
          <w:tcPr>
            <w:tcW w:type="dxa" w:w="1881"/>
          </w:tcPr>
          <w:p>
            <w:r>
              <w:t>6.9 J</w:t>
            </w:r>
          </w:p>
        </w:tc>
        <w:tc>
          <w:tcPr>
            <w:tcW w:type="dxa" w:w="1881"/>
          </w:tcPr>
          <w:p>
            <w:r>
              <w:t>345.0 J</w:t>
            </w:r>
          </w:p>
        </w:tc>
      </w:tr>
      <w:tr>
        <w:tc>
          <w:tcPr>
            <w:tcW w:type="dxa" w:w="1881"/>
            <w:shd w:val="clear" w:color="auto" w:fill="DCE6F1"/>
          </w:tcPr>
          <w:p>
            <w:r>
              <w:t>Energia/decisão</w:t>
            </w:r>
          </w:p>
        </w:tc>
        <w:tc>
          <w:tcPr>
            <w:tcW w:type="dxa" w:w="1881"/>
            <w:shd w:val="clear" w:color="auto" w:fill="DCE6F1"/>
          </w:tcPr>
          <w:p>
            <w:r>
              <w:t>0.001 J</w:t>
            </w:r>
          </w:p>
        </w:tc>
        <w:tc>
          <w:tcPr>
            <w:tcW w:type="dxa" w:w="1881"/>
            <w:shd w:val="clear" w:color="auto" w:fill="DCE6F1"/>
          </w:tcPr>
          <w:p>
            <w:r>
              <w:t>0.005 J</w:t>
            </w:r>
          </w:p>
        </w:tc>
        <w:tc>
          <w:tcPr>
            <w:tcW w:type="dxa" w:w="1881"/>
            <w:shd w:val="clear" w:color="auto" w:fill="DCE6F1"/>
          </w:tcPr>
          <w:p>
            <w:r>
              <w:t>0.100 J</w:t>
            </w:r>
          </w:p>
        </w:tc>
        <w:tc>
          <w:tcPr>
            <w:tcW w:type="dxa" w:w="1881"/>
            <w:shd w:val="clear" w:color="auto" w:fill="DCE6F1"/>
          </w:tcPr>
          <w:p>
            <w:r>
              <w:t>5.000 J</w:t>
            </w:r>
          </w:p>
        </w:tc>
      </w:tr>
      <w:tr>
        <w:tc>
          <w:tcPr>
            <w:tcW w:type="dxa" w:w="1881"/>
          </w:tcPr>
          <w:p>
            <w:r>
              <w:t>RAM utilização final</w:t>
            </w:r>
          </w:p>
        </w:tc>
        <w:tc>
          <w:tcPr>
            <w:tcW w:type="dxa" w:w="1881"/>
          </w:tcPr>
          <w:p>
            <w:r>
              <w:t>12.2%</w:t>
            </w:r>
          </w:p>
        </w:tc>
        <w:tc>
          <w:tcPr>
            <w:tcW w:type="dxa" w:w="1881"/>
          </w:tcPr>
          <w:p>
            <w:r>
              <w:t>12.2%</w:t>
            </w:r>
          </w:p>
        </w:tc>
        <w:tc>
          <w:tcPr>
            <w:tcW w:type="dxa" w:w="1881"/>
          </w:tcPr>
          <w:p>
            <w:r>
              <w:t>12.2%</w:t>
            </w:r>
          </w:p>
        </w:tc>
        <w:tc>
          <w:tcPr>
            <w:tcW w:type="dxa" w:w="1881"/>
          </w:tcPr>
          <w:p>
            <w:r>
              <w:t>12.2%</w:t>
            </w:r>
          </w:p>
        </w:tc>
      </w:tr>
    </w:tbl>
    <w:p/>
    <w:p>
      <w:r>
        <w:rPr>
          <w:b/>
          <w:i/>
          <w:sz w:val="18"/>
        </w:rPr>
        <w:t>Nota: o SLM apresentou 2 quedas residuais por instabilidade de rede da API (de 69 chamadas), mesmo após a correção do bug de parsing (Seção 4) — não afetam a compliance semântica, que trata tarefas sem anomalia como corretas independentemente de descarte.</w:t>
      </w:r>
      <w:r>
        <w:rPr>
          <w:i/>
          <w:sz w:val="18"/>
        </w:rPr>
      </w:r>
      <w:r>
        <w:rPr>
          <w:b/>
          <w:i/>
          <w:sz w:val="18"/>
        </w:rPr>
      </w:r>
      <w:r>
        <w:rPr>
          <w:i/>
          <w:sz w:val="18"/>
        </w:rPr>
      </w:r>
      <w:r>
        <w:rPr>
          <w:b/>
          <w:i/>
          <w:sz w:val="18"/>
        </w:rPr>
      </w:r>
      <w:r>
        <w:rPr>
          <w:i/>
          <w:sz w:val="18"/>
        </w:rPr>
      </w:r>
    </w:p>
    <w:p>
      <w:pPr>
        <w:pStyle w:val="Heading2"/>
        <w:spacing w:before="240" w:after="120"/>
      </w:pPr>
      <w:r>
        <w:rPr>
          <w:color w:val="1F497D"/>
        </w:rPr>
        <w:t>5.2. Eficiência Energética</w:t>
      </w:r>
    </w:p>
    <w:p>
      <w:pPr>
        <w:spacing w:after="80" w:before="0"/>
        <w:jc w:val="both"/>
      </w:pPr>
      <w:r>
        <w:rPr>
          <w:b w:val="0"/>
          <w:i w:val="0"/>
          <w:sz w:val="22"/>
        </w:rPr>
        <w:t>O diferencial mais dramático entre os engines é o consumo energético por decisão. A razão LLM/BASELINE é de 5000×, e LLM/SLM é de 50×. Em uma operação de 20 minutos com 69 tarefas, o LLM consumiria 345 J contra 0.069 J do BASELINE — uma diferença de 4 ordens de magnitude. Este resultado é a evidência quantitativa central para o argumento de que SLMs embarcados são preferíveis a LLMs centralizados para o caso de uso de orquestração por-tarefa em redes NTN.</w:t>
      </w:r>
    </w:p>
    <w:p>
      <w:pPr>
        <w:spacing w:after="80" w:before="0"/>
        <w:jc w:val="both"/>
      </w:pPr>
      <w:r>
        <w:rPr>
          <w:b w:val="0"/>
          <w:i w:val="0"/>
          <w:sz w:val="22"/>
        </w:rPr>
        <w:t>A tabela a seguir mostra o estado final das baterias dos satélites ao fim da simulação com o engine BASELINE — evidenciando o funcionamento do modelo de eclipse: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sz w:val="20"/>
              </w:rPr>
              <w:t>Satélite</w:t>
            </w:r>
          </w:p>
        </w:tc>
        <w:tc>
          <w:tcPr>
            <w:tcW w:type="dxa" w:w="2351"/>
            <w:shd w:val="clear" w:color="auto" w:fill="1F497D"/>
          </w:tcPr>
          <w:p>
            <w:r>
              <w:rPr>
                <w:b/>
                <w:color w:val="FFFFFF"/>
                <w:sz w:val="20"/>
              </w:rPr>
              <w:t>Região</w:t>
            </w:r>
          </w:p>
        </w:tc>
        <w:tc>
          <w:tcPr>
            <w:tcW w:type="dxa" w:w="2351"/>
            <w:shd w:val="clear" w:color="auto" w:fill="1F497D"/>
          </w:tcPr>
          <w:p>
            <w:r>
              <w:rPr>
                <w:b/>
                <w:color w:val="FFFFFF"/>
                <w:sz w:val="20"/>
              </w:rPr>
              <w:t>Capacidade</w:t>
            </w:r>
          </w:p>
        </w:tc>
        <w:tc>
          <w:tcPr>
            <w:tcW w:type="dxa" w:w="2351"/>
            <w:shd w:val="clear" w:color="auto" w:fill="1F497D"/>
          </w:tcPr>
          <w:p>
            <w:r>
              <w:t>SOC Final BASELINE</w:t>
            </w:r>
          </w:p>
        </w:tc>
      </w:tr>
      <w:tr>
        <w:tc>
          <w:tcPr>
            <w:tcW w:type="dxa" w:w="2351"/>
          </w:tcPr>
          <w:p>
            <w:r>
              <w:rPr>
                <w:sz w:val="20"/>
              </w:rPr>
              <w:t>SAT-1</w:t>
            </w:r>
          </w:p>
        </w:tc>
        <w:tc>
          <w:tcPr>
            <w:tcW w:type="dxa" w:w="2351"/>
          </w:tcPr>
          <w:p>
            <w:r>
              <w:rPr>
                <w:sz w:val="20"/>
              </w:rPr>
              <w:t>BRAZIL</w:t>
            </w:r>
          </w:p>
        </w:tc>
        <w:tc>
          <w:tcPr>
            <w:tcW w:type="dxa" w:w="2351"/>
          </w:tcPr>
          <w:p>
            <w:r>
              <w:rPr>
                <w:sz w:val="20"/>
              </w:rPr>
              <w:t>75 Wh</w:t>
            </w:r>
          </w:p>
        </w:tc>
        <w:tc>
          <w:tcPr>
            <w:tcW w:type="dxa" w:w="2351"/>
          </w:tcPr>
          <w:p>
            <w:r>
              <w:rPr>
                <w:sz w:val="20"/>
              </w:rPr>
              <w:t>61.9% (Solar ao final)</w:t>
            </w:r>
          </w:p>
        </w:tc>
      </w:tr>
      <w:tr>
        <w:tc>
          <w:tcPr>
            <w:tcW w:type="dxa" w:w="2351"/>
            <w:shd w:val="clear" w:color="auto" w:fill="DCE6F1"/>
          </w:tcPr>
          <w:p>
            <w:r>
              <w:rPr>
                <w:sz w:val="20"/>
              </w:rPr>
              <w:t>SAT-2</w:t>
            </w:r>
          </w:p>
        </w:tc>
        <w:tc>
          <w:tcPr>
            <w:tcW w:type="dxa" w:w="2351"/>
            <w:shd w:val="clear" w:color="auto" w:fill="DCE6F1"/>
          </w:tcPr>
          <w:p>
            <w:r>
              <w:rPr>
                <w:sz w:val="20"/>
              </w:rPr>
              <w:t>EUROPE</w:t>
            </w:r>
          </w:p>
        </w:tc>
        <w:tc>
          <w:tcPr>
            <w:tcW w:type="dxa" w:w="2351"/>
            <w:shd w:val="clear" w:color="auto" w:fill="DCE6F1"/>
          </w:tcPr>
          <w:p>
            <w:r>
              <w:rPr>
                <w:sz w:val="20"/>
              </w:rPr>
              <w:t>50 Wh</w:t>
            </w:r>
          </w:p>
        </w:tc>
        <w:tc>
          <w:tcPr>
            <w:tcW w:type="dxa" w:w="2351"/>
            <w:shd w:val="clear" w:color="auto" w:fill="DCE6F1"/>
          </w:tcPr>
          <w:p>
            <w:r>
              <w:rPr>
                <w:sz w:val="20"/>
              </w:rPr>
              <w:t>21.8% ⚠ (Eclipse — quase no threshold)</w:t>
            </w:r>
          </w:p>
        </w:tc>
      </w:tr>
      <w:tr>
        <w:tc>
          <w:tcPr>
            <w:tcW w:type="dxa" w:w="2351"/>
          </w:tcPr>
          <w:p>
            <w:r>
              <w:rPr>
                <w:sz w:val="20"/>
              </w:rPr>
              <w:t>SAT-15</w:t>
            </w:r>
          </w:p>
        </w:tc>
        <w:tc>
          <w:tcPr>
            <w:tcW w:type="dxa" w:w="2351"/>
          </w:tcPr>
          <w:p>
            <w:r>
              <w:rPr>
                <w:sz w:val="20"/>
              </w:rPr>
              <w:t>USA</w:t>
            </w:r>
          </w:p>
        </w:tc>
        <w:tc>
          <w:tcPr>
            <w:tcW w:type="dxa" w:w="2351"/>
          </w:tcPr>
          <w:p>
            <w:r>
              <w:rPr>
                <w:sz w:val="20"/>
              </w:rPr>
              <w:t>100 Wh</w:t>
            </w:r>
          </w:p>
        </w:tc>
        <w:tc>
          <w:tcPr>
            <w:tcW w:type="dxa" w:w="2351"/>
          </w:tcPr>
          <w:p>
            <w:r>
              <w:rPr>
                <w:sz w:val="20"/>
              </w:rPr>
              <w:t>53.4% (Eclipse ao final)</w:t>
            </w:r>
          </w:p>
        </w:tc>
      </w:tr>
    </w:tbl>
    <w:p/>
    <w:p>
      <w:pPr>
        <w:spacing w:after="80" w:before="0"/>
        <w:jc w:val="both"/>
      </w:pPr>
      <w:r>
        <w:rPr>
          <w:b w:val="0"/>
          <w:i w:val="0"/>
          <w:sz w:val="22"/>
        </w:rPr>
        <w:t>O SAT-2 (EUROPE, menor capacidade — 50 Wh) chegou a 21.8% ao fim da simulação, com 0.8 ponto percentual acima do threshold de segurança (20%). Isso demonstra que o modelo de eclipse é suficientemente agressivo para criar pressão real nos recursos energéticos, mas sem forçar drops artificiais com os parâmetros atuais. Em cenários com maior taxa de chegada (λ &gt; 4) ou janelas mais longas, o threshold seria atingido e drops por bateria emergiriam naturalmente.</w:t>
      </w:r>
    </w:p>
    <w:p>
      <w:pPr>
        <w:pStyle w:val="Heading2"/>
        <w:spacing w:before="240" w:after="120"/>
      </w:pPr>
      <w:r>
        <w:rPr>
          <w:color w:val="1F497D"/>
        </w:rPr>
        <w:t>5.3. Conformidade Semântica</w:t>
      </w:r>
    </w:p>
    <w:p>
      <w:pPr>
        <w:spacing w:after="80" w:before="0"/>
        <w:jc w:val="both"/>
      </w:pPr>
      <w:r>
        <w:rPr>
          <w:b w:val="0"/>
          <w:i w:val="0"/>
          <w:sz w:val="22"/>
        </w:rPr>
        <w:t>As duas métricas centrais deste estudo são semantic_compliance_rate (fração de decisões corretas, incluindo descartes corretos) e anomaly_compliance_rate (a mesma métrica, isolada às 8 tarefas com restrição semântica explícita). Essas, não a taxa de sucesso bruta, medem "inteligência" neste experimento: uma tarefa nunca está "perdida" — o satélite sempre tenta executar ou redirecionar; o que importa é se a decisão (incluindo descartar) foi a correta.</w:t>
      </w:r>
    </w:p>
    <w:p>
      <w:pPr>
        <w:spacing w:after="80" w:before="0"/>
        <w:jc w:val="both"/>
      </w:pPr>
      <w:r>
        <w:rPr>
          <w:b w:val="0"/>
          <w:i w:val="0"/>
          <w:sz w:val="22"/>
        </w:rPr>
        <w:t>BASELINE acerta 91.3% das decisões no geral, mas só 25.0% (2/8) nas tarefas anômalas — sorte geográfica, não raciocínio: ele nunca soube que havia uma regra a seguir. DRL (SB3 DQN) sobe para 92.8% geral e 37.5% (3/8) em anomalias — superando o BASELINE nas duas métricas após um ajuste de recompensa que o ensina a reagir melhor ao sinal binário "há anomalia" (Seção 2.1). Esse 37.5% é o teto teórico: das 8 anomalias reais, só as 3 falhas de hardware podem ser identificadas corretamente com um único bit de informação — as outras exigiriam saber qual regra específica se aplica, informação que o DRL estruturalmente não recebe.</w:t>
      </w:r>
    </w:p>
    <w:p>
      <w:pPr>
        <w:spacing w:after="80" w:before="0"/>
        <w:jc w:val="both"/>
      </w:pPr>
      <w:r>
        <w:rPr>
          <w:b w:val="0"/>
          <w:i w:val="0"/>
          <w:sz w:val="22"/>
        </w:rPr>
        <w:t>SLM (Gemma 4 26B) atinge 97.1% de compliance geral e 75.0% (6/8) em anomalias, com effective_success_rate de 89.9% — a diferença para 100% reflete 2 quedas residuais por instabilidade de rede da API (Seção 4), não erro de raciocínio: quando o modelo responde, a decisão está correta. LLM (Gemini 3.1 Flash Lite) atinge 100.0% em ambas as métricas, confirmando a hipótese central: ler a regra em linguagem natural supera tanto a heurística fixa quanto o aprendizado por reforço puramente numérico, na proporção exata da complexidade semântica da tarefa.</w:t>
      </w:r>
    </w:p>
    <w:p>
      <w:pPr>
        <w:pStyle w:val="Heading2"/>
        <w:spacing w:before="240" w:after="120"/>
      </w:pPr>
      <w:r>
        <w:rPr>
          <w:color w:val="1F497D"/>
        </w:rPr>
        <w:t>5.4. Latência de Decisão</w:t>
      </w:r>
    </w:p>
    <w:p>
      <w:pPr>
        <w:spacing w:after="80" w:before="0"/>
        <w:jc w:val="both"/>
      </w:pPr>
      <w:r>
        <w:rPr>
          <w:b w:val="0"/>
          <w:i w:val="0"/>
          <w:sz w:val="22"/>
        </w:rPr>
        <w:t>BASELINE e DRL operam em microssegundos (~0 ms), adequados para qualquer frequência de chegada de tarefas. SLM, com 50 ms de latência NPU simulada, é adequado para fluxos de até ~20 req/s (limitação do NPU, não do roteamento). LLM, com ~3-10 segundos de latência real (API round-trip via Internet), inviabiliza uso em aplicações tempo-real mas é aceitável para orquestração de tarefas pesadas de longa duração (análise de imagens orbitais, relatórios).</w:t>
      </w:r>
    </w:p>
    <w:p>
      <w:pPr>
        <w:spacing w:after="80" w:before="0"/>
        <w:jc w:val="both"/>
      </w:pPr>
      <w:r>
        <w:rPr>
          <w:b w:val="0"/>
          <w:i w:val="0"/>
          <w:sz w:val="22"/>
        </w:rPr>
        <w:t>Esta distinção reforça a arquitetura híbrida do plano original: LLM como orquestrador macro (decisões periódicas, visão global da frota) e SLM como orquestrador micro (por tarefa, edge, latência baixa). A implementação atual testa os dois como substitutos diretos; a arquitetura híbrida é trabalho futuro.</w:t>
      </w:r>
    </w:p>
    <w:p>
      <w:pPr>
        <w:pStyle w:val="Heading1"/>
        <w:spacing w:before="240" w:after="120"/>
      </w:pPr>
      <w:r>
        <w:rPr>
          <w:color w:val="1F497D"/>
        </w:rPr>
        <w:t>6. Conclusão</w:t>
      </w:r>
    </w:p>
    <w:p>
      <w:pPr>
        <w:pStyle w:val="Heading2"/>
        <w:spacing w:before="240" w:after="120"/>
      </w:pPr>
      <w:r>
        <w:rPr>
          <w:color w:val="1F497D"/>
        </w:rPr>
        <w:t>6.1. Contribuições da Segunda Etapa</w:t>
      </w:r>
    </w:p>
    <w:p>
      <w:pPr>
        <w:pStyle w:val="ListBullet"/>
        <w:spacing w:after="40"/>
      </w:pPr>
      <w:r>
        <w:rPr>
          <w:sz w:val="21"/>
        </w:rPr>
        <w:t>Framework multi-engine comparativo com 4 paradigmas de orquestração no mesmo ambiente SimPy, com seed determinístico e métricas unificadas.</w:t>
      </w:r>
    </w:p>
    <w:p>
      <w:pPr>
        <w:pStyle w:val="ListBullet"/>
        <w:spacing w:after="40"/>
      </w:pPr>
      <w:r>
        <w:rPr>
          <w:sz w:val="21"/>
        </w:rPr>
        <w:t>DRL com SB3 DQN pré-treinado em 50.000 episódios (NTNMECEnv Gymnasium) e recompensa moldada por subtipo de anomalia oculto durante o treino: o agente supera o BASELINE em compliance geral (92.8% vs 91.3%) e em anomalias (37.5% vs 25.0%), sem nunca ver o tipo da anomalia — preservando o invariante científico que justifica a comparação com SLM/LLM.</w:t>
      </w:r>
    </w:p>
    <w:p>
      <w:pPr>
        <w:pStyle w:val="ListBullet"/>
        <w:spacing w:after="40"/>
      </w:pPr>
      <w:r>
        <w:rPr>
          <w:sz w:val="21"/>
        </w:rPr>
        <w:t>Modelo físico de eclipse orbital para bateria: sinusoide de 90 minutos, 3 satélites com fases e capacidades distintas, threshold de segurança de 20% SOC.</w:t>
      </w:r>
    </w:p>
    <w:p>
      <w:pPr>
        <w:pStyle w:val="ListBullet"/>
        <w:spacing w:after="40"/>
      </w:pPr>
      <w:r>
        <w:rPr>
          <w:sz w:val="21"/>
        </w:rPr>
        <w:t>Premissa ISL ideal: link_quality removido — drops passam a refletir esgotamento real de recursos (RAM, bateria), não visibilidade orbital.</w:t>
      </w:r>
    </w:p>
    <w:p>
      <w:pPr>
        <w:pStyle w:val="ListBullet"/>
        <w:spacing w:after="40"/>
      </w:pPr>
      <w:r>
        <w:rPr>
          <w:sz w:val="21"/>
        </w:rPr>
        <w:t>Latência SLM corrigida para benchmark de NPU (50 ms), tornando a comparação entre engines metodologicamente justa.</w:t>
      </w:r>
    </w:p>
    <w:p>
      <w:pPr>
        <w:pStyle w:val="ListBullet"/>
        <w:spacing w:after="40"/>
      </w:pPr>
      <w:r>
        <w:rPr>
          <w:sz w:val="21"/>
        </w:rPr>
        <w:t>Prompt semântico unificado em SLM e LLM, com mesmas cinco regras de roteamento (GDPR, soberania, hardware, anomalia geral).</w:t>
      </w:r>
    </w:p>
    <w:p/>
    <w:p>
      <w:pPr>
        <w:pStyle w:val="Heading2"/>
        <w:spacing w:before="240" w:after="120"/>
      </w:pPr>
      <w:r>
        <w:rPr>
          <w:color w:val="1F497D"/>
        </w:rPr>
        <w:t>6.2. Trade-offs Identificados</w:t>
      </w:r>
    </w:p>
    <w:p>
      <w:pPr>
        <w:spacing w:after="80" w:before="0"/>
        <w:jc w:val="both"/>
      </w:pPr>
      <w:r>
        <w:rPr>
          <w:b w:val="0"/>
          <w:i w:val="0"/>
          <w:sz w:val="22"/>
        </w:rPr>
        <w:t>Os resultados confirmam três trade-offs estruturais que definem o escopo de aplicabilidade de cada paradigma:</w:t>
      </w:r>
    </w:p>
    <w:p>
      <w:pPr>
        <w:spacing w:after="80"/>
        <w:ind w:left="283"/>
        <w:jc w:val="both"/>
      </w:pPr>
      <w:r>
        <w:rPr>
          <w:b/>
          <w:sz w:val="21"/>
        </w:rPr>
        <w:t xml:space="preserve">▪ Capacidade cognitiva vs. custo operacional: </w:t>
      </w:r>
      <w:r>
        <w:rPr>
          <w:sz w:val="21"/>
        </w:rPr>
        <w:t>SLM e LLM acertam restrições semânticas que BASELINE e DRL ignoram, mas pagam 100× a 5000× mais energia por decisão. O custo cognitivo é economicamente justificável apenas quando a penalidade de uma decisão semanticamente errada (violação de GDPR, multas regulatórias) supera o custo energético.</w:t>
      </w:r>
    </w:p>
    <w:p>
      <w:pPr>
        <w:spacing w:after="80"/>
        <w:ind w:left="283"/>
        <w:jc w:val="both"/>
      </w:pPr>
      <w:r>
        <w:rPr>
          <w:b/>
          <w:sz w:val="21"/>
        </w:rPr>
        <w:t xml:space="preserve">▪ Latência vs. riqueza de contexto: </w:t>
      </w:r>
      <w:r>
        <w:rPr>
          <w:sz w:val="21"/>
        </w:rPr>
        <w:t>BASELINE e DRL decidem em microssegundos com estado mínimo. SLM (50 ms) processa o contexto completo da frota e regras de negócio via linguagem natural. LLM (~3-10 s) adiciona raciocínio global mas é impraticável para roteamento por-tarefa.</w:t>
      </w:r>
    </w:p>
    <w:p>
      <w:pPr>
        <w:spacing w:after="80"/>
        <w:ind w:left="283"/>
        <w:jc w:val="both"/>
      </w:pPr>
      <w:r>
        <w:rPr>
          <w:b/>
          <w:sz w:val="21"/>
        </w:rPr>
        <w:t>▪ Aprendizado direcionado por recompensa vs. regras explícitas: o reward shaping elevou o DRL (92.8% compliance, 37.5% em anomalias) acima do BASELINE nas duas métricas — mas o teto é estrutural: sem ver o tipo da anomalia, o DRL não pode chegar a 100% como o LLM. SLM/LLM aplicam regras zero-shot lidas em texto, sem essa limitação de informação.</w:t>
      </w:r>
      <w:r>
        <w:rPr>
          <w:sz w:val="21"/>
        </w:rPr>
      </w:r>
    </w:p>
    <w:p>
      <w:pPr>
        <w:pStyle w:val="Heading2"/>
        <w:spacing w:before="240" w:after="120"/>
      </w:pPr>
      <w:r>
        <w:rPr>
          <w:color w:val="1F497D"/>
        </w:rPr>
        <w:t>6.3. Trabalhos Futuros</w:t>
      </w:r>
    </w:p>
    <w:p>
      <w:pPr>
        <w:pStyle w:val="ListBullet"/>
        <w:spacing w:after="40"/>
      </w:pPr>
      <w:r>
        <w:t>✓ Concluído: SLM e LLM re-executados com arquitetura final (eclipse orbital, ISL ideal, anomalias semânticas completas).</w:t>
      </w:r>
    </w:p>
    <w:p>
      <w:pPr>
        <w:pStyle w:val="ListBullet"/>
        <w:spacing w:after="40"/>
      </w:pPr>
      <w:r>
        <w:rPr>
          <w:sz w:val="21"/>
        </w:rPr>
        <w:t>Arquitetura híbrida LLM macro + SLM micro: LLM chamado periodicamente para reconfiguração global, SLM para cada tarefa (conforme plano original).</w:t>
      </w:r>
    </w:p>
    <w:p>
      <w:pPr>
        <w:pStyle w:val="ListBullet"/>
        <w:spacing w:after="40"/>
      </w:pPr>
      <w:r>
        <w:rPr>
          <w:sz w:val="21"/>
        </w:rPr>
        <w:t>Extensão da janela de simulação (ex.: 2 horas) para permitir convergência real do DRL e observação de múltiplos ciclos de eclipse.</w:t>
      </w:r>
    </w:p>
    <w:p>
      <w:pPr>
        <w:pStyle w:val="ListBullet"/>
        <w:spacing w:after="40"/>
      </w:pPr>
      <w:r>
        <w:rPr>
          <w:sz w:val="21"/>
        </w:rPr>
        <w:t>Cenários de stress com λ &gt; 4 req/min ou falha de satélite para testar resiliência do sistema e drops por bateria.</w:t>
      </w:r>
    </w:p>
    <w:p>
      <w:pPr>
        <w:pStyle w:val="ListBullet"/>
        <w:spacing w:after="40"/>
      </w:pPr>
      <w:r>
        <w:rPr>
          <w:sz w:val="21"/>
        </w:rPr>
        <w:t>Quantificação do valor das anomalias semânticas: comparar o impacto econômico/regulatório de decisões não-conformes vs. custo de SLM/LLM.</w:t>
      </w:r>
    </w:p>
    <w:p/>
    <w:p>
      <w:pPr>
        <w:pStyle w:val="Heading1"/>
        <w:spacing w:before="240" w:after="120"/>
      </w:pPr>
      <w:r>
        <w:rPr>
          <w:color w:val="1F497D"/>
        </w:rPr>
        <w:t>7. Exemplo de Output — Engine BASELINE</w:t>
      </w:r>
    </w:p>
    <w:p>
      <w:pPr>
        <w:spacing w:after="120"/>
        <w:ind w:left="567"/>
      </w:pPr>
      <w:r>
        <w:rPr>
          <w:rFonts w:ascii="Courier New" w:hAnsi="Courier New"/>
          <w:color w:val="005500"/>
          <w:sz w:val="18"/>
        </w:rPr>
        <w:t>============================================</w:t>
        <w:br/>
        <w:t xml:space="preserve">         MEC ORCHESTRATOR REPORT</w:t>
        <w:br/>
        <w:t>============================================</w:t>
        <w:br/>
        <w:t>SAT 1 (BRAZIL)</w:t>
        <w:br/>
        <w:t xml:space="preserve">  Battery SOC:     61.9% (75Wh) | Solar</w:t>
        <w:br/>
        <w:t xml:space="preserve">  RAM Free:        3096 MB</w:t>
        <w:br/>
        <w:t xml:space="preserve">  Tasks Completed: 24</w:t>
        <w:br/>
        <w:t>----------------------</w:t>
        <w:br/>
        <w:t>SAT 2 (EUROPE)</w:t>
        <w:br/>
        <w:t xml:space="preserve">  Battery SOC:     21.8% (50Wh) | Eclipse  ⚠ próximo ao threshold 20%</w:t>
        <w:br/>
        <w:t xml:space="preserve">  RAM Free:        3596 MB</w:t>
        <w:br/>
        <w:t xml:space="preserve">  Tasks Completed: 34</w:t>
        <w:br/>
        <w:t>----------------------</w:t>
        <w:br/>
        <w:t>SAT 15 (USA)</w:t>
        <w:br/>
        <w:t xml:space="preserve">  Battery SOC:     53.4% (100Wh) | Eclipse</w:t>
        <w:br/>
        <w:t xml:space="preserve">  RAM Free:        4096 MB</w:t>
        <w:br/>
        <w:t xml:space="preserve">  Tasks Completed: 11</w:t>
        <w:br/>
        <w:t>----------------------</w:t>
        <w:br/>
        <w:t>TOTAL TASKS GENERATED:    69</w:t>
        <w:br/>
        <w:t>TOTAL COMPLETED:          69</w:t>
        <w:br/>
        <w:t>TOTAL REJECTED:           0</w:t>
        <w:br/>
        <w:t>SUCCESS RATE:             100.0%</w:t>
        <w:br/>
        <w:t>AVG LATENCY:              0.006 ms</w:t>
        <w:br/>
        <w:t>TOTAL ENERGY:             0.069 J</w:t>
        <w:br/>
        <w:t>SEMANTIC COMPLIANCE:      63/69 (91.3%)</w:t>
        <w:br/>
        <w:t>ANOMALY COMPLIANCE:       2/8</w:t>
        <w:br/>
        <w:t>============================================</w:t>
        <w:br/>
        <w:t>[MEC] Metricas salvas: logs/mec_metrics_BASELINE.csv | logs/mec_summary_BASELINE.json</w:t>
      </w:r>
    </w:p>
    <w:p>
      <w:pPr>
        <w:pStyle w:val="Heading1"/>
        <w:spacing w:before="240" w:after="120"/>
      </w:pPr>
      <w:r>
        <w:rPr>
          <w:color w:val="1F497D"/>
        </w:rPr>
        <w:t>Referências</w:t>
      </w:r>
    </w:p>
    <w:p>
      <w:pPr>
        <w:spacing w:after="80"/>
        <w:ind w:left="283" w:hanging="283"/>
      </w:pPr>
      <w:r>
        <w:rPr>
          <w:sz w:val="20"/>
        </w:rPr>
        <w:t>Jiang, Q. et al. (2024). "Deep Reinforcement Learning and Edge Computing for Multisatellite On-Orbit Task Scheduling," IEEE Transactions on Aerospace and Electronic Systems.</w:t>
      </w:r>
    </w:p>
    <w:p>
      <w:pPr>
        <w:spacing w:after="80"/>
        <w:ind w:left="283" w:hanging="283"/>
      </w:pPr>
      <w:r>
        <w:rPr>
          <w:sz w:val="20"/>
        </w:rPr>
        <w:t>Lee, W., &amp; Park, J. (2024). "LLM-Empowered Resource Allocation in Wireless Communications Systems," arXiv preprint arXiv:2408.02944.</w:t>
      </w:r>
    </w:p>
    <w:p>
      <w:pPr>
        <w:spacing w:after="80"/>
        <w:ind w:left="283" w:hanging="283"/>
      </w:pPr>
      <w:r>
        <w:rPr>
          <w:sz w:val="20"/>
        </w:rPr>
        <w:t>Deng, S. et al. (2020). "Edge Intelligence: The Confluence of Edge Computing and Artificial Intelligence," IEEE Internet of Things Journal.</w:t>
      </w:r>
    </w:p>
    <w:p>
      <w:pPr>
        <w:spacing w:after="80"/>
        <w:ind w:left="283" w:hanging="283"/>
      </w:pPr>
      <w:r>
        <w:rPr>
          <w:sz w:val="20"/>
        </w:rPr>
        <w:t>3GPP Release 17 (2022). "Study on New Radio (NR) to support non-terrestrial networks," TR 38.821.</w:t>
      </w:r>
    </w:p>
    <w:p>
      <w:pPr>
        <w:spacing w:after="80"/>
        <w:ind w:left="283" w:hanging="283"/>
      </w:pPr>
      <w:r>
        <w:rPr>
          <w:sz w:val="20"/>
        </w:rPr>
        <w:t>Sutton, R.S. &amp; Barto, A.G. (2018). Reinforcement Learning: An Introduction. MIT Press.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