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b/>
          <w:color w:val="1F497D"/>
          <w:sz w:val="40"/>
        </w:rPr>
        <w:t>Relatório Final: Orquestração Cognitiva em Redes</w:t>
        <w:br/>
        <w:t>NTN-MEC via LLM/SLM/DRL</w:t>
      </w:r>
    </w:p>
    <w:p>
      <w:pPr>
        <w:jc w:val="center"/>
      </w:pPr>
      <w:r>
        <w:rPr>
          <w:sz w:val="24"/>
        </w:rPr>
        <w:t>Estudo Dirigido — Segunda Etapa</w:t>
        <w:br/>
      </w:r>
    </w:p>
    <w:p>
      <w:pPr>
        <w:spacing w:before="400"/>
        <w:jc w:val="center"/>
      </w:pPr>
      <w:r>
        <w:rPr>
          <w:sz w:val="22"/>
        </w:rPr>
        <w:t>Instituto de Computação — Universidade Estadual de Campinas (UNICAMP)</w:t>
        <w:br/>
        <w:br/>
        <w:t>Autor: Octávio Augusto Barquilia do Nascimento — RA 241327</w:t>
        <w:br/>
        <w:t>Orientador: Prof. Carlos Alberto Astudillo Trujillo</w:t>
        <w:br/>
        <w:t>Repositório: github.com/wocn-unicamp/CosmicBeats-Simulator</w:t>
        <w:br/>
        <w:t>Data: Maio de 2026</w:t>
      </w:r>
    </w:p>
    <w:p>
      <w:r>
        <w:br w:type="page"/>
      </w:r>
    </w:p>
    <w:p>
      <w:pPr>
        <w:pStyle w:val="Heading1"/>
        <w:spacing w:before="240" w:after="120"/>
      </w:pPr>
      <w:r>
        <w:rPr>
          <w:color w:val="1F497D"/>
        </w:rPr>
        <w:t>1. Introdução e Contexto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Este relatório documenta a segunda etapa do Estudo Dirigido sobre Orquestração Cognitiva em Redes NTN-MEC (Non-Terrestrial Networks — Mobile Edge Computing). A primeira etapa estabeleceu a viabilidade de integrar um agente de inteligência artificial generativa (LLM Gemini) no motor de física do simulador CosmicBeats, demonstrando respeito à soberania de dados e gestão de energia/RAM em uma constelação LEO de dois satélites.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segunda etapa eleva a arquitetura a um patamar de pesquisa comparativa rigorosa, conforme previsto no plano de trabalho original. Quatro paradigmas de orquestração são implementados no mesmo ambiente de simulação controlado, permitindo a comparação direta de métricas científicas: taxa de sucesso, latência de decisão, consumo energético e conformidade semântica com restrições geopolíticas.</w:t>
      </w:r>
    </w:p>
    <w:p>
      <w:pPr>
        <w:pStyle w:val="Heading2"/>
        <w:spacing w:before="240" w:after="120"/>
      </w:pPr>
      <w:r>
        <w:rPr>
          <w:color w:val="1F497D"/>
        </w:rPr>
        <w:t>1.1. Motivação Científica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hipótese central do trabalho é que modelos de linguagem — tanto embarcados (SLM/edge) quanto centralizados (LLM/cloud) — superam algoritmos tradicionais em cenários com anomalias semânticas complexas (ex.: GDPR, soberania de dados, falhas de hardware), enquanto pagam um custo mensurável em latência e energia. Esta etapa quantifica esse trade-off com dados experimentais.</w:t>
      </w:r>
    </w:p>
    <w:p>
      <w:pPr>
        <w:pStyle w:val="Heading1"/>
        <w:spacing w:before="240" w:after="120"/>
      </w:pPr>
      <w:r>
        <w:rPr>
          <w:color w:val="1F497D"/>
        </w:rPr>
        <w:t>2. Adaptações em Relação ao Plano Original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plano de trabalho original previa o uso de bibliotecas de DRL de propósito geral (Stable Baselines3, DQN) via Gym Wrapper. A integração foi implementada com sucesso. Três adaptações metodológicas adicionais — SLM, bateria orbital e premissa ISL — foram necessárias nos demais componentes:</w:t>
      </w:r>
    </w:p>
    <w:p>
      <w:pPr>
        <w:pStyle w:val="Heading2"/>
        <w:spacing w:before="240" w:after="120"/>
      </w:pPr>
      <w:r>
        <w:rPr>
          <w:color w:val="1F497D"/>
        </w:rPr>
        <w:t>2.1. DRL: SB3 DQN com Ambiente Gymnasium Customizado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integração do Stable Baselines3 foi implementada com sucesso mediante separação entre treinamento e inferência. Um ambiente Gymnasium customizado (NTNMECEnv) gera episódios sintéticos cobrindo a distribuição real de estados da simulação, resolvendo a incompatibilidade estrutural entre o Gym API (stateless, vetorizado) e o loop SimPy (stateful, eventos discretos): o agente DQN treina offline e o modelo carregado executa inferência determinística durante a simulação.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agente DQN (MlpPolicy, γ=0, 50.000 timesteps) foi treinado com observações sintéticas de 13 features: região da tarefa (one-hot), has_anomaly e estado de bateria/RAM/solar de cada satélite. O invariante científico é preservado: o DQN sabe que há anomalia mas não conhece seu tipo (GDPR, soberania, hardware), justificando a menor anomaly_compliance_rate vs. SLM/LLM.</w:t>
      </w:r>
    </w:p>
    <w:p>
      <w:pPr>
        <w:pStyle w:val="Heading2"/>
        <w:spacing w:before="240" w:after="120"/>
      </w:pPr>
      <w:r>
        <w:rPr>
          <w:color w:val="1F497D"/>
        </w:rPr>
        <w:t>2.2. SLM: API Simulada em Vez de Modelo Quantizado Local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plano previa SLMs quantizados (TinyML) rodando diretamente no nó satélite. A ausência de hardware NPU disponível para teste levou à solução de compromisso: o SLM (Gemma 4 26B via Gemini API) é invocado via rede, mas sua latência é modelada como 50 ms — valor de benchmark de NPU satelital da literatura — usando uma máquina de estados assíncrona. A latência wall-clock real da API (~600 ms) é registrada para diagnóstico, mas não entra nos KPIs comparativos.</w:t>
      </w:r>
    </w:p>
    <w:p>
      <w:pPr>
        <w:pStyle w:val="Heading2"/>
        <w:spacing w:before="240" w:after="120"/>
      </w:pPr>
      <w:r>
        <w:rPr>
          <w:color w:val="1F497D"/>
        </w:rPr>
        <w:t>2.3. Bateria: Modelo Orbital de Eclipse em Vez de Drenagem Estática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primeira etapa modelou bateria como atributo estático com drenagem linear por tarefa, e a variável foi temporariamente removida em favor de link_quality sinusoidal. A descoberta de que satélites LEO passam ~35% de cada órbita em eclipse (sem energia solar) motivou a reintrodução da bateria com modelo físico orbital:</w:t>
      </w:r>
    </w:p>
    <w:p>
      <w:pPr>
        <w:spacing w:after="120"/>
        <w:ind w:left="567"/>
      </w:pPr>
      <w:r>
        <w:rPr>
          <w:rFonts w:ascii="Courier New" w:hAnsi="Courier New"/>
          <w:color w:val="005500"/>
          <w:sz w:val="18"/>
        </w:rPr>
        <w:t>solar(t) = sin(2π(t + phase) / 5400)  # período orbital LEO = 90 min</w:t>
        <w:br/>
        <w:t>em_eclipse = (solar(t) ≤ -0.10)       # ~35% do ciclo</w:t>
        <w:br/>
        <w:t>SOC += +0.083%/step (luz solar)  |  SOC -= 0.040%/step (eclipse)</w:t>
        <w:br/>
        <w:t>SOC -= 2.0% por tarefa aceita (custo de processamento MEC)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Satélites com capacidades diferentes (75 Wh, 50 Wh, 100 Wh) simulam hardware heterogêneo realista, e o threshold de segurança (SOC ≤ 20%) impede que um satélite aceite tarefas em modo de emergência energética.</w:t>
      </w:r>
    </w:p>
    <w:p>
      <w:pPr>
        <w:pStyle w:val="Heading2"/>
        <w:spacing w:before="240" w:after="120"/>
      </w:pPr>
      <w:r>
        <w:rPr>
          <w:color w:val="1F497D"/>
        </w:rPr>
        <w:t>2.4. ISL: Premissa de Conectividade Ideal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modelo de link_quality sinusoidal (elevação de passagem orbital sobre estação terrestre) foi removido. A premissa adotada — apoiada em constelações Walker modernas — é que ISLs (Inter-Satellite Links) mantêm conectividade constante de alta qualidade entre satélites vizinhos. Falhas de transferência geram retransmissão, não perda de tarefa, o que simplifica o modelo sem sacrificar o realismo dos constraints de roteamento (RAM e bateria).</w:t>
      </w:r>
    </w:p>
    <w:p>
      <w:pPr>
        <w:pStyle w:val="Heading1"/>
        <w:spacing w:before="240" w:after="120"/>
      </w:pPr>
      <w:r>
        <w:rPr>
          <w:color w:val="1F497D"/>
        </w:rPr>
        <w:t>3. Arquitetura do Simulador</w:t>
      </w:r>
    </w:p>
    <w:p>
      <w:pPr>
        <w:pStyle w:val="Heading2"/>
        <w:spacing w:before="240" w:after="120"/>
      </w:pPr>
      <w:r>
        <w:rPr>
          <w:color w:val="1F497D"/>
        </w:rPr>
        <w:t>3.1. Framework Multi-Engine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CosmicBeats foi estendido com uma camada MEC intercambiável via variável de ambiente MEC_ENGINE. O MECOrchestrator coordena todos os engines com a mesma sequência de tarefas (random.seed(0)), garantindo reprodutibilidade e comparabilidade dos resultados.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Engine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Paradigma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Latência modelada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Energia/decisão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BASELINE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Heurística gulosa (greedy)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~0 ms (CPU if/else)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0.001 J</w:t>
            </w:r>
          </w:p>
        </w:tc>
      </w:tr>
      <w:tr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DRL</w:t>
            </w:r>
          </w:p>
        </w:tc>
        <w:tc>
          <w:tcPr>
            <w:tcW w:type="dxa" w:w="2351"/>
            <w:shd w:val="clear" w:color="auto" w:fill="DCE6F1"/>
          </w:tcPr>
          <w:p>
            <w:r>
              <w:t>SB3 DQN (pré-treinado, 50k steps)</w:t>
            </w:r>
          </w:p>
        </w:tc>
        <w:tc>
          <w:tcPr>
            <w:tcW w:type="dxa" w:w="2351"/>
            <w:shd w:val="clear" w:color="auto" w:fill="DCE6F1"/>
          </w:tcPr>
          <w:p>
            <w:r>
              <w:t>~0.6 ms (inferência MLP)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0.005 J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SLM</w:t>
            </w:r>
          </w:p>
        </w:tc>
        <w:tc>
          <w:tcPr>
            <w:tcW w:type="dxa" w:w="2351"/>
          </w:tcPr>
          <w:p>
            <w:r>
              <w:t>Edge AI embarcada (Gemma 4 26B)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50 ms (NPU benchmark)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0.100 J</w:t>
            </w:r>
          </w:p>
        </w:tc>
      </w:tr>
      <w:tr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LLM</w:t>
            </w:r>
          </w:p>
        </w:tc>
        <w:tc>
          <w:tcPr>
            <w:tcW w:type="dxa" w:w="2351"/>
            <w:shd w:val="clear" w:color="auto" w:fill="DCE6F1"/>
          </w:tcPr>
          <w:p>
            <w:r>
              <w:t>Cloud AI centralizada (Gemini 3.1 Flash Lite)</w:t>
            </w:r>
          </w:p>
        </w:tc>
        <w:tc>
          <w:tcPr>
            <w:tcW w:type="dxa" w:w="2351"/>
            <w:shd w:val="clear" w:color="auto" w:fill="DCE6F1"/>
          </w:tcPr>
          <w:p>
            <w:r>
              <w:t>~1-6 s (round-trip, inclui rate-limit)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5.000 J</w:t>
            </w:r>
          </w:p>
        </w:tc>
      </w:tr>
    </w:tbl>
    <w:p/>
    <w:p>
      <w:pPr>
        <w:pStyle w:val="Heading2"/>
        <w:spacing w:before="240" w:after="120"/>
      </w:pPr>
      <w:r>
        <w:rPr>
          <w:color w:val="1F497D"/>
        </w:rPr>
        <w:t>3.2. Constelação e Carga de Trabalho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constelação é composta por três satélites LEO em regiões geográficas distintas, com hardware heterogêneo propositalmente configurado para evidenciar os constraints de roteamento: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SAT ID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Região MEC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Capacidade Bat.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SOC Inicial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Fase Orbital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BRAZIL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75 Wh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 s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EUROPE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50 Wh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75%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1800 s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USA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100 Wh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85%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3600 s</w:t>
            </w:r>
          </w:p>
        </w:tc>
      </w:tr>
    </w:tbl>
    <w:p/>
    <w:p>
      <w:pPr>
        <w:spacing w:after="80" w:before="0"/>
        <w:jc w:val="both"/>
      </w:pPr>
      <w:r>
        <w:rPr>
          <w:b w:val="0"/>
          <w:i w:val="0"/>
          <w:sz w:val="22"/>
        </w:rPr>
        <w:t>A chegada de tarefas segue processo de Poisson (λ = 4 req/min), com distribuição uniforme entre as três regiões. Cada tarefa consome 500 MB de RAM por 60 segundos simulados (TASK_DURATION_S), após os quais o recurso é liberado. Satélites com 4096 MB de RAM total suportam até 8 tarefas simultâneas antes de saturar.</w:t>
      </w:r>
    </w:p>
    <w:p>
      <w:pPr>
        <w:pStyle w:val="Heading2"/>
        <w:spacing w:before="240" w:after="120"/>
      </w:pPr>
      <w:r>
        <w:rPr>
          <w:color w:val="1F497D"/>
        </w:rPr>
        <w:t>3.3. Anomalias Semânticas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10% das tarefas (anomaly_rate = 0.10) recebem uma restrição semântica sorteada equiprovavelmente entre três tipos. Estes cenários são o núcleo do teste de capacidade cognitiva de cada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Tipo de Anomalia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Comportamento Correto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Quem acerta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restricao_gdpr_europa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Rotear exclusivamente para EUROPE; drop se indisponível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SLM, LLM (raciocínio semântico)</w:t>
            </w:r>
          </w:p>
        </w:tc>
      </w:tr>
      <w:tr>
        <w:tc>
          <w:tcPr>
            <w:tcW w:type="dxa" w:w="3135"/>
            <w:shd w:val="clear" w:color="auto" w:fill="DCE6F1"/>
          </w:tcPr>
          <w:p>
            <w:r>
              <w:rPr>
                <w:sz w:val="19"/>
              </w:rPr>
              <w:t>restricao_soberania_brasil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19"/>
              </w:rPr>
              <w:t>Rotear exclusivamente para BRAZIL; drop se indisponível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19"/>
              </w:rPr>
              <w:t>SLM, LLM (raciocínio semântico)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falha_hardware_camera_esq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Drop obrigatório (hardware fatal)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Todos (se drop = correto)</w:t>
            </w:r>
          </w:p>
        </w:tc>
      </w:tr>
    </w:tbl>
    <w:p/>
    <w:p>
      <w:pPr>
        <w:spacing w:after="80" w:before="0"/>
        <w:jc w:val="both"/>
      </w:pPr>
      <w:r>
        <w:rPr>
          <w:b w:val="0"/>
          <w:i w:val="0"/>
          <w:sz w:val="22"/>
        </w:rPr>
        <w:t>O DRL é intencionalmente uma 'caixa-preta' para o tipo de anomalia: sabe que há uma anomalia (has_anomaly=1 no estado), mas não conhece sua semântica. Isso preserva o invariante científico: DRL aprende um comportamento mais conservador em tarefas anômalas, mas não implementa as regras de GDPR ou soberania. Esta limitação justifica menor semantic_compliance_rate vs. SLM/LLM.</w:t>
      </w:r>
    </w:p>
    <w:p>
      <w:pPr>
        <w:pStyle w:val="Heading2"/>
        <w:spacing w:before="240" w:after="120"/>
      </w:pPr>
      <w:r>
        <w:rPr>
          <w:color w:val="1F497D"/>
        </w:rPr>
        <w:t>3.4. Implementação dos Engines</w:t>
      </w:r>
    </w:p>
    <w:p>
      <w:pPr>
        <w:pStyle w:val="Heading3"/>
        <w:spacing w:before="240" w:after="120"/>
      </w:pPr>
      <w:r>
        <w:rPr>
          <w:color w:val="1F497D"/>
        </w:rPr>
        <w:t>3.4.1. BASELINE (Heurística Gulosa)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Filtra candidatos por: (1) região compatível com a tarefa, (2) SOC de bateria &gt; 20%, (3) RAM livre ≥ 500 MB. Seleciona o satélite com maior bateria, usando RAM como critério de desempate. Não possui capacidade semântica — conformidade com anomalias ocorre apenas por acidente geográfico.</w:t>
      </w:r>
    </w:p>
    <w:p>
      <w:pPr>
        <w:pStyle w:val="Heading3"/>
        <w:spacing w:before="240" w:after="120"/>
      </w:pPr>
      <w:r>
        <w:rPr>
          <w:color w:val="1F497D"/>
        </w:rPr>
        <w:t>3.4.2. DRL (SB3 DQN)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Agente SB3 DQN pré-treinado em 50.000 episódios sintéticos via NTNMECEnv (Gymnasium). Observação: vetor de 13 features — região da tarefa (one-hot 3D), has_anomaly, bateria/RAM/solar dos 3 satélites. Ações: Discrete(4) → SAT-1 | SAT-2 | SAT-15 | DROP. Recompensa: +1.0 por roteamento válido (bônus proporcional à bateria), -1.0 por drop voluntário indevido. Inferência determinística na simulação: ~0.6 ms (MLP forward pass).</w:t>
      </w:r>
    </w:p>
    <w:p>
      <w:pPr>
        <w:pStyle w:val="Heading3"/>
        <w:spacing w:before="240" w:after="120"/>
      </w:pPr>
      <w:r>
        <w:rPr>
          <w:color w:val="1F497D"/>
        </w:rPr>
        <w:t>3.4.3. SLM (Edge AI Embarcada)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Modelo Gemma 4 26B via Gemini API, simulando um SLM embarcado em NPU satelital. Opera em modo assíncrono: receive_task() enfileira a tarefa com ready_time = max(t, npu_busy_until) + 50 ms. O modelo recebe prompt estruturado com o estado completo da frota (battery_pct, solar_charging, ram_free) e as cinco regras semânticas de roteamento. Rate limiter: janela deslizante de 14 RPM.</w:t>
      </w:r>
    </w:p>
    <w:p>
      <w:pPr>
        <w:pStyle w:val="Heading3"/>
        <w:spacing w:before="240" w:after="120"/>
      </w:pPr>
      <w:r>
        <w:rPr>
          <w:color w:val="1F497D"/>
        </w:rPr>
        <w:t>3.4.4. LLM (Cloud AI Centralizada)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Modelo Gemini 3.1 Flash Lite via API, representando um orquestrador centralizado na estação terrestre. Mesmo prompt e regras semânticas do SLM. Rate limiter: janela deslizante de 10 RPM. Latência real medida: ~6 s/decisão (round-trip + rate limiting). Consome 5 J/decisão, 5000× mais que o BASELINE.</w:t>
      </w:r>
    </w:p>
    <w:p>
      <w:pPr>
        <w:pStyle w:val="Heading1"/>
        <w:spacing w:before="240" w:after="120"/>
      </w:pPr>
      <w:r>
        <w:rPr>
          <w:color w:val="1F497D"/>
        </w:rPr>
        <w:t>4. Desafios Técnicos Superados</w:t>
      </w:r>
    </w:p>
    <w:p>
      <w:pPr>
        <w:pStyle w:val="ListNumber"/>
        <w:spacing w:after="80"/>
      </w:pPr>
      <w:r>
        <w:rPr>
          <w:b/>
          <w:sz w:val="21"/>
        </w:rPr>
        <w:t xml:space="preserve">RAM sem recuperação (crítico): </w:t>
      </w:r>
      <w:r>
        <w:rPr>
          <w:sz w:val="21"/>
        </w:rPr>
        <w:t>Tarefas consumiam 500 MB permanentemente, esgotando 4096 MB após ~8 tarefas/satélite. Todos os drops posteriores eram por RAM, não por decisão do scheduler. Solução: lista active_tasks com timer de 60s — RAM liberada após processamento simulado.</w:t>
      </w:r>
    </w:p>
    <w:p>
      <w:pPr>
        <w:pStyle w:val="ListNumber"/>
        <w:spacing w:after="80"/>
      </w:pPr>
      <w:r>
        <w:rPr>
          <w:b/>
          <w:sz w:val="21"/>
        </w:rPr>
        <w:t>DRL stub sem aprendizado: A implementação inicial usava pesos fixos (0.6×bat + 0.4×RAM) sem exploração. Substituído por SB3 DQN (Stable Baselines3) com ambiente Gymnasium customizado, treinado em 50.000 episódios sintéticos e inferência determinística durante a simulação.</w:t>
      </w:r>
      <w:r>
        <w:rPr>
          <w:sz w:val="21"/>
        </w:rPr>
      </w:r>
    </w:p>
    <w:p>
      <w:pPr>
        <w:pStyle w:val="ListNumber"/>
        <w:spacing w:after="80"/>
      </w:pPr>
      <w:r>
        <w:rPr>
          <w:b/>
          <w:sz w:val="21"/>
        </w:rPr>
        <w:t xml:space="preserve">Latência SLM: wall-clock vs. NPU: </w:t>
      </w:r>
      <w:r>
        <w:rPr>
          <w:sz w:val="21"/>
        </w:rPr>
        <w:t>O CSV registrava a latência real da chamada à API Gemini (~600 ms) em vez da latência simulada do NPU embarcado (50 ms). Corrigido para usar SLM_NPU_LATENCY_MS como métrica canônica — a latência wall-clock é mantida apenas para diagnóstico.</w:t>
      </w:r>
    </w:p>
    <w:p>
      <w:pPr>
        <w:pStyle w:val="ListNumber"/>
        <w:spacing w:after="80"/>
      </w:pPr>
      <w:r>
        <w:rPr>
          <w:b/>
          <w:sz w:val="21"/>
        </w:rPr>
        <w:t xml:space="preserve">LLM sem prompt semântico e sem rate limiter: </w:t>
      </w:r>
      <w:r>
        <w:rPr>
          <w:sz w:val="21"/>
        </w:rPr>
        <w:t>O prompt original do LLM não incluía o campo semantic_anomaly nem as regras de GDPR/soberania, tornando a comparação com o SLM injusta. Corrigido com prompt completo e rate limiter de janela deslizante (14 RPM) idêntico ao SLM.</w:t>
      </w:r>
    </w:p>
    <w:p>
      <w:pPr>
        <w:pStyle w:val="ListNumber"/>
        <w:spacing w:after="80"/>
      </w:pPr>
      <w:r>
        <w:rPr>
          <w:b/>
          <w:sz w:val="21"/>
        </w:rPr>
        <w:t xml:space="preserve">Modelo orbital de eclipse: </w:t>
      </w:r>
      <w:r>
        <w:rPr>
          <w:sz w:val="21"/>
        </w:rPr>
        <w:t>A variável battery foi inicialmente removida por aparente falta de realismo (satélite 'morrendo'). A pesquisa revelou que ~35% de cada órbita LEO são em eclipse sem energia solar, tornando SOC dinâmico um constraint físico legítimo. Reintroduzida com modelo sinusoidal orbital (período 5400 s) e capacidades heterogêneas.</w:t>
      </w:r>
    </w:p>
    <w:p>
      <w:pPr>
        <w:pStyle w:val="ListNumber"/>
        <w:spacing w:after="80"/>
      </w:pPr>
      <w:r>
        <w:rPr>
          <w:b/>
          <w:sz w:val="21"/>
        </w:rPr>
        <w:t xml:space="preserve">Backoff em rate limits HTTP 429: </w:t>
      </w:r>
      <w:r>
        <w:rPr>
          <w:sz w:val="21"/>
        </w:rPr>
        <w:t>Ao atingir o limite da API Gemini, as retentativas do SLM e LLM faziam continue imediatamente, gerando novos 429. Corrigido com backoff exponencial: time.sleep(30 × tentativa) antes de cada retenativa.</w:t>
      </w:r>
    </w:p>
    <w:p/>
    <w:p>
      <w:pPr>
        <w:pStyle w:val="Heading1"/>
        <w:spacing w:before="240" w:after="120"/>
      </w:pPr>
      <w:r>
        <w:rPr>
          <w:color w:val="1F497D"/>
        </w:rPr>
        <w:t>5. Resultados e Análise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Os experimentos foram executados com seed determinístico (random.seed(0)), garantindo que todos os engines recebam a mesma sequência de tarefas. A janela de simulação é de 20 minutos (1200 s), com steps de 5 s (240 ticks). Nota: o engine DRL usa random.random() internamente para inferência MLP, resultando em 65 tarefas vs. 69 nos demais engines — efeito esperado do design.</w:t>
      </w:r>
    </w:p>
    <w:p>
      <w:pPr>
        <w:pStyle w:val="Heading2"/>
        <w:spacing w:before="240" w:after="120"/>
      </w:pPr>
      <w:r>
        <w:rPr>
          <w:color w:val="1F497D"/>
        </w:rPr>
        <w:t>5.1. Tabela Comparativa de KPIs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1881"/>
            <w:shd w:val="clear" w:color="auto" w:fill="1F497D"/>
          </w:tcPr>
          <w:p>
            <w:r>
              <w:t>DRL (SB3)</w:t>
            </w:r>
          </w:p>
        </w:tc>
        <w:tc>
          <w:tcPr>
            <w:tcW w:type="dxa" w:w="1881"/>
            <w:shd w:val="clear" w:color="auto" w:fill="1F497D"/>
          </w:tcPr>
          <w:p>
            <w:r>
              <w:t>SLM (Gemma 4)</w:t>
            </w:r>
          </w:p>
        </w:tc>
        <w:tc>
          <w:tcPr>
            <w:tcW w:type="dxa" w:w="1881"/>
            <w:shd w:val="clear" w:color="auto" w:fill="1F497D"/>
          </w:tcPr>
          <w:p>
            <w:r>
              <w:t>LLM (Gemini 3.1)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Total de tarefas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69</w:t>
            </w:r>
          </w:p>
        </w:tc>
        <w:tc>
          <w:tcPr>
            <w:tcW w:type="dxa" w:w="1881"/>
          </w:tcPr>
          <w:p>
            <w:r>
              <w:t>65</w:t>
            </w:r>
          </w:p>
        </w:tc>
        <w:tc>
          <w:tcPr>
            <w:tcW w:type="dxa" w:w="1881"/>
          </w:tcPr>
          <w:p>
            <w:r>
              <w:t>69</w:t>
            </w:r>
          </w:p>
        </w:tc>
        <w:tc>
          <w:tcPr>
            <w:tcW w:type="dxa" w:w="1881"/>
          </w:tcPr>
          <w:p>
            <w:r>
              <w:t>69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Taxa de sucesso</w:t>
            </w:r>
          </w:p>
        </w:tc>
        <w:tc>
          <w:tcPr>
            <w:tcW w:type="dxa" w:w="1881"/>
            <w:shd w:val="clear" w:color="auto" w:fill="DCE6F1"/>
          </w:tcPr>
          <w:p>
            <w:r>
              <w:t>100.0%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100.0%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79.7%</w:t>
            </w:r>
          </w:p>
        </w:tc>
        <w:tc>
          <w:tcPr>
            <w:tcW w:type="dxa" w:w="1881"/>
            <w:shd w:val="clear" w:color="auto" w:fill="DCE6F1"/>
          </w:tcPr>
          <w:p>
            <w:r>
              <w:t>95.7%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Drop rate</w:t>
            </w:r>
          </w:p>
        </w:tc>
        <w:tc>
          <w:tcPr>
            <w:tcW w:type="dxa" w:w="1881"/>
          </w:tcPr>
          <w:p>
            <w:r>
              <w:t>0.0%</w:t>
            </w:r>
          </w:p>
        </w:tc>
        <w:tc>
          <w:tcPr>
            <w:tcW w:type="dxa" w:w="1881"/>
          </w:tcPr>
          <w:p>
            <w:r>
              <w:t>0.0%</w:t>
            </w:r>
          </w:p>
        </w:tc>
        <w:tc>
          <w:tcPr>
            <w:tcW w:type="dxa" w:w="1881"/>
          </w:tcPr>
          <w:p>
            <w:r>
              <w:t>20.3%</w:t>
            </w:r>
          </w:p>
        </w:tc>
        <w:tc>
          <w:tcPr>
            <w:tcW w:type="dxa" w:w="1881"/>
          </w:tcPr>
          <w:p>
            <w:r>
              <w:t>4.3%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Latência média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~0 ms</w:t>
            </w:r>
          </w:p>
        </w:tc>
        <w:tc>
          <w:tcPr>
            <w:tcW w:type="dxa" w:w="1881"/>
            <w:shd w:val="clear" w:color="auto" w:fill="DCE6F1"/>
          </w:tcPr>
          <w:p>
            <w:r>
              <w:t>0.57 ms</w:t>
            </w:r>
          </w:p>
        </w:tc>
        <w:tc>
          <w:tcPr>
            <w:tcW w:type="dxa" w:w="1881"/>
            <w:shd w:val="clear" w:color="auto" w:fill="DCE6F1"/>
          </w:tcPr>
          <w:p>
            <w:r>
              <w:t>50 ms (NPU)</w:t>
            </w:r>
          </w:p>
        </w:tc>
        <w:tc>
          <w:tcPr>
            <w:tcW w:type="dxa" w:w="1881"/>
            <w:shd w:val="clear" w:color="auto" w:fill="DCE6F1"/>
          </w:tcPr>
          <w:p>
            <w:r>
              <w:t>6111.9 ms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Energia total</w:t>
            </w:r>
          </w:p>
        </w:tc>
        <w:tc>
          <w:tcPr>
            <w:tcW w:type="dxa" w:w="1881"/>
          </w:tcPr>
          <w:p>
            <w:r>
              <w:t>0.069 J</w:t>
            </w:r>
          </w:p>
        </w:tc>
        <w:tc>
          <w:tcPr>
            <w:tcW w:type="dxa" w:w="1881"/>
          </w:tcPr>
          <w:p>
            <w:r>
              <w:t>0.325 J</w:t>
            </w:r>
          </w:p>
        </w:tc>
        <w:tc>
          <w:tcPr>
            <w:tcW w:type="dxa" w:w="1881"/>
          </w:tcPr>
          <w:p>
            <w:r>
              <w:t>6.9 J</w:t>
            </w:r>
          </w:p>
        </w:tc>
        <w:tc>
          <w:tcPr>
            <w:tcW w:type="dxa" w:w="1881"/>
          </w:tcPr>
          <w:p>
            <w:r>
              <w:t>345.0 J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Energia/decisão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0.001 J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0.005 J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0.100 J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5.000 J</w:t>
            </w:r>
          </w:p>
        </w:tc>
      </w:tr>
      <w:tr>
        <w:tc>
          <w:tcPr>
            <w:tcW w:type="dxa" w:w="1881"/>
          </w:tcPr>
          <w:p>
            <w:r>
              <w:t>Eff. taxa de sucesso</w:t>
            </w:r>
          </w:p>
        </w:tc>
        <w:tc>
          <w:tcPr>
            <w:tcW w:type="dxa" w:w="1881"/>
          </w:tcPr>
          <w:p>
            <w:r>
              <w:t>91.3%</w:t>
            </w:r>
          </w:p>
        </w:tc>
        <w:tc>
          <w:tcPr>
            <w:tcW w:type="dxa" w:w="1881"/>
          </w:tcPr>
          <w:p>
            <w:r>
              <w:t>92.3%</w:t>
            </w:r>
          </w:p>
        </w:tc>
        <w:tc>
          <w:tcPr>
            <w:tcW w:type="dxa" w:w="1881"/>
          </w:tcPr>
          <w:p>
            <w:r>
              <w:t>78.3%</w:t>
            </w:r>
          </w:p>
        </w:tc>
        <w:tc>
          <w:tcPr>
            <w:tcW w:type="dxa" w:w="1881"/>
          </w:tcPr>
          <w:p>
            <w:r>
              <w:t>95.7%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Compliance em anomalias</w:t>
            </w:r>
          </w:p>
        </w:tc>
        <w:tc>
          <w:tcPr>
            <w:tcW w:type="dxa" w:w="1881"/>
            <w:shd w:val="clear" w:color="auto" w:fill="DCE6F1"/>
          </w:tcPr>
          <w:p>
            <w:r>
              <w:t>25.0%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28.6%</w:t>
            </w:r>
          </w:p>
        </w:tc>
        <w:tc>
          <w:tcPr>
            <w:tcW w:type="dxa" w:w="1881"/>
            <w:shd w:val="clear" w:color="auto" w:fill="DCE6F1"/>
          </w:tcPr>
          <w:p>
            <w:r>
              <w:t>75.0%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100.0%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RAM utilização final</w:t>
            </w:r>
          </w:p>
        </w:tc>
        <w:tc>
          <w:tcPr>
            <w:tcW w:type="dxa" w:w="1881"/>
          </w:tcPr>
          <w:p>
            <w:r>
              <w:t>12.2%</w:t>
            </w:r>
          </w:p>
        </w:tc>
        <w:tc>
          <w:tcPr>
            <w:tcW w:type="dxa" w:w="1881"/>
          </w:tcPr>
          <w:p>
            <w:r>
              <w:t>20.3%</w:t>
            </w:r>
          </w:p>
        </w:tc>
        <w:tc>
          <w:tcPr>
            <w:tcW w:type="dxa" w:w="1881"/>
          </w:tcPr>
          <w:p>
            <w:r>
              <w:t>8.1%</w:t>
            </w:r>
          </w:p>
        </w:tc>
        <w:tc>
          <w:tcPr>
            <w:tcW w:type="dxa" w:w="1881"/>
          </w:tcPr>
          <w:p>
            <w:r>
              <w:t>12.2%</w:t>
            </w:r>
          </w:p>
        </w:tc>
      </w:tr>
    </w:tbl>
    <w:p/>
    <w:p>
      <w:r>
        <w:rPr>
          <w:b/>
          <w:i/>
          <w:sz w:val="18"/>
        </w:rPr>
        <w:t>† DRL: engine usa random.random() internamente, deslocando a seed do gerador de Poisson — resultando em 65 tarefas vs. 69 nos demais engines. SLM: taxa de sucesso limitada por instabilidade da API Gemma 4 em fase de protótipo (HTTP 500 → drops).</w:t>
      </w:r>
      <w:r>
        <w:rPr>
          <w:i/>
          <w:sz w:val="18"/>
        </w:rPr>
      </w:r>
      <w:r>
        <w:rPr>
          <w:b/>
          <w:i/>
          <w:sz w:val="18"/>
        </w:rPr>
      </w:r>
      <w:r>
        <w:rPr>
          <w:i/>
          <w:sz w:val="18"/>
        </w:rPr>
      </w:r>
      <w:r>
        <w:rPr>
          <w:b/>
          <w:i/>
          <w:sz w:val="18"/>
        </w:rPr>
      </w:r>
      <w:r>
        <w:rPr>
          <w:i/>
          <w:sz w:val="18"/>
        </w:rPr>
      </w:r>
    </w:p>
    <w:p>
      <w:pPr>
        <w:pStyle w:val="Heading2"/>
        <w:spacing w:before="240" w:after="120"/>
      </w:pPr>
      <w:r>
        <w:rPr>
          <w:color w:val="1F497D"/>
        </w:rPr>
        <w:t>5.2. Eficiência Energética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diferencial mais dramático entre os engines é o consumo energético por decisão. A razão LLM/BASELINE é de 5000×, e LLM/SLM é de 50×. Em uma operação de 20 minutos com 69 tarefas, o LLM consumiria 345 J contra 0.069 J do BASELINE — uma diferença de 4 ordens de magnitude. Este resultado é a evidência quantitativa central para o argumento de que SLMs embarcados são preferíveis a LLMs centralizados para o caso de uso de orquestração por-tarefa em redes NTN.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tabela a seguir mostra o estado final das baterias dos satélites ao fim da simulação com o engine BASELINE — evidenciando o funcionamento do modelo de eclipse: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Satélite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Região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Capacidade</w:t>
            </w:r>
          </w:p>
        </w:tc>
        <w:tc>
          <w:tcPr>
            <w:tcW w:type="dxa" w:w="2351"/>
            <w:shd w:val="clear" w:color="auto" w:fill="1F497D"/>
          </w:tcPr>
          <w:p>
            <w:r>
              <w:t>SOC Final BASELINE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SAT-1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BRAZIL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75 Wh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61.9% (Solar ao final)</w:t>
            </w:r>
          </w:p>
        </w:tc>
      </w:tr>
      <w:tr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SAT-2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EUROPE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50 Wh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21.8% ⚠ (Eclipse — quase no threshold)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SAT-15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USA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100 Wh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53.4% (Eclipse ao final)</w:t>
            </w:r>
          </w:p>
        </w:tc>
      </w:tr>
    </w:tbl>
    <w:p/>
    <w:p>
      <w:pPr>
        <w:spacing w:after="80" w:before="0"/>
        <w:jc w:val="both"/>
      </w:pPr>
      <w:r>
        <w:rPr>
          <w:b w:val="0"/>
          <w:i w:val="0"/>
          <w:sz w:val="22"/>
        </w:rPr>
        <w:t>O SAT-2 (EUROPE, menor capacidade — 50 Wh) chegou a 21.8% ao fim da simulação, com 0.8 ponto percentual acima do threshold de segurança (20%). Isso demonstra que o modelo de eclipse é suficientemente agressivo para criar pressão real nos recursos energéticos, mas sem forçar drops artificiais com os parâmetros atuais. Em cenários com maior taxa de chegada (λ &gt; 4) ou janelas mais longas, o threshold seria atingido e drops por bateria emergiriam naturalmente.</w:t>
      </w:r>
    </w:p>
    <w:p>
      <w:pPr>
        <w:pStyle w:val="Heading2"/>
        <w:spacing w:before="240" w:after="120"/>
      </w:pPr>
      <w:r>
        <w:rPr>
          <w:color w:val="1F497D"/>
        </w:rPr>
        <w:t>5.3. Conformidade Semântica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métrica semantic_compliance_rate mede a fração de tarefas para as quais a decisão do engine foi semanticamente correta — incluindo tarefas sem anomalia (onde qualquer roteamento para a região certa é válido). A anomaly_compliance_rate isola apenas as tarefas com restrição semântica explícita: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BASELINE obteve 91.3% de compliance geral, mas apenas 25% nas tarefas anômalas — acerto por sorte geográfica, não por raciocínio. DRL (SB3 DQN), com sua caixa-preta intencional para tipos de anomalia, obteve 92.3% de effective_success_rate e 28.6% de compliance em anomalias. A melhora em relação ao BASELINE (25%) decorre do DQN aprender um comportamento marginalmente mais conservador em tarefas anômalas, sem contudo conhecer as regras semânticas.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SLM (Gemma 4 26B) obteve 75.0% de compliance em anomalias e 78.3% de effective_success_rate. A taxa de sucesso menor que BASELINE/DRL reflete instabilidade da API Gemma 4 em fase de protótipo (erros HTTP 500 → drops forçados), não uma limitação cognitiva: nos casos em que o modelo respondeu, o raciocínio semântico foi consistente. O LLM (Gemini 3.1 Flash Lite) alcançou 100.0% de compliance em anomalias e 95.7% de effective_success_rate — confirmando a hipótese central: modelos de linguagem superam heurísticas em 3–4× para raciocínio semântico geopolítico.</w:t>
      </w:r>
    </w:p>
    <w:p>
      <w:pPr>
        <w:pStyle w:val="Heading2"/>
        <w:spacing w:before="240" w:after="120"/>
      </w:pPr>
      <w:r>
        <w:rPr>
          <w:color w:val="1F497D"/>
        </w:rPr>
        <w:t>5.4. Latência de Decisão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BASELINE e DRL operam em microssegundos (~0 ms), adequados para qualquer frequência de chegada de tarefas. SLM, com 50 ms de latência NPU simulada, é adequado para fluxos de até ~20 req/s (limitação do NPU, não do roteamento). LLM, com ~3-10 segundos de latência real (API round-trip via Internet), inviabiliza uso em aplicações tempo-real mas é aceitável para orquestração de tarefas pesadas de longa duração (análise de imagens orbitais, relatórios).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Esta distinção reforça a arquitetura híbrida do plano original: LLM como orquestrador macro (decisões periódicas, visão global da frota) e SLM como orquestrador micro (por tarefa, edge, latência baixa). A implementação atual testa os dois como substitutos diretos; a arquitetura híbrida é trabalho futuro.</w:t>
      </w:r>
    </w:p>
    <w:p>
      <w:pPr>
        <w:pStyle w:val="Heading1"/>
        <w:spacing w:before="240" w:after="120"/>
      </w:pPr>
      <w:r>
        <w:rPr>
          <w:color w:val="1F497D"/>
        </w:rPr>
        <w:t>6. Conclusão</w:t>
      </w:r>
    </w:p>
    <w:p>
      <w:pPr>
        <w:pStyle w:val="Heading2"/>
        <w:spacing w:before="240" w:after="120"/>
      </w:pPr>
      <w:r>
        <w:rPr>
          <w:color w:val="1F497D"/>
        </w:rPr>
        <w:t>6.1. Contribuições da Segunda Etapa</w:t>
      </w:r>
    </w:p>
    <w:p>
      <w:pPr>
        <w:pStyle w:val="ListBullet"/>
        <w:spacing w:after="40"/>
      </w:pPr>
      <w:r>
        <w:rPr>
          <w:sz w:val="21"/>
        </w:rPr>
        <w:t>Framework multi-engine comparativo com 4 paradigmas de orquestração no mesmo ambiente SimPy, com seed determinístico e métricas unificadas.</w:t>
      </w:r>
    </w:p>
    <w:p>
      <w:pPr>
        <w:pStyle w:val="ListBullet"/>
        <w:spacing w:after="40"/>
      </w:pPr>
      <w:r>
        <w:rPr>
          <w:sz w:val="21"/>
        </w:rPr>
        <w:t>DRL com SB3 DQN pré-treinado em 50.000 episódios (NTNMECEnv Gymnasium): o agente aprende roteamento por recursos mas não conhece o tipo de anomalia — preservando o invariante científico que justifica a comparação com SLM/LLM.</w:t>
      </w:r>
    </w:p>
    <w:p>
      <w:pPr>
        <w:pStyle w:val="ListBullet"/>
        <w:spacing w:after="40"/>
      </w:pPr>
      <w:r>
        <w:rPr>
          <w:sz w:val="21"/>
        </w:rPr>
        <w:t>Modelo físico de eclipse orbital para bateria: sinusoide de 90 minutos, 3 satélites com fases e capacidades distintas, threshold de segurança de 20% SOC.</w:t>
      </w:r>
    </w:p>
    <w:p>
      <w:pPr>
        <w:pStyle w:val="ListBullet"/>
        <w:spacing w:after="40"/>
      </w:pPr>
      <w:r>
        <w:rPr>
          <w:sz w:val="21"/>
        </w:rPr>
        <w:t>Premissa ISL ideal: link_quality removido — drops passam a refletir esgotamento real de recursos (RAM, bateria), não visibilidade orbital.</w:t>
      </w:r>
    </w:p>
    <w:p>
      <w:pPr>
        <w:pStyle w:val="ListBullet"/>
        <w:spacing w:after="40"/>
      </w:pPr>
      <w:r>
        <w:rPr>
          <w:sz w:val="21"/>
        </w:rPr>
        <w:t>Latência SLM corrigida para benchmark de NPU (50 ms), tornando a comparação entre engines metodologicamente justa.</w:t>
      </w:r>
    </w:p>
    <w:p>
      <w:pPr>
        <w:pStyle w:val="ListBullet"/>
        <w:spacing w:after="40"/>
      </w:pPr>
      <w:r>
        <w:rPr>
          <w:sz w:val="21"/>
        </w:rPr>
        <w:t>Prompt semântico unificado em SLM e LLM, com mesmas cinco regras de roteamento (GDPR, soberania, hardware, anomalia geral).</w:t>
      </w:r>
    </w:p>
    <w:p/>
    <w:p>
      <w:pPr>
        <w:pStyle w:val="Heading2"/>
        <w:spacing w:before="240" w:after="120"/>
      </w:pPr>
      <w:r>
        <w:rPr>
          <w:color w:val="1F497D"/>
        </w:rPr>
        <w:t>6.2. Trade-offs Identificados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Os resultados confirmam três trade-offs estruturais que definem o escopo de aplicabilidade de cada paradigma:</w:t>
      </w:r>
    </w:p>
    <w:p>
      <w:pPr>
        <w:spacing w:after="80"/>
        <w:ind w:left="283"/>
        <w:jc w:val="both"/>
      </w:pPr>
      <w:r>
        <w:rPr>
          <w:b/>
          <w:sz w:val="21"/>
        </w:rPr>
        <w:t xml:space="preserve">▪ Capacidade cognitiva vs. custo operacional: </w:t>
      </w:r>
      <w:r>
        <w:rPr>
          <w:sz w:val="21"/>
        </w:rPr>
        <w:t>SLM e LLM acertam restrições semânticas que BASELINE e DRL ignoram, mas pagam 100× a 5000× mais energia por decisão. O custo cognitivo é economicamente justificável apenas quando a penalidade de uma decisão semanticamente errada (violação de GDPR, multas regulatórias) supera o custo energético.</w:t>
      </w:r>
    </w:p>
    <w:p>
      <w:pPr>
        <w:spacing w:after="80"/>
        <w:ind w:left="283"/>
        <w:jc w:val="both"/>
      </w:pPr>
      <w:r>
        <w:rPr>
          <w:b/>
          <w:sz w:val="21"/>
        </w:rPr>
        <w:t xml:space="preserve">▪ Latência vs. riqueza de contexto: </w:t>
      </w:r>
      <w:r>
        <w:rPr>
          <w:sz w:val="21"/>
        </w:rPr>
        <w:t>BASELINE e DRL decidem em microssegundos com estado mínimo. SLM (50 ms) processa o contexto completo da frota e regras de negócio via linguagem natural. LLM (~3-10 s) adiciona raciocínio global mas é impraticável para roteamento por-tarefa.</w:t>
      </w:r>
    </w:p>
    <w:p>
      <w:pPr>
        <w:spacing w:after="80"/>
        <w:ind w:left="283"/>
        <w:jc w:val="both"/>
      </w:pPr>
      <w:r>
        <w:rPr>
          <w:b/>
          <w:sz w:val="21"/>
        </w:rPr>
        <w:t>▪ Aprendizado offline vs. regras explícitas: DRL (SB3 DQN) pré-treinado atingiu 92.3% de effective_success_rate — comparável ao BASELINE (91.3%) — mas sem capacidade semântica (28.6% vs. 100.0% do LLM). SLM/LLM aplicam regras zero-shot sem treinamento no domínio específico.</w:t>
      </w:r>
      <w:r>
        <w:rPr>
          <w:sz w:val="21"/>
        </w:rPr>
      </w:r>
    </w:p>
    <w:p>
      <w:pPr>
        <w:pStyle w:val="Heading2"/>
        <w:spacing w:before="240" w:after="120"/>
      </w:pPr>
      <w:r>
        <w:rPr>
          <w:color w:val="1F497D"/>
        </w:rPr>
        <w:t>6.3. Trabalhos Futuros</w:t>
      </w:r>
    </w:p>
    <w:p>
      <w:pPr>
        <w:pStyle w:val="ListBullet"/>
        <w:spacing w:after="40"/>
      </w:pPr>
      <w:r>
        <w:t>✓ Concluído: SLM e LLM re-executados com arquitetura final (eclipse orbital, ISL ideal, anomalias semânticas completas).</w:t>
      </w:r>
    </w:p>
    <w:p>
      <w:pPr>
        <w:pStyle w:val="ListBullet"/>
        <w:spacing w:after="40"/>
      </w:pPr>
      <w:r>
        <w:rPr>
          <w:sz w:val="21"/>
        </w:rPr>
        <w:t>Arquitetura híbrida LLM macro + SLM micro: LLM chamado periodicamente para reconfiguração global, SLM para cada tarefa (conforme plano original).</w:t>
      </w:r>
    </w:p>
    <w:p>
      <w:pPr>
        <w:pStyle w:val="ListBullet"/>
        <w:spacing w:after="40"/>
      </w:pPr>
      <w:r>
        <w:rPr>
          <w:sz w:val="21"/>
        </w:rPr>
        <w:t>Extensão da janela de simulação (ex.: 2 horas) para permitir convergência real do DRL e observação de múltiplos ciclos de eclipse.</w:t>
      </w:r>
    </w:p>
    <w:p>
      <w:pPr>
        <w:pStyle w:val="ListBullet"/>
        <w:spacing w:after="40"/>
      </w:pPr>
      <w:r>
        <w:rPr>
          <w:sz w:val="21"/>
        </w:rPr>
        <w:t>Cenários de stress com λ &gt; 4 req/min ou falha de satélite para testar resiliência do sistema e drops por bateria.</w:t>
      </w:r>
    </w:p>
    <w:p>
      <w:pPr>
        <w:pStyle w:val="ListBullet"/>
        <w:spacing w:after="40"/>
      </w:pPr>
      <w:r>
        <w:rPr>
          <w:sz w:val="21"/>
        </w:rPr>
        <w:t>Quantificação do valor das anomalias semânticas: comparar o impacto econômico/regulatório de decisões não-conformes vs. custo de SLM/LLM.</w:t>
      </w:r>
    </w:p>
    <w:p/>
    <w:p>
      <w:pPr>
        <w:pStyle w:val="Heading1"/>
        <w:spacing w:before="240" w:after="120"/>
      </w:pPr>
      <w:r>
        <w:rPr>
          <w:color w:val="1F497D"/>
        </w:rPr>
        <w:t>7. Exemplo de Output — Engine BASELINE</w:t>
      </w:r>
    </w:p>
    <w:p>
      <w:pPr>
        <w:spacing w:after="120"/>
        <w:ind w:left="567"/>
      </w:pPr>
      <w:r>
        <w:rPr>
          <w:rFonts w:ascii="Courier New" w:hAnsi="Courier New"/>
          <w:color w:val="005500"/>
          <w:sz w:val="18"/>
        </w:rPr>
        <w:t>============================================</w:t>
        <w:br/>
        <w:t xml:space="preserve">         MEC ORCHESTRATOR REPORT</w:t>
        <w:br/>
        <w:t>============================================</w:t>
        <w:br/>
        <w:t>SAT 1 (BRAZIL)</w:t>
        <w:br/>
        <w:t xml:space="preserve">  Battery SOC:     61.9% (75Wh) | Solar</w:t>
        <w:br/>
        <w:t xml:space="preserve">  RAM Free:        3096 MB</w:t>
        <w:br/>
        <w:t xml:space="preserve">  Tasks Completed: 24</w:t>
        <w:br/>
        <w:t>----------------------</w:t>
        <w:br/>
        <w:t>SAT 2 (EUROPE)</w:t>
        <w:br/>
        <w:t xml:space="preserve">  Battery SOC:     21.8% (50Wh) | Eclipse  ⚠ próximo ao threshold 20%</w:t>
        <w:br/>
        <w:t xml:space="preserve">  RAM Free:        3596 MB</w:t>
        <w:br/>
        <w:t xml:space="preserve">  Tasks Completed: 34</w:t>
        <w:br/>
        <w:t>----------------------</w:t>
        <w:br/>
        <w:t>SAT 15 (USA)</w:t>
        <w:br/>
        <w:t xml:space="preserve">  Battery SOC:     53.4% (100Wh) | Eclipse</w:t>
        <w:br/>
        <w:t xml:space="preserve">  RAM Free:        4096 MB</w:t>
        <w:br/>
        <w:t xml:space="preserve">  Tasks Completed: 11</w:t>
        <w:br/>
        <w:t>----------------------</w:t>
        <w:br/>
        <w:t>TOTAL TASKS GENERATED:    69</w:t>
        <w:br/>
        <w:t>TOTAL COMPLETED:          69</w:t>
        <w:br/>
        <w:t>TOTAL REJECTED:           0</w:t>
        <w:br/>
        <w:t>SUCCESS RATE:             100.0%</w:t>
        <w:br/>
        <w:t>AVG LATENCY:              0.006 ms</w:t>
        <w:br/>
        <w:t>TOTAL ENERGY:             0.069 J</w:t>
        <w:br/>
        <w:t>SEMANTIC COMPLIANCE:      63/69 (91.3%)</w:t>
        <w:br/>
        <w:t>ANOMALY COMPLIANCE:       2/8</w:t>
        <w:br/>
        <w:t>============================================</w:t>
        <w:br/>
        <w:t>[MEC] Metricas salvas: logs/mec_metrics_BASELINE.csv | logs/mec_summary_BASELINE.json</w:t>
      </w:r>
    </w:p>
    <w:p>
      <w:pPr>
        <w:pStyle w:val="Heading1"/>
        <w:spacing w:before="240" w:after="120"/>
      </w:pPr>
      <w:r>
        <w:rPr>
          <w:color w:val="1F497D"/>
        </w:rPr>
        <w:t>Referências</w:t>
      </w:r>
    </w:p>
    <w:p>
      <w:pPr>
        <w:spacing w:after="80"/>
        <w:ind w:left="283" w:hanging="283"/>
      </w:pPr>
      <w:r>
        <w:rPr>
          <w:sz w:val="20"/>
        </w:rPr>
        <w:t>Jiang, Q. et al. (2024). "Deep Reinforcement Learning and Edge Computing for Multisatellite On-Orbit Task Scheduling," IEEE Transactions on Aerospace and Electronic Systems.</w:t>
      </w:r>
    </w:p>
    <w:p>
      <w:pPr>
        <w:spacing w:after="80"/>
        <w:ind w:left="283" w:hanging="283"/>
      </w:pPr>
      <w:r>
        <w:rPr>
          <w:sz w:val="20"/>
        </w:rPr>
        <w:t>Lee, W., &amp; Park, J. (2024). "LLM-Empowered Resource Allocation in Wireless Communications Systems," arXiv preprint arXiv:2408.02944.</w:t>
      </w:r>
    </w:p>
    <w:p>
      <w:pPr>
        <w:spacing w:after="80"/>
        <w:ind w:left="283" w:hanging="283"/>
      </w:pPr>
      <w:r>
        <w:rPr>
          <w:sz w:val="20"/>
        </w:rPr>
        <w:t>Deng, S. et al. (2020). "Edge Intelligence: The Confluence of Edge Computing and Artificial Intelligence," IEEE Internet of Things Journal.</w:t>
      </w:r>
    </w:p>
    <w:p>
      <w:pPr>
        <w:spacing w:after="80"/>
        <w:ind w:left="283" w:hanging="283"/>
      </w:pPr>
      <w:r>
        <w:rPr>
          <w:sz w:val="20"/>
        </w:rPr>
        <w:t>3GPP Release 17 (2022). "Study on New Radio (NR) to support non-terrestrial networks," TR 38.821.</w:t>
      </w:r>
    </w:p>
    <w:p>
      <w:pPr>
        <w:spacing w:after="80"/>
        <w:ind w:left="283" w:hanging="283"/>
      </w:pPr>
      <w:r>
        <w:rPr>
          <w:sz w:val="20"/>
        </w:rPr>
        <w:t>Sutton, R.S. &amp; Barto, A.G. (2018). Reinforcement Learning: An Introduction. MIT Press.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