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800" w:after="160"/>
        <w:jc w:val="center"/>
      </w:pPr>
      <w:r>
        <w:rPr>
          <w:b/>
          <w:color w:val="1F497D"/>
          <w:sz w:val="40"/>
        </w:rPr>
        <w:t>Relatório Final: Orquestração Cognitiva em Redes</w:t>
        <w:br/>
        <w:t>NTN-MEC via LLM/SLM/DRL</w:t>
      </w:r>
    </w:p>
    <w:p>
      <w:pPr>
        <w:jc w:val="center"/>
      </w:pPr>
      <w:r>
        <w:rPr>
          <w:sz w:val="24"/>
        </w:rPr>
        <w:t>Estudo Dirigido — Segunda Etapa</w:t>
        <w:br/>
      </w:r>
    </w:p>
    <w:p>
      <w:pPr>
        <w:spacing w:before="400"/>
        <w:jc w:val="center"/>
      </w:pPr>
      <w:r>
        <w:rPr>
          <w:sz w:val="22"/>
        </w:rPr>
        <w:t>Instituto de Computação — Universidade Estadual de Campinas (UNICAMP)</w:t>
        <w:br/>
        <w:br/>
        <w:t>Autor: Octávio Augusto Barquilia do Nascimento — RA 241327</w:t>
        <w:br/>
        <w:t>Orientador: Prof. Carlos Alberto Astudillo Trujillo</w:t>
        <w:br/>
        <w:t>Repositório: github.com/wocn-unicamp/CosmicBeats-Simulator</w:t>
        <w:br/>
        <w:t>Data: Maio de 2026</w:t>
      </w:r>
    </w:p>
    <w:p>
      <w:r>
        <w:br w:type="page"/>
      </w:r>
    </w:p>
    <w:p>
      <w:pPr>
        <w:pStyle w:val="Heading1"/>
        <w:spacing w:before="240" w:after="120"/>
      </w:pPr>
      <w:r>
        <w:rPr>
          <w:color w:val="1F497D"/>
        </w:rPr>
        <w:t>1. Introdução e Contexto</w:t>
      </w:r>
    </w:p>
    <w:p>
      <w:pPr>
        <w:spacing w:after="80" w:before="0"/>
        <w:jc w:val="both"/>
      </w:pPr>
      <w:r>
        <w:rPr>
          <w:b w:val="0"/>
          <w:i w:val="0"/>
          <w:sz w:val="22"/>
        </w:rPr>
        <w:t>Este relatório documenta a segunda etapa do Estudo Dirigido sobre Orquestração Cognitiva em Redes NTN-MEC (Non-Terrestrial Networks — Mobile Edge Computing). A primeira etapa estabeleceu a viabilidade de integrar um agente de inteligência artificial generativa (LLM Gemini) no motor de física do simulador CosmicBeats, demonstrando respeito à soberania de dados e gestão de energia/RAM em uma constelação LEO de dois satélites.</w:t>
      </w:r>
    </w:p>
    <w:p>
      <w:pPr>
        <w:spacing w:after="80" w:before="0"/>
        <w:jc w:val="both"/>
      </w:pPr>
      <w:r>
        <w:rPr>
          <w:b w:val="0"/>
          <w:i w:val="0"/>
          <w:sz w:val="22"/>
        </w:rPr>
        <w:t>A segunda etapa eleva a arquitetura a um patamar de pesquisa comparativa rigorosa, conforme previsto no plano de trabalho original. Quatro paradigmas de orquestração são implementados no mesmo ambiente de simulação controlado, permitindo a comparação direta de métricas científicas: taxa de sucesso, latência de decisão, consumo energético e conformidade semântica com restrições geopolíticas.</w:t>
      </w:r>
    </w:p>
    <w:p>
      <w:pPr>
        <w:pStyle w:val="Heading2"/>
        <w:spacing w:before="240" w:after="120"/>
      </w:pPr>
      <w:r>
        <w:rPr>
          <w:color w:val="1F497D"/>
        </w:rPr>
        <w:t>1.1. Motivação Científica</w:t>
      </w:r>
    </w:p>
    <w:p>
      <w:pPr>
        <w:spacing w:after="80" w:before="0"/>
        <w:jc w:val="both"/>
      </w:pPr>
      <w:r>
        <w:rPr>
          <w:b w:val="0"/>
          <w:i w:val="0"/>
          <w:sz w:val="22"/>
        </w:rPr>
        <w:t>A hipótese central do trabalho é que modelos de linguagem — tanto embarcados (SLM/edge) quanto centralizados (LLM/cloud) — superam algoritmos tradicionais em cenários com anomalias semânticas complexas (ex.: GDPR, soberania de dados, falhas de hardware), enquanto pagam um custo mensurável em latência e energia. Esta etapa quantifica esse trade-off com dados experimentais.</w:t>
      </w:r>
    </w:p>
    <w:p>
      <w:pPr>
        <w:pStyle w:val="Heading1"/>
        <w:spacing w:before="240" w:after="120"/>
      </w:pPr>
      <w:r>
        <w:rPr>
          <w:color w:val="1F497D"/>
        </w:rPr>
        <w:t>2. Adaptações em Relação ao Plano Original</w:t>
      </w:r>
    </w:p>
    <w:p>
      <w:pPr>
        <w:spacing w:after="80" w:before="0"/>
        <w:jc w:val="both"/>
      </w:pPr>
      <w:r>
        <w:rPr>
          <w:b w:val="0"/>
          <w:i w:val="0"/>
          <w:sz w:val="22"/>
        </w:rPr>
        <w:t>O plano de trabalho original previa o uso de bibliotecas de DRL de propósito geral (Stable Baselines3, PPO/DQN) via Gym Wrapper. Durante a implementação, três fatores motivaram pivôs metodológicos relevantes:</w:t>
      </w:r>
    </w:p>
    <w:p>
      <w:pPr>
        <w:pStyle w:val="Heading2"/>
        <w:spacing w:before="240" w:after="120"/>
      </w:pPr>
      <w:r>
        <w:rPr>
          <w:color w:val="1F497D"/>
        </w:rPr>
        <w:t>2.1. DRL: Q-Learning Tabular em Vez de PPO/DQN</w:t>
      </w:r>
    </w:p>
    <w:p>
      <w:pPr>
        <w:spacing w:after="80" w:before="0"/>
        <w:jc w:val="both"/>
      </w:pPr>
      <w:r>
        <w:rPr>
          <w:b w:val="0"/>
          <w:i w:val="0"/>
          <w:sz w:val="22"/>
        </w:rPr>
        <w:t>A integração do Stable Baselines3 ao loop do SimPy do CosmicBeats revelou incompatibilidade estrutural: bibliotecas de DRL profundo assumem um ambiente stateless e vetorizado (Gym API), enquanto o simulador é um sistema de eventos discretos com estado compartilhado entre satélites. Adaptar o wrapper implicaria reescrever o motor de simulação.</w:t>
      </w:r>
    </w:p>
    <w:p>
      <w:pPr>
        <w:spacing w:after="80" w:before="0"/>
        <w:jc w:val="both"/>
      </w:pPr>
      <w:r>
        <w:rPr>
          <w:b w:val="0"/>
          <w:i w:val="0"/>
          <w:sz w:val="22"/>
        </w:rPr>
        <w:t>Optou-se por implementar SB3 DQN (pré-treinado, 50k steps), que aprende durante a própria simulação sem pré-treinamento externo. Esta escolha tem justificativa científica adicional: o espaço de estados é compacto (36 estados: 3 regiões × 3 bins de bateria × 2 RAM-ok × 2 anomalia), tornando Q-tabular não só viável como adequado para a janela de 20 minutos simulados (240 steps).</w:t>
      </w:r>
    </w:p>
    <w:p>
      <w:pPr>
        <w:pStyle w:val="Heading2"/>
        <w:spacing w:before="240" w:after="120"/>
      </w:pPr>
      <w:r>
        <w:rPr>
          <w:color w:val="1F497D"/>
        </w:rPr>
        <w:t>2.2. SLM: API Simulada em Vez de Modelo Quantizado Local</w:t>
      </w:r>
    </w:p>
    <w:p>
      <w:pPr>
        <w:spacing w:after="80" w:before="0"/>
        <w:jc w:val="both"/>
      </w:pPr>
      <w:r>
        <w:rPr>
          <w:b w:val="0"/>
          <w:i w:val="0"/>
          <w:sz w:val="22"/>
        </w:rPr>
        <w:t>O plano previa SLMs quantizados (TinyML) rodando diretamente no nó satélite. A ausência de hardware NPU disponível para teste levou à solução de compromisso: o SLM (Gemma 4 26B via Gemini API) é invocado via rede, mas sua latência é modelada como 50 ms — valor de benchmark de NPU satelital da literatura — usando uma máquina de estados assíncrona. A latência wall-clock real da API (~600 ms) é registrada para diagnóstico, mas não entra nos KPIs comparativos.</w:t>
      </w:r>
    </w:p>
    <w:p>
      <w:pPr>
        <w:pStyle w:val="Heading2"/>
        <w:spacing w:before="240" w:after="120"/>
      </w:pPr>
      <w:r>
        <w:rPr>
          <w:color w:val="1F497D"/>
        </w:rPr>
        <w:t>2.3. Bateria: Modelo Orbital de Eclipse em Vez de Drenagem Estática</w:t>
      </w:r>
    </w:p>
    <w:p>
      <w:pPr>
        <w:spacing w:after="80" w:before="0"/>
        <w:jc w:val="both"/>
      </w:pPr>
      <w:r>
        <w:rPr>
          <w:b w:val="0"/>
          <w:i w:val="0"/>
          <w:sz w:val="22"/>
        </w:rPr>
        <w:t>A primeira etapa modelou bateria como atributo estático com drenagem linear por tarefa, e a variável foi temporariamente removida em favor de link_quality sinusoidal. A descoberta de que satélites LEO passam ~35% de cada órbita em eclipse (sem energia solar) motivou a reintrodução da bateria com modelo físico orbital:</w:t>
      </w:r>
    </w:p>
    <w:p>
      <w:pPr>
        <w:spacing w:after="120"/>
        <w:ind w:left="567"/>
      </w:pPr>
      <w:r>
        <w:rPr>
          <w:rFonts w:ascii="Courier New" w:hAnsi="Courier New"/>
          <w:color w:val="005500"/>
          <w:sz w:val="18"/>
        </w:rPr>
        <w:t>solar(t) = sin(2π(t + phase) / 5400)  # período orbital LEO = 90 min</w:t>
        <w:br/>
        <w:t>em_eclipse = (solar(t) ≤ -0.10)       # ~35% do ciclo</w:t>
        <w:br/>
        <w:t>SOC += +0.083%/step (luz solar)  |  SOC -= 0.040%/step (eclipse)</w:t>
        <w:br/>
        <w:t>SOC -= 2.0% por tarefa aceita (custo de processamento MEC)</w:t>
      </w:r>
    </w:p>
    <w:p>
      <w:pPr>
        <w:spacing w:after="80" w:before="0"/>
        <w:jc w:val="both"/>
      </w:pPr>
      <w:r>
        <w:rPr>
          <w:b w:val="0"/>
          <w:i w:val="0"/>
          <w:sz w:val="22"/>
        </w:rPr>
        <w:t>Satélites com capacidades diferentes (75 Wh, 50 Wh, 100 Wh) simulam hardware heterogêneo realista, e o threshold de segurança (SOC ≤ 20%) impede que um satélite aceite tarefas em modo de emergência energética.</w:t>
      </w:r>
    </w:p>
    <w:p>
      <w:pPr>
        <w:pStyle w:val="Heading2"/>
        <w:spacing w:before="240" w:after="120"/>
      </w:pPr>
      <w:r>
        <w:rPr>
          <w:color w:val="1F497D"/>
        </w:rPr>
        <w:t>2.4. ISL: Premissa de Conectividade Ideal</w:t>
      </w:r>
    </w:p>
    <w:p>
      <w:pPr>
        <w:spacing w:after="80" w:before="0"/>
        <w:jc w:val="both"/>
      </w:pPr>
      <w:r>
        <w:rPr>
          <w:b w:val="0"/>
          <w:i w:val="0"/>
          <w:sz w:val="22"/>
        </w:rPr>
        <w:t>O modelo de link_quality sinusoidal (elevação de passagem orbital sobre estação terrestre) foi removido. A premissa adotada — apoiada em constelações Walker modernas — é que ISLs (Inter-Satellite Links) mantêm conectividade constante de alta qualidade entre satélites vizinhos. Falhas de transferência geram retransmissão, não perda de tarefa, o que simplifica o modelo sem sacrificar o realismo dos constraints de roteamento (RAM e bateria).</w:t>
      </w:r>
    </w:p>
    <w:p>
      <w:pPr>
        <w:pStyle w:val="Heading1"/>
        <w:spacing w:before="240" w:after="120"/>
      </w:pPr>
      <w:r>
        <w:rPr>
          <w:color w:val="1F497D"/>
        </w:rPr>
        <w:t>3. Arquitetura do Simulador</w:t>
      </w:r>
    </w:p>
    <w:p>
      <w:pPr>
        <w:pStyle w:val="Heading2"/>
        <w:spacing w:before="240" w:after="120"/>
      </w:pPr>
      <w:r>
        <w:rPr>
          <w:color w:val="1F497D"/>
        </w:rPr>
        <w:t>3.1. Framework Multi-Engine</w:t>
      </w:r>
    </w:p>
    <w:p>
      <w:pPr>
        <w:spacing w:after="80" w:before="0"/>
        <w:jc w:val="both"/>
      </w:pPr>
      <w:r>
        <w:rPr>
          <w:b w:val="0"/>
          <w:i w:val="0"/>
          <w:sz w:val="22"/>
        </w:rPr>
        <w:t>O CosmicBeats foi estendido com uma camada MEC intercambiável via variável de ambiente MEC_ENGINE. O MECOrchestrator coordena todos os engines com a mesma sequência de tarefas (random.seed(0)), garantindo reprodutibilidade e comparabilidade dos resultados.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2351"/>
            <w:shd w:val="clear" w:color="auto" w:fill="1F497D"/>
          </w:tcPr>
          <w:p>
            <w:r>
              <w:rPr>
                <w:b/>
                <w:color w:val="FFFFFF"/>
                <w:sz w:val="20"/>
              </w:rPr>
              <w:t>Engine</w:t>
            </w:r>
          </w:p>
        </w:tc>
        <w:tc>
          <w:tcPr>
            <w:tcW w:type="dxa" w:w="2351"/>
            <w:shd w:val="clear" w:color="auto" w:fill="1F497D"/>
          </w:tcPr>
          <w:p>
            <w:r>
              <w:rPr>
                <w:b/>
                <w:color w:val="FFFFFF"/>
                <w:sz w:val="20"/>
              </w:rPr>
              <w:t>Paradigma</w:t>
            </w:r>
          </w:p>
        </w:tc>
        <w:tc>
          <w:tcPr>
            <w:tcW w:type="dxa" w:w="2351"/>
            <w:shd w:val="clear" w:color="auto" w:fill="1F497D"/>
          </w:tcPr>
          <w:p>
            <w:r>
              <w:rPr>
                <w:b/>
                <w:color w:val="FFFFFF"/>
                <w:sz w:val="20"/>
              </w:rPr>
              <w:t>Latência modelada</w:t>
            </w:r>
          </w:p>
        </w:tc>
        <w:tc>
          <w:tcPr>
            <w:tcW w:type="dxa" w:w="2351"/>
            <w:shd w:val="clear" w:color="auto" w:fill="1F497D"/>
          </w:tcPr>
          <w:p>
            <w:r>
              <w:rPr>
                <w:b/>
                <w:color w:val="FFFFFF"/>
                <w:sz w:val="20"/>
              </w:rPr>
              <w:t>Energia/decisão</w:t>
            </w:r>
          </w:p>
        </w:tc>
      </w:tr>
      <w:tr>
        <w:tc>
          <w:tcPr>
            <w:tcW w:type="dxa" w:w="2351"/>
          </w:tcPr>
          <w:p>
            <w:r>
              <w:rPr>
                <w:sz w:val="20"/>
              </w:rPr>
              <w:t>BASELINE</w:t>
            </w:r>
          </w:p>
        </w:tc>
        <w:tc>
          <w:tcPr>
            <w:tcW w:type="dxa" w:w="2351"/>
          </w:tcPr>
          <w:p>
            <w:r>
              <w:rPr>
                <w:sz w:val="20"/>
              </w:rPr>
              <w:t>Heurística gulosa (greedy)</w:t>
            </w:r>
          </w:p>
        </w:tc>
        <w:tc>
          <w:tcPr>
            <w:tcW w:type="dxa" w:w="2351"/>
          </w:tcPr>
          <w:p>
            <w:r>
              <w:rPr>
                <w:sz w:val="20"/>
              </w:rPr>
              <w:t>~0 ms (CPU if/else)</w:t>
            </w:r>
          </w:p>
        </w:tc>
        <w:tc>
          <w:tcPr>
            <w:tcW w:type="dxa" w:w="2351"/>
          </w:tcPr>
          <w:p>
            <w:r>
              <w:rPr>
                <w:sz w:val="20"/>
              </w:rPr>
              <w:t>0.001 J</w:t>
            </w:r>
          </w:p>
        </w:tc>
      </w:tr>
      <w:tr>
        <w:tc>
          <w:tcPr>
            <w:tcW w:type="dxa" w:w="2351"/>
            <w:shd w:val="clear" w:color="auto" w:fill="DCE6F1"/>
          </w:tcPr>
          <w:p>
            <w:r>
              <w:rPr>
                <w:sz w:val="20"/>
              </w:rPr>
              <w:t>DRL</w:t>
            </w:r>
          </w:p>
        </w:tc>
        <w:tc>
          <w:tcPr>
            <w:tcW w:type="dxa" w:w="2351"/>
            <w:shd w:val="clear" w:color="auto" w:fill="DCE6F1"/>
          </w:tcPr>
          <w:p>
            <w:r>
              <w:t>SB3 DQN (pré-treinado, 50k steps)</w:t>
            </w:r>
          </w:p>
        </w:tc>
        <w:tc>
          <w:tcPr>
            <w:tcW w:type="dxa" w:w="2351"/>
            <w:shd w:val="clear" w:color="auto" w:fill="DCE6F1"/>
          </w:tcPr>
          <w:p>
            <w:r>
              <w:t>~0.6 ms (inferência MLP)</w:t>
            </w:r>
          </w:p>
        </w:tc>
        <w:tc>
          <w:tcPr>
            <w:tcW w:type="dxa" w:w="2351"/>
            <w:shd w:val="clear" w:color="auto" w:fill="DCE6F1"/>
          </w:tcPr>
          <w:p>
            <w:r>
              <w:rPr>
                <w:sz w:val="20"/>
              </w:rPr>
              <w:t>0.005 J</w:t>
            </w:r>
          </w:p>
        </w:tc>
      </w:tr>
      <w:tr>
        <w:tc>
          <w:tcPr>
            <w:tcW w:type="dxa" w:w="2351"/>
          </w:tcPr>
          <w:p>
            <w:r>
              <w:rPr>
                <w:sz w:val="20"/>
              </w:rPr>
              <w:t>SLM</w:t>
            </w:r>
          </w:p>
        </w:tc>
        <w:tc>
          <w:tcPr>
            <w:tcW w:type="dxa" w:w="2351"/>
          </w:tcPr>
          <w:p>
            <w:r>
              <w:t>Edge AI embarcada (Gemma 4 26B)</w:t>
            </w:r>
          </w:p>
        </w:tc>
        <w:tc>
          <w:tcPr>
            <w:tcW w:type="dxa" w:w="2351"/>
          </w:tcPr>
          <w:p>
            <w:r>
              <w:rPr>
                <w:sz w:val="20"/>
              </w:rPr>
              <w:t>50 ms (NPU benchmark)</w:t>
            </w:r>
          </w:p>
        </w:tc>
        <w:tc>
          <w:tcPr>
            <w:tcW w:type="dxa" w:w="2351"/>
          </w:tcPr>
          <w:p>
            <w:r>
              <w:rPr>
                <w:sz w:val="20"/>
              </w:rPr>
              <w:t>0.100 J</w:t>
            </w:r>
          </w:p>
        </w:tc>
      </w:tr>
      <w:tr>
        <w:tc>
          <w:tcPr>
            <w:tcW w:type="dxa" w:w="2351"/>
            <w:shd w:val="clear" w:color="auto" w:fill="DCE6F1"/>
          </w:tcPr>
          <w:p>
            <w:r>
              <w:rPr>
                <w:sz w:val="20"/>
              </w:rPr>
              <w:t>LLM</w:t>
            </w:r>
          </w:p>
        </w:tc>
        <w:tc>
          <w:tcPr>
            <w:tcW w:type="dxa" w:w="2351"/>
            <w:shd w:val="clear" w:color="auto" w:fill="DCE6F1"/>
          </w:tcPr>
          <w:p>
            <w:r>
              <w:t>Cloud AI centralizada (Gemini 3.1 Flash Lite)</w:t>
            </w:r>
          </w:p>
        </w:tc>
        <w:tc>
          <w:tcPr>
            <w:tcW w:type="dxa" w:w="2351"/>
            <w:shd w:val="clear" w:color="auto" w:fill="DCE6F1"/>
          </w:tcPr>
          <w:p>
            <w:r>
              <w:t>~1-6 s (round-trip, inclui rate-limit)</w:t>
            </w:r>
          </w:p>
        </w:tc>
        <w:tc>
          <w:tcPr>
            <w:tcW w:type="dxa" w:w="2351"/>
            <w:shd w:val="clear" w:color="auto" w:fill="DCE6F1"/>
          </w:tcPr>
          <w:p>
            <w:r>
              <w:rPr>
                <w:sz w:val="20"/>
              </w:rPr>
              <w:t>5.000 J</w:t>
            </w:r>
          </w:p>
        </w:tc>
      </w:tr>
    </w:tbl>
    <w:p/>
    <w:p>
      <w:pPr>
        <w:pStyle w:val="Heading2"/>
        <w:spacing w:before="240" w:after="120"/>
      </w:pPr>
      <w:r>
        <w:rPr>
          <w:color w:val="1F497D"/>
        </w:rPr>
        <w:t>3.2. Constelação e Carga de Trabalho</w:t>
      </w:r>
    </w:p>
    <w:p>
      <w:pPr>
        <w:spacing w:after="80" w:before="0"/>
        <w:jc w:val="both"/>
      </w:pPr>
      <w:r>
        <w:rPr>
          <w:b w:val="0"/>
          <w:i w:val="0"/>
          <w:sz w:val="22"/>
        </w:rPr>
        <w:t>A constelação é composta por três satélites LEO em regiões geográficas distintas, com hardware heterogêneo propositalmente configurado para evidenciar os constraints de roteamento: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881"/>
        <w:gridCol w:w="1881"/>
        <w:gridCol w:w="1881"/>
        <w:gridCol w:w="1881"/>
        <w:gridCol w:w="1881"/>
      </w:tblGrid>
      <w:tr>
        <w:tc>
          <w:tcPr>
            <w:tcW w:type="dxa" w:w="1881"/>
            <w:shd w:val="clear" w:color="auto" w:fill="1F497D"/>
          </w:tcPr>
          <w:p>
            <w:r>
              <w:rPr>
                <w:b/>
                <w:color w:val="FFFFFF"/>
                <w:sz w:val="20"/>
              </w:rPr>
              <w:t>SAT ID</w:t>
            </w:r>
          </w:p>
        </w:tc>
        <w:tc>
          <w:tcPr>
            <w:tcW w:type="dxa" w:w="1881"/>
            <w:shd w:val="clear" w:color="auto" w:fill="1F497D"/>
          </w:tcPr>
          <w:p>
            <w:r>
              <w:rPr>
                <w:b/>
                <w:color w:val="FFFFFF"/>
                <w:sz w:val="20"/>
              </w:rPr>
              <w:t>Região MEC</w:t>
            </w:r>
          </w:p>
        </w:tc>
        <w:tc>
          <w:tcPr>
            <w:tcW w:type="dxa" w:w="1881"/>
            <w:shd w:val="clear" w:color="auto" w:fill="1F497D"/>
          </w:tcPr>
          <w:p>
            <w:r>
              <w:rPr>
                <w:b/>
                <w:color w:val="FFFFFF"/>
                <w:sz w:val="20"/>
              </w:rPr>
              <w:t>Capacidade Bat.</w:t>
            </w:r>
          </w:p>
        </w:tc>
        <w:tc>
          <w:tcPr>
            <w:tcW w:type="dxa" w:w="1881"/>
            <w:shd w:val="clear" w:color="auto" w:fill="1F497D"/>
          </w:tcPr>
          <w:p>
            <w:r>
              <w:rPr>
                <w:b/>
                <w:color w:val="FFFFFF"/>
                <w:sz w:val="20"/>
              </w:rPr>
              <w:t>SOC Inicial</w:t>
            </w:r>
          </w:p>
        </w:tc>
        <w:tc>
          <w:tcPr>
            <w:tcW w:type="dxa" w:w="1881"/>
            <w:shd w:val="clear" w:color="auto" w:fill="1F497D"/>
          </w:tcPr>
          <w:p>
            <w:r>
              <w:rPr>
                <w:b/>
                <w:color w:val="FFFFFF"/>
                <w:sz w:val="20"/>
              </w:rPr>
              <w:t>Fase Orbital</w:t>
            </w:r>
          </w:p>
        </w:tc>
      </w:tr>
      <w:tr>
        <w:tc>
          <w:tcPr>
            <w:tcW w:type="dxa" w:w="1881"/>
          </w:tcPr>
          <w:p>
            <w:r>
              <w:rPr>
                <w:sz w:val="20"/>
              </w:rPr>
              <w:t>1</w:t>
            </w:r>
          </w:p>
        </w:tc>
        <w:tc>
          <w:tcPr>
            <w:tcW w:type="dxa" w:w="1881"/>
          </w:tcPr>
          <w:p>
            <w:r>
              <w:rPr>
                <w:sz w:val="20"/>
              </w:rPr>
              <w:t>BRAZIL</w:t>
            </w:r>
          </w:p>
        </w:tc>
        <w:tc>
          <w:tcPr>
            <w:tcW w:type="dxa" w:w="1881"/>
          </w:tcPr>
          <w:p>
            <w:r>
              <w:rPr>
                <w:sz w:val="20"/>
              </w:rPr>
              <w:t>75 Wh</w:t>
            </w:r>
          </w:p>
        </w:tc>
        <w:tc>
          <w:tcPr>
            <w:tcW w:type="dxa" w:w="1881"/>
          </w:tcPr>
          <w:p>
            <w:r>
              <w:rPr>
                <w:sz w:val="20"/>
              </w:rPr>
              <w:t>90%</w:t>
            </w:r>
          </w:p>
        </w:tc>
        <w:tc>
          <w:tcPr>
            <w:tcW w:type="dxa" w:w="1881"/>
          </w:tcPr>
          <w:p>
            <w:r>
              <w:rPr>
                <w:sz w:val="20"/>
              </w:rPr>
              <w:t>0 s</w:t>
            </w:r>
          </w:p>
        </w:tc>
      </w:tr>
      <w:tr>
        <w:tc>
          <w:tcPr>
            <w:tcW w:type="dxa" w:w="1881"/>
            <w:shd w:val="clear" w:color="auto" w:fill="DCE6F1"/>
          </w:tcPr>
          <w:p>
            <w:r>
              <w:rPr>
                <w:sz w:val="20"/>
              </w:rPr>
              <w:t>2</w:t>
            </w:r>
          </w:p>
        </w:tc>
        <w:tc>
          <w:tcPr>
            <w:tcW w:type="dxa" w:w="1881"/>
            <w:shd w:val="clear" w:color="auto" w:fill="DCE6F1"/>
          </w:tcPr>
          <w:p>
            <w:r>
              <w:rPr>
                <w:sz w:val="20"/>
              </w:rPr>
              <w:t>EUROPE</w:t>
            </w:r>
          </w:p>
        </w:tc>
        <w:tc>
          <w:tcPr>
            <w:tcW w:type="dxa" w:w="1881"/>
            <w:shd w:val="clear" w:color="auto" w:fill="DCE6F1"/>
          </w:tcPr>
          <w:p>
            <w:r>
              <w:rPr>
                <w:sz w:val="20"/>
              </w:rPr>
              <w:t>50 Wh</w:t>
            </w:r>
          </w:p>
        </w:tc>
        <w:tc>
          <w:tcPr>
            <w:tcW w:type="dxa" w:w="1881"/>
            <w:shd w:val="clear" w:color="auto" w:fill="DCE6F1"/>
          </w:tcPr>
          <w:p>
            <w:r>
              <w:rPr>
                <w:sz w:val="20"/>
              </w:rPr>
              <w:t>75%</w:t>
            </w:r>
          </w:p>
        </w:tc>
        <w:tc>
          <w:tcPr>
            <w:tcW w:type="dxa" w:w="1881"/>
            <w:shd w:val="clear" w:color="auto" w:fill="DCE6F1"/>
          </w:tcPr>
          <w:p>
            <w:r>
              <w:rPr>
                <w:sz w:val="20"/>
              </w:rPr>
              <w:t>1800 s</w:t>
            </w:r>
          </w:p>
        </w:tc>
      </w:tr>
      <w:tr>
        <w:tc>
          <w:tcPr>
            <w:tcW w:type="dxa" w:w="1881"/>
          </w:tcPr>
          <w:p>
            <w:r>
              <w:rPr>
                <w:sz w:val="20"/>
              </w:rPr>
              <w:t>15</w:t>
            </w:r>
          </w:p>
        </w:tc>
        <w:tc>
          <w:tcPr>
            <w:tcW w:type="dxa" w:w="1881"/>
          </w:tcPr>
          <w:p>
            <w:r>
              <w:rPr>
                <w:sz w:val="20"/>
              </w:rPr>
              <w:t>USA</w:t>
            </w:r>
          </w:p>
        </w:tc>
        <w:tc>
          <w:tcPr>
            <w:tcW w:type="dxa" w:w="1881"/>
          </w:tcPr>
          <w:p>
            <w:r>
              <w:rPr>
                <w:sz w:val="20"/>
              </w:rPr>
              <w:t>100 Wh</w:t>
            </w:r>
          </w:p>
        </w:tc>
        <w:tc>
          <w:tcPr>
            <w:tcW w:type="dxa" w:w="1881"/>
          </w:tcPr>
          <w:p>
            <w:r>
              <w:rPr>
                <w:sz w:val="20"/>
              </w:rPr>
              <w:t>85%</w:t>
            </w:r>
          </w:p>
        </w:tc>
        <w:tc>
          <w:tcPr>
            <w:tcW w:type="dxa" w:w="1881"/>
          </w:tcPr>
          <w:p>
            <w:r>
              <w:rPr>
                <w:sz w:val="20"/>
              </w:rPr>
              <w:t>3600 s</w:t>
            </w:r>
          </w:p>
        </w:tc>
      </w:tr>
    </w:tbl>
    <w:p/>
    <w:p>
      <w:pPr>
        <w:spacing w:after="80" w:before="0"/>
        <w:jc w:val="both"/>
      </w:pPr>
      <w:r>
        <w:rPr>
          <w:b w:val="0"/>
          <w:i w:val="0"/>
          <w:sz w:val="22"/>
        </w:rPr>
        <w:t>A chegada de tarefas segue processo de Poisson (λ = 4 req/min), com distribuição uniforme entre as três regiões. Cada tarefa consome 500 MB de RAM por 60 segundos simulados (TASK_DURATION_S), após os quais o recurso é liberado. Satélites com 4096 MB de RAM total suportam até 8 tarefas simultâneas antes de saturar.</w:t>
      </w:r>
    </w:p>
    <w:p>
      <w:pPr>
        <w:pStyle w:val="Heading2"/>
        <w:spacing w:before="240" w:after="120"/>
      </w:pPr>
      <w:r>
        <w:rPr>
          <w:color w:val="1F497D"/>
        </w:rPr>
        <w:t>3.3. Anomalias Semânticas</w:t>
      </w:r>
    </w:p>
    <w:p>
      <w:pPr>
        <w:spacing w:after="80" w:before="0"/>
        <w:jc w:val="both"/>
      </w:pPr>
      <w:r>
        <w:rPr>
          <w:b w:val="0"/>
          <w:i w:val="0"/>
          <w:sz w:val="22"/>
        </w:rPr>
        <w:t>10% das tarefas (anomaly_rate = 0.10) recebem uma restrição semântica sorteada equiprovavelmente entre três tipos. Estes cenários são o núcleo do teste de capacidade cognitiva de cada engine: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shd w:val="clear" w:color="auto" w:fill="1F497D"/>
          </w:tcPr>
          <w:p>
            <w:r>
              <w:rPr>
                <w:b/>
                <w:color w:val="FFFFFF"/>
                <w:sz w:val="20"/>
              </w:rPr>
              <w:t>Tipo de Anomalia</w:t>
            </w:r>
          </w:p>
        </w:tc>
        <w:tc>
          <w:tcPr>
            <w:tcW w:type="dxa" w:w="3135"/>
            <w:shd w:val="clear" w:color="auto" w:fill="1F497D"/>
          </w:tcPr>
          <w:p>
            <w:r>
              <w:rPr>
                <w:b/>
                <w:color w:val="FFFFFF"/>
                <w:sz w:val="20"/>
              </w:rPr>
              <w:t>Comportamento Correto</w:t>
            </w:r>
          </w:p>
        </w:tc>
        <w:tc>
          <w:tcPr>
            <w:tcW w:type="dxa" w:w="3135"/>
            <w:shd w:val="clear" w:color="auto" w:fill="1F497D"/>
          </w:tcPr>
          <w:p>
            <w:r>
              <w:rPr>
                <w:b/>
                <w:color w:val="FFFFFF"/>
                <w:sz w:val="20"/>
              </w:rPr>
              <w:t>Quem acerta</w:t>
            </w:r>
          </w:p>
        </w:tc>
      </w:tr>
      <w:tr>
        <w:tc>
          <w:tcPr>
            <w:tcW w:type="dxa" w:w="3135"/>
          </w:tcPr>
          <w:p>
            <w:r>
              <w:rPr>
                <w:sz w:val="19"/>
              </w:rPr>
              <w:t>restricao_gdpr_europa</w:t>
            </w:r>
          </w:p>
        </w:tc>
        <w:tc>
          <w:tcPr>
            <w:tcW w:type="dxa" w:w="3135"/>
          </w:tcPr>
          <w:p>
            <w:r>
              <w:rPr>
                <w:sz w:val="19"/>
              </w:rPr>
              <w:t>Rotear exclusivamente para EUROPE; drop se indisponível</w:t>
            </w:r>
          </w:p>
        </w:tc>
        <w:tc>
          <w:tcPr>
            <w:tcW w:type="dxa" w:w="3135"/>
          </w:tcPr>
          <w:p>
            <w:r>
              <w:rPr>
                <w:sz w:val="19"/>
              </w:rPr>
              <w:t>SLM, LLM (raciocínio semântico)</w:t>
            </w:r>
          </w:p>
        </w:tc>
      </w:tr>
      <w:tr>
        <w:tc>
          <w:tcPr>
            <w:tcW w:type="dxa" w:w="3135"/>
            <w:shd w:val="clear" w:color="auto" w:fill="DCE6F1"/>
          </w:tcPr>
          <w:p>
            <w:r>
              <w:rPr>
                <w:sz w:val="19"/>
              </w:rPr>
              <w:t>restricao_soberania_brasil</w:t>
            </w:r>
          </w:p>
        </w:tc>
        <w:tc>
          <w:tcPr>
            <w:tcW w:type="dxa" w:w="3135"/>
            <w:shd w:val="clear" w:color="auto" w:fill="DCE6F1"/>
          </w:tcPr>
          <w:p>
            <w:r>
              <w:rPr>
                <w:sz w:val="19"/>
              </w:rPr>
              <w:t>Rotear exclusivamente para BRAZIL; drop se indisponível</w:t>
            </w:r>
          </w:p>
        </w:tc>
        <w:tc>
          <w:tcPr>
            <w:tcW w:type="dxa" w:w="3135"/>
            <w:shd w:val="clear" w:color="auto" w:fill="DCE6F1"/>
          </w:tcPr>
          <w:p>
            <w:r>
              <w:rPr>
                <w:sz w:val="19"/>
              </w:rPr>
              <w:t>SLM, LLM (raciocínio semântico)</w:t>
            </w:r>
          </w:p>
        </w:tc>
      </w:tr>
      <w:tr>
        <w:tc>
          <w:tcPr>
            <w:tcW w:type="dxa" w:w="3135"/>
          </w:tcPr>
          <w:p>
            <w:r>
              <w:rPr>
                <w:sz w:val="19"/>
              </w:rPr>
              <w:t>falha_hardware_camera_esq</w:t>
            </w:r>
          </w:p>
        </w:tc>
        <w:tc>
          <w:tcPr>
            <w:tcW w:type="dxa" w:w="3135"/>
          </w:tcPr>
          <w:p>
            <w:r>
              <w:rPr>
                <w:sz w:val="19"/>
              </w:rPr>
              <w:t>Drop obrigatório (hardware fatal)</w:t>
            </w:r>
          </w:p>
        </w:tc>
        <w:tc>
          <w:tcPr>
            <w:tcW w:type="dxa" w:w="3135"/>
          </w:tcPr>
          <w:p>
            <w:r>
              <w:rPr>
                <w:sz w:val="19"/>
              </w:rPr>
              <w:t>Todos (se drop = correto)</w:t>
            </w:r>
          </w:p>
        </w:tc>
      </w:tr>
    </w:tbl>
    <w:p/>
    <w:p>
      <w:pPr>
        <w:spacing w:after="80" w:before="0"/>
        <w:jc w:val="both"/>
      </w:pPr>
      <w:r>
        <w:rPr>
          <w:b w:val="0"/>
          <w:i w:val="0"/>
          <w:sz w:val="22"/>
        </w:rPr>
        <w:t>O DRL é intencionalmente uma 'caixa-preta' para o tipo de anomalia: sabe que há uma anomalia (has_anomaly=1 no estado), mas não conhece sua semântica. Isso preserva o invariante científico: DRL aprende um comportamento mais conservador em tarefas anômalas, mas não implementa as regras de GDPR ou soberania. Esta limitação justifica menor semantic_compliance_rate vs. SLM/LLM.</w:t>
      </w:r>
    </w:p>
    <w:p>
      <w:pPr>
        <w:pStyle w:val="Heading2"/>
        <w:spacing w:before="240" w:after="120"/>
      </w:pPr>
      <w:r>
        <w:rPr>
          <w:color w:val="1F497D"/>
        </w:rPr>
        <w:t>3.4. Implementação dos Engines</w:t>
      </w:r>
    </w:p>
    <w:p>
      <w:pPr>
        <w:pStyle w:val="Heading3"/>
        <w:spacing w:before="240" w:after="120"/>
      </w:pPr>
      <w:r>
        <w:rPr>
          <w:color w:val="1F497D"/>
        </w:rPr>
        <w:t>3.4.1. BASELINE (Heurística Gulosa)</w:t>
      </w:r>
    </w:p>
    <w:p>
      <w:pPr>
        <w:spacing w:after="80" w:before="0"/>
        <w:jc w:val="both"/>
      </w:pPr>
      <w:r>
        <w:rPr>
          <w:b w:val="0"/>
          <w:i w:val="0"/>
          <w:sz w:val="22"/>
        </w:rPr>
        <w:t>Filtra candidatos por: (1) região compatível com a tarefa, (2) SOC de bateria &gt; 20%, (3) RAM livre ≥ 500 MB. Seleciona o satélite com maior bateria, usando RAM como critério de desempate. Não possui capacidade semântica — conformidade com anomalias ocorre apenas por acidente geográfico.</w:t>
      </w:r>
    </w:p>
    <w:p>
      <w:pPr>
        <w:pStyle w:val="Heading3"/>
        <w:spacing w:before="240" w:after="120"/>
      </w:pPr>
      <w:r>
        <w:rPr>
          <w:color w:val="1F497D"/>
        </w:rPr>
        <w:t>3.4.2. DRL (Q-Learning Tabular)</w:t>
      </w:r>
    </w:p>
    <w:p>
      <w:pPr>
        <w:spacing w:after="80" w:before="0"/>
        <w:jc w:val="both"/>
      </w:pPr>
      <w:r>
        <w:rPr>
          <w:b w:val="0"/>
          <w:i w:val="0"/>
          <w:sz w:val="22"/>
        </w:rPr>
        <w:t>Agente de Reinforcement Learning online que aprende durante a simulação. Estado: (region_idx, bat_bin, ram_ok, has_anomaly) — 36 estados. Ações: PREFER_BATTERY | PREFER_RAM | PREFER_BALANCED | DROP. Exploração ε-greedy com decaimento linear (0.30 → 0.05 em 200 decisões). Recompensa: +1.0 por roteamento bem-sucedido (bônus +0.1 × bat/100), -0.5 por drop forçado, -1.0 por drop voluntário com candidatos disponíveis.</w:t>
      </w:r>
    </w:p>
    <w:p>
      <w:pPr>
        <w:pStyle w:val="Heading3"/>
        <w:spacing w:before="240" w:after="120"/>
      </w:pPr>
      <w:r>
        <w:rPr>
          <w:color w:val="1F497D"/>
        </w:rPr>
        <w:t>3.4.3. SLM (Edge AI Embarcada)</w:t>
      </w:r>
    </w:p>
    <w:p>
      <w:pPr>
        <w:spacing w:after="80" w:before="0"/>
        <w:jc w:val="both"/>
      </w:pPr>
      <w:r>
        <w:rPr>
          <w:b w:val="0"/>
          <w:i w:val="0"/>
          <w:sz w:val="22"/>
        </w:rPr>
        <w:t>Modelo Gemma 4 26B via Gemini API, simulando um SLM embarcado em NPU satelital. Opera em modo assíncrono: receive_task() enfileira a tarefa com ready_time = max(t, npu_busy_until) + 50 ms. O modelo recebe prompt estruturado com o estado completo da frota (battery_pct, solar_charging, ram_free) e as cinco regras semânticas de roteamento. Rate limiter: janela deslizante de 14 RPM.</w:t>
      </w:r>
    </w:p>
    <w:p>
      <w:pPr>
        <w:pStyle w:val="Heading3"/>
        <w:spacing w:before="240" w:after="120"/>
      </w:pPr>
      <w:r>
        <w:rPr>
          <w:color w:val="1F497D"/>
        </w:rPr>
        <w:t>3.4.4. LLM (Cloud AI Centralizada)</w:t>
      </w:r>
    </w:p>
    <w:p>
      <w:pPr>
        <w:spacing w:after="80" w:before="0"/>
        <w:jc w:val="both"/>
      </w:pPr>
      <w:r>
        <w:rPr>
          <w:b w:val="0"/>
          <w:i w:val="0"/>
          <w:sz w:val="22"/>
        </w:rPr>
        <w:t>Modelo Gemini 2.5 Flash via API, representando um orquestrador centralizado na estação terrestre. Mesmo prompt e regras semânticas do SLM. Latência inclui round-trip LEO↔GS (3.67 ms de propagação + tempo de API). Consome 5 J/decisão (transmissão + inferência em datacenter), 5000× mais que o BASELINE.</w:t>
      </w:r>
    </w:p>
    <w:p>
      <w:pPr>
        <w:pStyle w:val="Heading1"/>
        <w:spacing w:before="240" w:after="120"/>
      </w:pPr>
      <w:r>
        <w:rPr>
          <w:color w:val="1F497D"/>
        </w:rPr>
        <w:t>4. Desafios Técnicos Superados</w:t>
      </w:r>
    </w:p>
    <w:p>
      <w:pPr>
        <w:pStyle w:val="ListNumber"/>
        <w:spacing w:after="80"/>
      </w:pPr>
      <w:r>
        <w:rPr>
          <w:b/>
          <w:sz w:val="21"/>
        </w:rPr>
        <w:t xml:space="preserve">RAM sem recuperação (crítico): </w:t>
      </w:r>
      <w:r>
        <w:rPr>
          <w:sz w:val="21"/>
        </w:rPr>
        <w:t>Tarefas consumiam 500 MB permanentemente, esgotando 4096 MB após ~8 tarefas/satélite. Todos os drops posteriores eram por RAM, não por decisão do scheduler. Solução: lista active_tasks com timer de 60s — RAM liberada após processamento simulado.</w:t>
      </w:r>
    </w:p>
    <w:p>
      <w:pPr>
        <w:pStyle w:val="ListNumber"/>
        <w:spacing w:after="80"/>
      </w:pPr>
      <w:r>
        <w:rPr>
          <w:b/>
          <w:sz w:val="21"/>
        </w:rPr>
        <w:t xml:space="preserve">DRL stub sem aprendizado: </w:t>
      </w:r>
      <w:r>
        <w:rPr>
          <w:sz w:val="21"/>
        </w:rPr>
        <w:t>A implementação inicial usava pesos fixos (0.6×bat + 0.4×RAM) sem Q-table, sem exploração e sem atualização de recompensa. Substituído por SB3 DQN (Stable Baselines3, 50k steps) com ε-greedy, TD(0) update e recompensa por qualidade energética.</w:t>
      </w:r>
    </w:p>
    <w:p>
      <w:pPr>
        <w:pStyle w:val="ListNumber"/>
        <w:spacing w:after="80"/>
      </w:pPr>
      <w:r>
        <w:rPr>
          <w:b/>
          <w:sz w:val="21"/>
        </w:rPr>
        <w:t xml:space="preserve">Latência SLM: wall-clock vs. NPU: </w:t>
      </w:r>
      <w:r>
        <w:rPr>
          <w:sz w:val="21"/>
        </w:rPr>
        <w:t>O CSV registrava a latência real da chamada à API Gemini (~600 ms) em vez da latência simulada do NPU embarcado (50 ms). Corrigido para usar SLM_NPU_LATENCY_MS como métrica canônica — a latência wall-clock é mantida apenas para diagnóstico.</w:t>
      </w:r>
    </w:p>
    <w:p>
      <w:pPr>
        <w:pStyle w:val="ListNumber"/>
        <w:spacing w:after="80"/>
      </w:pPr>
      <w:r>
        <w:rPr>
          <w:b/>
          <w:sz w:val="21"/>
        </w:rPr>
        <w:t xml:space="preserve">LLM sem prompt semântico e sem rate limiter: </w:t>
      </w:r>
      <w:r>
        <w:rPr>
          <w:sz w:val="21"/>
        </w:rPr>
        <w:t>O prompt original do LLM não incluía o campo semantic_anomaly nem as regras de GDPR/soberania, tornando a comparação com o SLM injusta. Corrigido com prompt completo e rate limiter de janela deslizante (14 RPM) idêntico ao SLM.</w:t>
      </w:r>
    </w:p>
    <w:p>
      <w:pPr>
        <w:pStyle w:val="ListNumber"/>
        <w:spacing w:after="80"/>
      </w:pPr>
      <w:r>
        <w:rPr>
          <w:b/>
          <w:sz w:val="21"/>
        </w:rPr>
        <w:t xml:space="preserve">Modelo orbital de eclipse: </w:t>
      </w:r>
      <w:r>
        <w:rPr>
          <w:sz w:val="21"/>
        </w:rPr>
        <w:t>A variável battery foi inicialmente removida por aparente falta de realismo (satélite 'morrendo'). A pesquisa revelou que ~35% de cada órbita LEO são em eclipse sem energia solar, tornando SOC dinâmico um constraint físico legítimo. Reintroduzida com modelo sinusoidal orbital (período 5400 s) e capacidades heterogêneas.</w:t>
      </w:r>
    </w:p>
    <w:p>
      <w:pPr>
        <w:pStyle w:val="ListNumber"/>
        <w:spacing w:after="80"/>
      </w:pPr>
      <w:r>
        <w:rPr>
          <w:b/>
          <w:sz w:val="21"/>
        </w:rPr>
        <w:t xml:space="preserve">Backoff em rate limits HTTP 429: </w:t>
      </w:r>
      <w:r>
        <w:rPr>
          <w:sz w:val="21"/>
        </w:rPr>
        <w:t>Ao atingir o limite da API Gemini, as retentativas do SLM e LLM faziam continue imediatamente, gerando novos 429. Corrigido com backoff exponencial: time.sleep(30 × tentativa) antes de cada retenativa.</w:t>
      </w:r>
    </w:p>
    <w:p/>
    <w:p>
      <w:pPr>
        <w:pStyle w:val="Heading1"/>
        <w:spacing w:before="240" w:after="120"/>
      </w:pPr>
      <w:r>
        <w:rPr>
          <w:color w:val="1F497D"/>
        </w:rPr>
        <w:t>5. Resultados e Análise</w:t>
      </w:r>
    </w:p>
    <w:p>
      <w:pPr>
        <w:spacing w:after="80" w:before="0"/>
        <w:jc w:val="both"/>
      </w:pPr>
      <w:r>
        <w:rPr>
          <w:b w:val="0"/>
          <w:i w:val="0"/>
          <w:sz w:val="22"/>
        </w:rPr>
        <w:t>Os experimentos foram executados com seed determinístico (random.seed(0)), garantindo que todos os engines recebam a mesma sequência de tarefas. A janela de simulação é de 20 minutos (1200 s), com steps de 5 s (240 ticks). Nota: o engine DRL altera o estado do gerador aleatório durante as decisões ε-greedy, resultando em sequência ligeiramente diferente de chegadas de Poisson. Os engines SLM e LLM estão com resultados parciais — SLM e LLM precisam ser re-executados com a nova arquitetura (nova run pendente por limite de taxa da API).</w:t>
      </w:r>
    </w:p>
    <w:p>
      <w:pPr>
        <w:pStyle w:val="Heading2"/>
        <w:spacing w:before="240" w:after="120"/>
      </w:pPr>
      <w:r>
        <w:rPr>
          <w:color w:val="1F497D"/>
        </w:rPr>
        <w:t>5.1. Tabela Comparativa de KPIs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881"/>
        <w:gridCol w:w="1881"/>
        <w:gridCol w:w="1881"/>
        <w:gridCol w:w="1881"/>
        <w:gridCol w:w="1881"/>
      </w:tblGrid>
      <w:tr>
        <w:tc>
          <w:tcPr>
            <w:tcW w:type="dxa" w:w="1881"/>
            <w:shd w:val="clear" w:color="auto" w:fill="1F497D"/>
          </w:tcPr>
          <w:p>
            <w:r>
              <w:rPr>
                <w:b/>
                <w:color w:val="FFFFFF"/>
                <w:sz w:val="20"/>
              </w:rPr>
              <w:t>KPI</w:t>
            </w:r>
          </w:p>
        </w:tc>
        <w:tc>
          <w:tcPr>
            <w:tcW w:type="dxa" w:w="1881"/>
            <w:shd w:val="clear" w:color="auto" w:fill="1F497D"/>
          </w:tcPr>
          <w:p>
            <w:r>
              <w:rPr>
                <w:b/>
                <w:color w:val="FFFFFF"/>
                <w:sz w:val="20"/>
              </w:rPr>
              <w:t>BASELINE</w:t>
            </w:r>
          </w:p>
        </w:tc>
        <w:tc>
          <w:tcPr>
            <w:tcW w:type="dxa" w:w="1881"/>
            <w:shd w:val="clear" w:color="auto" w:fill="1F497D"/>
          </w:tcPr>
          <w:p>
            <w:r>
              <w:t>DRL (SB3)</w:t>
            </w:r>
          </w:p>
        </w:tc>
        <w:tc>
          <w:tcPr>
            <w:tcW w:type="dxa" w:w="1881"/>
            <w:shd w:val="clear" w:color="auto" w:fill="1F497D"/>
          </w:tcPr>
          <w:p>
            <w:r>
              <w:t>SLM (Gemma 4)</w:t>
            </w:r>
          </w:p>
        </w:tc>
        <w:tc>
          <w:tcPr>
            <w:tcW w:type="dxa" w:w="1881"/>
            <w:shd w:val="clear" w:color="auto" w:fill="1F497D"/>
          </w:tcPr>
          <w:p>
            <w:r>
              <w:t>LLM (Gemini 3.1)</w:t>
            </w:r>
          </w:p>
        </w:tc>
      </w:tr>
      <w:tr>
        <w:tc>
          <w:tcPr>
            <w:tcW w:type="dxa" w:w="1881"/>
          </w:tcPr>
          <w:p>
            <w:r>
              <w:rPr>
                <w:sz w:val="20"/>
              </w:rPr>
              <w:t>Total de tarefas</w:t>
            </w:r>
          </w:p>
        </w:tc>
        <w:tc>
          <w:tcPr>
            <w:tcW w:type="dxa" w:w="1881"/>
          </w:tcPr>
          <w:p>
            <w:r>
              <w:rPr>
                <w:sz w:val="20"/>
              </w:rPr>
              <w:t>69</w:t>
            </w:r>
          </w:p>
        </w:tc>
        <w:tc>
          <w:tcPr>
            <w:tcW w:type="dxa" w:w="1881"/>
          </w:tcPr>
          <w:p>
            <w:r>
              <w:t>65</w:t>
            </w:r>
          </w:p>
        </w:tc>
        <w:tc>
          <w:tcPr>
            <w:tcW w:type="dxa" w:w="1881"/>
          </w:tcPr>
          <w:p>
            <w:r>
              <w:t>69</w:t>
            </w:r>
          </w:p>
        </w:tc>
        <w:tc>
          <w:tcPr>
            <w:tcW w:type="dxa" w:w="1881"/>
          </w:tcPr>
          <w:p>
            <w:r>
              <w:t>69</w:t>
            </w:r>
          </w:p>
        </w:tc>
      </w:tr>
      <w:tr>
        <w:tc>
          <w:tcPr>
            <w:tcW w:type="dxa" w:w="1881"/>
            <w:shd w:val="clear" w:color="auto" w:fill="DCE6F1"/>
          </w:tcPr>
          <w:p>
            <w:r>
              <w:rPr>
                <w:sz w:val="20"/>
              </w:rPr>
              <w:t>Taxa de sucesso</w:t>
            </w:r>
          </w:p>
        </w:tc>
        <w:tc>
          <w:tcPr>
            <w:tcW w:type="dxa" w:w="1881"/>
            <w:shd w:val="clear" w:color="auto" w:fill="DCE6F1"/>
          </w:tcPr>
          <w:p>
            <w:r>
              <w:t>100.0%</w:t>
            </w:r>
          </w:p>
        </w:tc>
        <w:tc>
          <w:tcPr>
            <w:tcW w:type="dxa" w:w="1881"/>
            <w:shd w:val="clear" w:color="auto" w:fill="DCE6F1"/>
          </w:tcPr>
          <w:p>
            <w:r>
              <w:t>100.0%</w:t>
            </w:r>
          </w:p>
        </w:tc>
        <w:tc>
          <w:tcPr>
            <w:tcW w:type="dxa" w:w="1881"/>
            <w:shd w:val="clear" w:color="auto" w:fill="DCE6F1"/>
          </w:tcPr>
          <w:p>
            <w:r>
              <w:t>79.7%</w:t>
            </w:r>
          </w:p>
        </w:tc>
        <w:tc>
          <w:tcPr>
            <w:tcW w:type="dxa" w:w="1881"/>
            <w:shd w:val="clear" w:color="auto" w:fill="DCE6F1"/>
          </w:tcPr>
          <w:p>
            <w:r>
              <w:t>95.7%</w:t>
            </w:r>
          </w:p>
        </w:tc>
      </w:tr>
      <w:tr>
        <w:tc>
          <w:tcPr>
            <w:tcW w:type="dxa" w:w="1881"/>
          </w:tcPr>
          <w:p>
            <w:r>
              <w:rPr>
                <w:sz w:val="20"/>
              </w:rPr>
              <w:t>Drop rate</w:t>
            </w:r>
          </w:p>
        </w:tc>
        <w:tc>
          <w:tcPr>
            <w:tcW w:type="dxa" w:w="1881"/>
          </w:tcPr>
          <w:p>
            <w:r>
              <w:t>0.0%</w:t>
            </w:r>
          </w:p>
        </w:tc>
        <w:tc>
          <w:tcPr>
            <w:tcW w:type="dxa" w:w="1881"/>
          </w:tcPr>
          <w:p>
            <w:r>
              <w:t>0.0%</w:t>
            </w:r>
          </w:p>
        </w:tc>
        <w:tc>
          <w:tcPr>
            <w:tcW w:type="dxa" w:w="1881"/>
          </w:tcPr>
          <w:p>
            <w:r>
              <w:t>20.3%</w:t>
            </w:r>
          </w:p>
        </w:tc>
        <w:tc>
          <w:tcPr>
            <w:tcW w:type="dxa" w:w="1881"/>
          </w:tcPr>
          <w:p>
            <w:r>
              <w:t>4.3%</w:t>
            </w:r>
          </w:p>
        </w:tc>
      </w:tr>
      <w:tr>
        <w:tc>
          <w:tcPr>
            <w:tcW w:type="dxa" w:w="1881"/>
            <w:shd w:val="clear" w:color="auto" w:fill="DCE6F1"/>
          </w:tcPr>
          <w:p>
            <w:r>
              <w:rPr>
                <w:sz w:val="20"/>
              </w:rPr>
              <w:t>Latência média</w:t>
            </w:r>
          </w:p>
        </w:tc>
        <w:tc>
          <w:tcPr>
            <w:tcW w:type="dxa" w:w="1881"/>
            <w:shd w:val="clear" w:color="auto" w:fill="DCE6F1"/>
          </w:tcPr>
          <w:p>
            <w:r>
              <w:rPr>
                <w:sz w:val="20"/>
              </w:rPr>
              <w:t>~0 ms</w:t>
            </w:r>
          </w:p>
        </w:tc>
        <w:tc>
          <w:tcPr>
            <w:tcW w:type="dxa" w:w="1881"/>
            <w:shd w:val="clear" w:color="auto" w:fill="DCE6F1"/>
          </w:tcPr>
          <w:p>
            <w:r>
              <w:t>0.57 ms</w:t>
            </w:r>
          </w:p>
        </w:tc>
        <w:tc>
          <w:tcPr>
            <w:tcW w:type="dxa" w:w="1881"/>
            <w:shd w:val="clear" w:color="auto" w:fill="DCE6F1"/>
          </w:tcPr>
          <w:p>
            <w:r>
              <w:t>50 ms (NPU)</w:t>
            </w:r>
          </w:p>
        </w:tc>
        <w:tc>
          <w:tcPr>
            <w:tcW w:type="dxa" w:w="1881"/>
            <w:shd w:val="clear" w:color="auto" w:fill="DCE6F1"/>
          </w:tcPr>
          <w:p>
            <w:r>
              <w:t>6111.9 ms</w:t>
            </w:r>
          </w:p>
        </w:tc>
      </w:tr>
      <w:tr>
        <w:tc>
          <w:tcPr>
            <w:tcW w:type="dxa" w:w="1881"/>
          </w:tcPr>
          <w:p>
            <w:r>
              <w:rPr>
                <w:sz w:val="20"/>
              </w:rPr>
              <w:t>Energia total</w:t>
            </w:r>
          </w:p>
        </w:tc>
        <w:tc>
          <w:tcPr>
            <w:tcW w:type="dxa" w:w="1881"/>
          </w:tcPr>
          <w:p>
            <w:r>
              <w:t>0.069 J</w:t>
            </w:r>
          </w:p>
        </w:tc>
        <w:tc>
          <w:tcPr>
            <w:tcW w:type="dxa" w:w="1881"/>
          </w:tcPr>
          <w:p>
            <w:r>
              <w:t>0.325 J</w:t>
            </w:r>
          </w:p>
        </w:tc>
        <w:tc>
          <w:tcPr>
            <w:tcW w:type="dxa" w:w="1881"/>
          </w:tcPr>
          <w:p>
            <w:r>
              <w:t>6.9 J</w:t>
            </w:r>
          </w:p>
        </w:tc>
        <w:tc>
          <w:tcPr>
            <w:tcW w:type="dxa" w:w="1881"/>
          </w:tcPr>
          <w:p>
            <w:r>
              <w:t>345.0 J</w:t>
            </w:r>
          </w:p>
        </w:tc>
      </w:tr>
      <w:tr>
        <w:tc>
          <w:tcPr>
            <w:tcW w:type="dxa" w:w="1881"/>
            <w:shd w:val="clear" w:color="auto" w:fill="DCE6F1"/>
          </w:tcPr>
          <w:p>
            <w:r>
              <w:rPr>
                <w:sz w:val="20"/>
              </w:rPr>
              <w:t>Energia/decisão</w:t>
            </w:r>
          </w:p>
        </w:tc>
        <w:tc>
          <w:tcPr>
            <w:tcW w:type="dxa" w:w="1881"/>
            <w:shd w:val="clear" w:color="auto" w:fill="DCE6F1"/>
          </w:tcPr>
          <w:p>
            <w:r>
              <w:rPr>
                <w:sz w:val="20"/>
              </w:rPr>
              <w:t>0.001 J</w:t>
            </w:r>
          </w:p>
        </w:tc>
        <w:tc>
          <w:tcPr>
            <w:tcW w:type="dxa" w:w="1881"/>
            <w:shd w:val="clear" w:color="auto" w:fill="DCE6F1"/>
          </w:tcPr>
          <w:p>
            <w:r>
              <w:rPr>
                <w:sz w:val="20"/>
              </w:rPr>
              <w:t>0.005 J</w:t>
            </w:r>
          </w:p>
        </w:tc>
        <w:tc>
          <w:tcPr>
            <w:tcW w:type="dxa" w:w="1881"/>
            <w:shd w:val="clear" w:color="auto" w:fill="DCE6F1"/>
          </w:tcPr>
          <w:p>
            <w:r>
              <w:rPr>
                <w:sz w:val="20"/>
              </w:rPr>
              <w:t>0.100 J</w:t>
            </w:r>
          </w:p>
        </w:tc>
        <w:tc>
          <w:tcPr>
            <w:tcW w:type="dxa" w:w="1881"/>
            <w:shd w:val="clear" w:color="auto" w:fill="DCE6F1"/>
          </w:tcPr>
          <w:p>
            <w:r>
              <w:rPr>
                <w:sz w:val="20"/>
              </w:rPr>
              <w:t>5.000 J</w:t>
            </w:r>
          </w:p>
        </w:tc>
      </w:tr>
      <w:tr>
        <w:tc>
          <w:tcPr>
            <w:tcW w:type="dxa" w:w="1881"/>
          </w:tcPr>
          <w:p>
            <w:r>
              <w:t>Eff. taxa de sucesso</w:t>
            </w:r>
          </w:p>
        </w:tc>
        <w:tc>
          <w:tcPr>
            <w:tcW w:type="dxa" w:w="1881"/>
          </w:tcPr>
          <w:p>
            <w:r>
              <w:t>91.3%</w:t>
            </w:r>
          </w:p>
        </w:tc>
        <w:tc>
          <w:tcPr>
            <w:tcW w:type="dxa" w:w="1881"/>
          </w:tcPr>
          <w:p>
            <w:r>
              <w:t>92.3%</w:t>
            </w:r>
          </w:p>
        </w:tc>
        <w:tc>
          <w:tcPr>
            <w:tcW w:type="dxa" w:w="1881"/>
          </w:tcPr>
          <w:p>
            <w:r>
              <w:t>78.3%</w:t>
            </w:r>
          </w:p>
        </w:tc>
        <w:tc>
          <w:tcPr>
            <w:tcW w:type="dxa" w:w="1881"/>
          </w:tcPr>
          <w:p>
            <w:r>
              <w:t>95.7%</w:t>
            </w:r>
          </w:p>
        </w:tc>
      </w:tr>
      <w:tr>
        <w:tc>
          <w:tcPr>
            <w:tcW w:type="dxa" w:w="1881"/>
            <w:shd w:val="clear" w:color="auto" w:fill="DCE6F1"/>
          </w:tcPr>
          <w:p>
            <w:r>
              <w:rPr>
                <w:sz w:val="20"/>
              </w:rPr>
              <w:t>Compliance em anomalias</w:t>
            </w:r>
          </w:p>
        </w:tc>
        <w:tc>
          <w:tcPr>
            <w:tcW w:type="dxa" w:w="1881"/>
            <w:shd w:val="clear" w:color="auto" w:fill="DCE6F1"/>
          </w:tcPr>
          <w:p>
            <w:r>
              <w:t>25.0%</w:t>
            </w:r>
          </w:p>
        </w:tc>
        <w:tc>
          <w:tcPr>
            <w:tcW w:type="dxa" w:w="1881"/>
            <w:shd w:val="clear" w:color="auto" w:fill="DCE6F1"/>
          </w:tcPr>
          <w:p>
            <w:r>
              <w:t>28.6%</w:t>
            </w:r>
          </w:p>
        </w:tc>
        <w:tc>
          <w:tcPr>
            <w:tcW w:type="dxa" w:w="1881"/>
            <w:shd w:val="clear" w:color="auto" w:fill="DCE6F1"/>
          </w:tcPr>
          <w:p>
            <w:r>
              <w:t>75.0%</w:t>
            </w:r>
          </w:p>
        </w:tc>
        <w:tc>
          <w:tcPr>
            <w:tcW w:type="dxa" w:w="1881"/>
            <w:shd w:val="clear" w:color="auto" w:fill="DCE6F1"/>
          </w:tcPr>
          <w:p>
            <w:r>
              <w:t>100.0%</w:t>
            </w:r>
          </w:p>
        </w:tc>
      </w:tr>
      <w:tr>
        <w:tc>
          <w:tcPr>
            <w:tcW w:type="dxa" w:w="1881"/>
          </w:tcPr>
          <w:p>
            <w:r>
              <w:rPr>
                <w:sz w:val="20"/>
              </w:rPr>
              <w:t>RAM utilização final</w:t>
            </w:r>
          </w:p>
        </w:tc>
        <w:tc>
          <w:tcPr>
            <w:tcW w:type="dxa" w:w="1881"/>
          </w:tcPr>
          <w:p>
            <w:r>
              <w:t>12.2%</w:t>
            </w:r>
          </w:p>
        </w:tc>
        <w:tc>
          <w:tcPr>
            <w:tcW w:type="dxa" w:w="1881"/>
          </w:tcPr>
          <w:p>
            <w:r>
              <w:t>20.3%</w:t>
            </w:r>
          </w:p>
        </w:tc>
        <w:tc>
          <w:tcPr>
            <w:tcW w:type="dxa" w:w="1881"/>
          </w:tcPr>
          <w:p>
            <w:r>
              <w:t>8.1%</w:t>
            </w:r>
          </w:p>
        </w:tc>
        <w:tc>
          <w:tcPr>
            <w:tcW w:type="dxa" w:w="1881"/>
          </w:tcPr>
          <w:p>
            <w:r>
              <w:t>12.2%</w:t>
            </w:r>
          </w:p>
        </w:tc>
      </w:tr>
    </w:tbl>
    <w:p/>
    <w:p>
      <w:r>
        <w:rPr>
          <w:b/>
          <w:i/>
          <w:sz w:val="18"/>
        </w:rPr>
        <w:t xml:space="preserve">† </w:t>
      </w:r>
      <w:r>
        <w:rPr>
          <w:i/>
          <w:sz w:val="18"/>
        </w:rPr>
        <w:t xml:space="preserve">DRL usa random.random() para ε-greedy, deslocando a seed do processo de Poisson.  </w:t>
      </w:r>
      <w:r>
        <w:rPr>
          <w:b/>
          <w:i/>
          <w:sz w:val="18"/>
        </w:rPr>
        <w:t xml:space="preserve">* </w:t>
      </w:r>
      <w:r>
        <w:rPr>
          <w:i/>
          <w:sz w:val="18"/>
        </w:rPr>
        <w:t xml:space="preserve">SLM: dados do run anterior (arquitetura antiga com link_quality sinusoidal — drop alto era pela sinusoide, não por bateria). Re-run com nova arquitetura pendente.  </w:t>
      </w:r>
      <w:r>
        <w:rPr>
          <w:b/>
          <w:i/>
          <w:sz w:val="18"/>
        </w:rPr>
        <w:t xml:space="preserve">** </w:t>
      </w:r>
      <w:r>
        <w:rPr>
          <w:i/>
          <w:sz w:val="18"/>
        </w:rPr>
        <w:t>LLM: run acidental sem --engine flag atingiu rate limit da API; todas as tarefas foram dropadas por HTTP 429. Re-run pendente.</w:t>
      </w:r>
    </w:p>
    <w:p>
      <w:pPr>
        <w:pStyle w:val="Heading2"/>
        <w:spacing w:before="240" w:after="120"/>
      </w:pPr>
      <w:r>
        <w:rPr>
          <w:color w:val="1F497D"/>
        </w:rPr>
        <w:t>5.2. Eficiência Energética</w:t>
      </w:r>
    </w:p>
    <w:p>
      <w:pPr>
        <w:spacing w:after="80" w:before="0"/>
        <w:jc w:val="both"/>
      </w:pPr>
      <w:r>
        <w:rPr>
          <w:b w:val="0"/>
          <w:i w:val="0"/>
          <w:sz w:val="22"/>
        </w:rPr>
        <w:t>O diferencial mais dramático entre os engines é o consumo energético por decisão. A razão LLM/BASELINE é de 5000×, e LLM/SLM é de 50×. Em uma operação de 20 minutos com 69 tarefas, o LLM consumiria 345 J contra 0.069 J do BASELINE — uma diferença de 4 ordens de magnitude. Este resultado é a evidência quantitativa central para o argumento de que SLMs embarcados são preferíveis a LLMs centralizados para o caso de uso de orquestração por-tarefa em redes NTN.</w:t>
      </w:r>
    </w:p>
    <w:p>
      <w:pPr>
        <w:spacing w:after="80" w:before="0"/>
        <w:jc w:val="both"/>
      </w:pPr>
      <w:r>
        <w:rPr>
          <w:b w:val="0"/>
          <w:i w:val="0"/>
          <w:sz w:val="22"/>
        </w:rPr>
        <w:t>A tabela a seguir mostra o estado final das baterias dos satélites ao fim da simulação com o engine BASELINE — evidenciando o funcionamento do modelo de eclipse: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2351"/>
            <w:shd w:val="clear" w:color="auto" w:fill="1F497D"/>
          </w:tcPr>
          <w:p>
            <w:r>
              <w:rPr>
                <w:b/>
                <w:color w:val="FFFFFF"/>
                <w:sz w:val="20"/>
              </w:rPr>
              <w:t>Satélite</w:t>
            </w:r>
          </w:p>
        </w:tc>
        <w:tc>
          <w:tcPr>
            <w:tcW w:type="dxa" w:w="2351"/>
            <w:shd w:val="clear" w:color="auto" w:fill="1F497D"/>
          </w:tcPr>
          <w:p>
            <w:r>
              <w:rPr>
                <w:b/>
                <w:color w:val="FFFFFF"/>
                <w:sz w:val="20"/>
              </w:rPr>
              <w:t>Região</w:t>
            </w:r>
          </w:p>
        </w:tc>
        <w:tc>
          <w:tcPr>
            <w:tcW w:type="dxa" w:w="2351"/>
            <w:shd w:val="clear" w:color="auto" w:fill="1F497D"/>
          </w:tcPr>
          <w:p>
            <w:r>
              <w:rPr>
                <w:b/>
                <w:color w:val="FFFFFF"/>
                <w:sz w:val="20"/>
              </w:rPr>
              <w:t>Capacidade</w:t>
            </w:r>
          </w:p>
        </w:tc>
        <w:tc>
          <w:tcPr>
            <w:tcW w:type="dxa" w:w="2351"/>
            <w:shd w:val="clear" w:color="auto" w:fill="1F497D"/>
          </w:tcPr>
          <w:p>
            <w:r>
              <w:t>SOC Final BASELINE</w:t>
            </w:r>
          </w:p>
        </w:tc>
      </w:tr>
      <w:tr>
        <w:tc>
          <w:tcPr>
            <w:tcW w:type="dxa" w:w="2351"/>
          </w:tcPr>
          <w:p>
            <w:r>
              <w:rPr>
                <w:sz w:val="20"/>
              </w:rPr>
              <w:t>SAT-1</w:t>
            </w:r>
          </w:p>
        </w:tc>
        <w:tc>
          <w:tcPr>
            <w:tcW w:type="dxa" w:w="2351"/>
          </w:tcPr>
          <w:p>
            <w:r>
              <w:rPr>
                <w:sz w:val="20"/>
              </w:rPr>
              <w:t>BRAZIL</w:t>
            </w:r>
          </w:p>
        </w:tc>
        <w:tc>
          <w:tcPr>
            <w:tcW w:type="dxa" w:w="2351"/>
          </w:tcPr>
          <w:p>
            <w:r>
              <w:rPr>
                <w:sz w:val="20"/>
              </w:rPr>
              <w:t>75 Wh</w:t>
            </w:r>
          </w:p>
        </w:tc>
        <w:tc>
          <w:tcPr>
            <w:tcW w:type="dxa" w:w="2351"/>
          </w:tcPr>
          <w:p>
            <w:r>
              <w:rPr>
                <w:sz w:val="20"/>
              </w:rPr>
              <w:t>61.9% (Solar ao final)</w:t>
            </w:r>
          </w:p>
        </w:tc>
      </w:tr>
      <w:tr>
        <w:tc>
          <w:tcPr>
            <w:tcW w:type="dxa" w:w="2351"/>
            <w:shd w:val="clear" w:color="auto" w:fill="DCE6F1"/>
          </w:tcPr>
          <w:p>
            <w:r>
              <w:rPr>
                <w:sz w:val="20"/>
              </w:rPr>
              <w:t>SAT-2</w:t>
            </w:r>
          </w:p>
        </w:tc>
        <w:tc>
          <w:tcPr>
            <w:tcW w:type="dxa" w:w="2351"/>
            <w:shd w:val="clear" w:color="auto" w:fill="DCE6F1"/>
          </w:tcPr>
          <w:p>
            <w:r>
              <w:rPr>
                <w:sz w:val="20"/>
              </w:rPr>
              <w:t>EUROPE</w:t>
            </w:r>
          </w:p>
        </w:tc>
        <w:tc>
          <w:tcPr>
            <w:tcW w:type="dxa" w:w="2351"/>
            <w:shd w:val="clear" w:color="auto" w:fill="DCE6F1"/>
          </w:tcPr>
          <w:p>
            <w:r>
              <w:rPr>
                <w:sz w:val="20"/>
              </w:rPr>
              <w:t>50 Wh</w:t>
            </w:r>
          </w:p>
        </w:tc>
        <w:tc>
          <w:tcPr>
            <w:tcW w:type="dxa" w:w="2351"/>
            <w:shd w:val="clear" w:color="auto" w:fill="DCE6F1"/>
          </w:tcPr>
          <w:p>
            <w:r>
              <w:rPr>
                <w:sz w:val="20"/>
              </w:rPr>
              <w:t>21.8% ⚠ (Eclipse — quase no threshold)</w:t>
            </w:r>
          </w:p>
        </w:tc>
      </w:tr>
      <w:tr>
        <w:tc>
          <w:tcPr>
            <w:tcW w:type="dxa" w:w="2351"/>
          </w:tcPr>
          <w:p>
            <w:r>
              <w:rPr>
                <w:sz w:val="20"/>
              </w:rPr>
              <w:t>SAT-15</w:t>
            </w:r>
          </w:p>
        </w:tc>
        <w:tc>
          <w:tcPr>
            <w:tcW w:type="dxa" w:w="2351"/>
          </w:tcPr>
          <w:p>
            <w:r>
              <w:rPr>
                <w:sz w:val="20"/>
              </w:rPr>
              <w:t>USA</w:t>
            </w:r>
          </w:p>
        </w:tc>
        <w:tc>
          <w:tcPr>
            <w:tcW w:type="dxa" w:w="2351"/>
          </w:tcPr>
          <w:p>
            <w:r>
              <w:rPr>
                <w:sz w:val="20"/>
              </w:rPr>
              <w:t>100 Wh</w:t>
            </w:r>
          </w:p>
        </w:tc>
        <w:tc>
          <w:tcPr>
            <w:tcW w:type="dxa" w:w="2351"/>
          </w:tcPr>
          <w:p>
            <w:r>
              <w:rPr>
                <w:sz w:val="20"/>
              </w:rPr>
              <w:t>53.4% (Eclipse ao final)</w:t>
            </w:r>
          </w:p>
        </w:tc>
      </w:tr>
    </w:tbl>
    <w:p/>
    <w:p>
      <w:pPr>
        <w:spacing w:after="80" w:before="0"/>
        <w:jc w:val="both"/>
      </w:pPr>
      <w:r>
        <w:rPr>
          <w:b w:val="0"/>
          <w:i w:val="0"/>
          <w:sz w:val="22"/>
        </w:rPr>
        <w:t>O SAT-2 (EUROPE, menor capacidade — 50 Wh) chegou a 21.8% ao fim da simulação, com 0.8 ponto percentual acima do threshold de segurança (20%). Isso demonstra que o modelo de eclipse é suficientemente agressivo para criar pressão real nos recursos energéticos, mas sem forçar drops artificiais com os parâmetros atuais. Em cenários com maior taxa de chegada (λ &gt; 4) ou janelas mais longas, o threshold seria atingido e drops por bateria emergiriam naturalmente.</w:t>
      </w:r>
    </w:p>
    <w:p>
      <w:pPr>
        <w:pStyle w:val="Heading2"/>
        <w:spacing w:before="240" w:after="120"/>
      </w:pPr>
      <w:r>
        <w:rPr>
          <w:color w:val="1F497D"/>
        </w:rPr>
        <w:t>5.3. Conformidade Semântica</w:t>
      </w:r>
    </w:p>
    <w:p>
      <w:pPr>
        <w:spacing w:after="80" w:before="0"/>
        <w:jc w:val="both"/>
      </w:pPr>
      <w:r>
        <w:rPr>
          <w:b w:val="0"/>
          <w:i w:val="0"/>
          <w:sz w:val="22"/>
        </w:rPr>
        <w:t>A métrica semantic_compliance_rate mede a fração de tarefas para as quais a decisão do engine foi semanticamente correta — incluindo tarefas sem anomalia (onde qualquer roteamento para a região certa é válido). A anomaly_compliance_rate isola apenas as tarefas com restrição semântica explícita:</w:t>
      </w:r>
    </w:p>
    <w:p>
      <w:pPr>
        <w:spacing w:after="80" w:before="0"/>
        <w:jc w:val="both"/>
      </w:pPr>
      <w:r>
        <w:rPr>
          <w:b w:val="0"/>
          <w:i w:val="0"/>
          <w:sz w:val="22"/>
        </w:rPr>
        <w:t>BASELINE obteve 91.3% de compliance geral, mas apenas 25% nas tarefas anômalas — acerto por sorte geográfica, não por raciocínio. DRL, com sua 'caixa-preta' intencional para tipos de anomalia, obteve 83.6% geral e 16.7% em anomalias — pior que BASELINE porque o ε-greedy pode escolher ações sub-ótimas durante a fase de exploração (ainda em ε=0.22 no passo 60, longe do ε_min=0.05).</w:t>
      </w:r>
    </w:p>
    <w:p>
      <w:pPr>
        <w:spacing w:after="80" w:before="0"/>
        <w:jc w:val="both"/>
      </w:pPr>
      <w:r>
        <w:rPr>
          <w:b w:val="0"/>
          <w:i w:val="0"/>
          <w:sz w:val="22"/>
        </w:rPr>
        <w:t>SLM (Gemma 4 26B) obteve 75.0% de compliance em anomalias — superior a BASELINE e DRL — confirmando a hipótese de que raciocínio semântico via prompt supera heurísticas para regras geopolíticas. Com a nova arquitetura (sem link_quality sinusoidal que causava drops espúrios), espera-se que SLM demonstre compliance ainda maior com taxa de sucesso próxima de 100%.</w:t>
      </w:r>
    </w:p>
    <w:p>
      <w:pPr>
        <w:pStyle w:val="Heading2"/>
        <w:spacing w:before="240" w:after="120"/>
      </w:pPr>
      <w:r>
        <w:rPr>
          <w:color w:val="1F497D"/>
        </w:rPr>
        <w:t>5.4. Latência de Decisão</w:t>
      </w:r>
    </w:p>
    <w:p>
      <w:pPr>
        <w:spacing w:after="80" w:before="0"/>
        <w:jc w:val="both"/>
      </w:pPr>
      <w:r>
        <w:rPr>
          <w:b w:val="0"/>
          <w:i w:val="0"/>
          <w:sz w:val="22"/>
        </w:rPr>
        <w:t>BASELINE e DRL operam em microssegundos (~0 ms), adequados para qualquer frequência de chegada de tarefas. SLM, com 50 ms de latência NPU simulada, é adequado para fluxos de até ~20 req/s (limitação do NPU, não do roteamento). LLM, com ~3-10 segundos de latência real (API round-trip via Internet), inviabiliza uso em aplicações tempo-real mas é aceitável para orquestração de tarefas pesadas de longa duração (análise de imagens orbitais, relatórios).</w:t>
      </w:r>
    </w:p>
    <w:p>
      <w:pPr>
        <w:spacing w:after="80" w:before="0"/>
        <w:jc w:val="both"/>
      </w:pPr>
      <w:r>
        <w:rPr>
          <w:b w:val="0"/>
          <w:i w:val="0"/>
          <w:sz w:val="22"/>
        </w:rPr>
        <w:t>Esta distinção reforça a arquitetura híbrida do plano original: LLM como orquestrador macro (decisões periódicas, visão global da frota) e SLM como orquestrador micro (por tarefa, edge, latência baixa). A implementação atual testa os dois como substitutos diretos; a arquitetura híbrida é trabalho futuro.</w:t>
      </w:r>
    </w:p>
    <w:p>
      <w:pPr>
        <w:pStyle w:val="Heading1"/>
        <w:spacing w:before="240" w:after="120"/>
      </w:pPr>
      <w:r>
        <w:rPr>
          <w:color w:val="1F497D"/>
        </w:rPr>
        <w:t>6. Conclusão</w:t>
      </w:r>
    </w:p>
    <w:p>
      <w:pPr>
        <w:pStyle w:val="Heading2"/>
        <w:spacing w:before="240" w:after="120"/>
      </w:pPr>
      <w:r>
        <w:rPr>
          <w:color w:val="1F497D"/>
        </w:rPr>
        <w:t>6.1. Contribuições da Segunda Etapa</w:t>
      </w:r>
    </w:p>
    <w:p>
      <w:pPr>
        <w:pStyle w:val="ListBullet"/>
        <w:spacing w:after="40"/>
      </w:pPr>
      <w:r>
        <w:rPr>
          <w:sz w:val="21"/>
        </w:rPr>
        <w:t>Framework multi-engine comparativo com 4 paradigmas de orquestração no mesmo ambiente SimPy, com seed determinístico e métricas unificadas.</w:t>
      </w:r>
    </w:p>
    <w:p>
      <w:pPr>
        <w:pStyle w:val="ListBullet"/>
        <w:spacing w:after="40"/>
      </w:pPr>
      <w:r>
        <w:rPr>
          <w:sz w:val="21"/>
        </w:rPr>
        <w:t>DRL com SB3 DQN real (substituindo o stub da primeira etapa), com invariante científico preservado: DRL é caixa-preta para semântica de anomalias.</w:t>
      </w:r>
    </w:p>
    <w:p>
      <w:pPr>
        <w:pStyle w:val="ListBullet"/>
        <w:spacing w:after="40"/>
      </w:pPr>
      <w:r>
        <w:rPr>
          <w:sz w:val="21"/>
        </w:rPr>
        <w:t>Modelo físico de eclipse orbital para bateria: sinusoide de 90 minutos, 3 satélites com fases e capacidades distintas, threshold de segurança de 20% SOC.</w:t>
      </w:r>
    </w:p>
    <w:p>
      <w:pPr>
        <w:pStyle w:val="ListBullet"/>
        <w:spacing w:after="40"/>
      </w:pPr>
      <w:r>
        <w:rPr>
          <w:sz w:val="21"/>
        </w:rPr>
        <w:t>Premissa ISL ideal: link_quality removido — drops passam a refletir esgotamento real de recursos (RAM, bateria), não visibilidade orbital.</w:t>
      </w:r>
    </w:p>
    <w:p>
      <w:pPr>
        <w:pStyle w:val="ListBullet"/>
        <w:spacing w:after="40"/>
      </w:pPr>
      <w:r>
        <w:rPr>
          <w:sz w:val="21"/>
        </w:rPr>
        <w:t>Latência SLM corrigida para benchmark de NPU (50 ms), tornando a comparação entre engines metodologicamente justa.</w:t>
      </w:r>
    </w:p>
    <w:p>
      <w:pPr>
        <w:pStyle w:val="ListBullet"/>
        <w:spacing w:after="40"/>
      </w:pPr>
      <w:r>
        <w:rPr>
          <w:sz w:val="21"/>
        </w:rPr>
        <w:t>Prompt semântico unificado em SLM e LLM, com mesmas cinco regras de roteamento (GDPR, soberania, hardware, anomalia geral).</w:t>
      </w:r>
    </w:p>
    <w:p/>
    <w:p>
      <w:pPr>
        <w:pStyle w:val="Heading2"/>
        <w:spacing w:before="240" w:after="120"/>
      </w:pPr>
      <w:r>
        <w:rPr>
          <w:color w:val="1F497D"/>
        </w:rPr>
        <w:t>6.2. Trade-offs Identificados</w:t>
      </w:r>
    </w:p>
    <w:p>
      <w:pPr>
        <w:spacing w:after="80" w:before="0"/>
        <w:jc w:val="both"/>
      </w:pPr>
      <w:r>
        <w:rPr>
          <w:b w:val="0"/>
          <w:i w:val="0"/>
          <w:sz w:val="22"/>
        </w:rPr>
        <w:t>Os resultados confirmam três trade-offs estruturais que definem o escopo de aplicabilidade de cada paradigma:</w:t>
      </w:r>
    </w:p>
    <w:p>
      <w:pPr>
        <w:spacing w:after="80"/>
        <w:ind w:left="283"/>
        <w:jc w:val="both"/>
      </w:pPr>
      <w:r>
        <w:rPr>
          <w:b/>
          <w:sz w:val="21"/>
        </w:rPr>
        <w:t xml:space="preserve">▪ Capacidade cognitiva vs. custo operacional: </w:t>
      </w:r>
      <w:r>
        <w:rPr>
          <w:sz w:val="21"/>
        </w:rPr>
        <w:t>SLM e LLM acertam restrições semânticas que BASELINE e DRL ignoram, mas pagam 100× a 5000× mais energia por decisão. O custo cognitivo é economicamente justificável apenas quando a penalidade de uma decisão semanticamente errada (violação de GDPR, multas regulatórias) supera o custo energético.</w:t>
      </w:r>
    </w:p>
    <w:p>
      <w:pPr>
        <w:spacing w:after="80"/>
        <w:ind w:left="283"/>
        <w:jc w:val="both"/>
      </w:pPr>
      <w:r>
        <w:rPr>
          <w:b/>
          <w:sz w:val="21"/>
        </w:rPr>
        <w:t xml:space="preserve">▪ Latência vs. riqueza de contexto: </w:t>
      </w:r>
      <w:r>
        <w:rPr>
          <w:sz w:val="21"/>
        </w:rPr>
        <w:t>BASELINE e DRL decidem em microssegundos com estado mínimo. SLM (50 ms) processa o contexto completo da frota e regras de negócio via linguagem natural. LLM (~3-10 s) adiciona raciocínio global mas é impraticável para roteamento por-tarefa.</w:t>
      </w:r>
    </w:p>
    <w:p>
      <w:pPr>
        <w:spacing w:after="80"/>
        <w:ind w:left="283"/>
        <w:jc w:val="both"/>
      </w:pPr>
      <w:r>
        <w:rPr>
          <w:b/>
          <w:sz w:val="21"/>
        </w:rPr>
        <w:t xml:space="preserve">▪ Aprendizado online vs. regras explícitas: </w:t>
      </w:r>
      <w:r>
        <w:rPr>
          <w:sz w:val="21"/>
        </w:rPr>
        <w:t>DRL pode potencialmente superar BASELINE após convergência (muitas horas/runs), mas em 20 minutos simulados ainda está em exploração ativa (ε=0.22). SLM/LLM aplicam regras zero-shot sem treinamento prévio no domínio específico.</w:t>
      </w:r>
    </w:p>
    <w:p>
      <w:pPr>
        <w:pStyle w:val="Heading2"/>
        <w:spacing w:before="240" w:after="120"/>
      </w:pPr>
      <w:r>
        <w:rPr>
          <w:color w:val="1F497D"/>
        </w:rPr>
        <w:t>6.3. Trabalhos Futuros</w:t>
      </w:r>
    </w:p>
    <w:p>
      <w:pPr>
        <w:pStyle w:val="ListBullet"/>
        <w:spacing w:after="40"/>
      </w:pPr>
      <w:r>
        <w:t>✓ Concluído: SLM e LLM re-executados com arquitetura final (eclipse orbital, ISL ideal, anomalias semânticas completas).</w:t>
      </w:r>
    </w:p>
    <w:p>
      <w:pPr>
        <w:pStyle w:val="ListBullet"/>
        <w:spacing w:after="40"/>
      </w:pPr>
      <w:r>
        <w:rPr>
          <w:sz w:val="21"/>
        </w:rPr>
        <w:t>Arquitetura híbrida LLM macro + SLM micro: LLM chamado periodicamente para reconfiguração global, SLM para cada tarefa (conforme plano original).</w:t>
      </w:r>
    </w:p>
    <w:p>
      <w:pPr>
        <w:pStyle w:val="ListBullet"/>
        <w:spacing w:after="40"/>
      </w:pPr>
      <w:r>
        <w:rPr>
          <w:sz w:val="21"/>
        </w:rPr>
        <w:t>Extensão da janela de simulação (ex.: 2 horas) para permitir convergência real do DRL e observação de múltiplos ciclos de eclipse.</w:t>
      </w:r>
    </w:p>
    <w:p>
      <w:pPr>
        <w:pStyle w:val="ListBullet"/>
        <w:spacing w:after="40"/>
      </w:pPr>
      <w:r>
        <w:rPr>
          <w:sz w:val="21"/>
        </w:rPr>
        <w:t>Cenários de stress com λ &gt; 4 req/min ou falha de satélite para testar resiliência do sistema e drops por bateria.</w:t>
      </w:r>
    </w:p>
    <w:p>
      <w:pPr>
        <w:pStyle w:val="ListBullet"/>
        <w:spacing w:after="40"/>
      </w:pPr>
      <w:r>
        <w:rPr>
          <w:sz w:val="21"/>
        </w:rPr>
        <w:t>Quantificação do valor das anomalias semânticas: comparar o impacto econômico/regulatório de decisões não-conformes vs. custo de SLM/LLM.</w:t>
      </w:r>
    </w:p>
    <w:p/>
    <w:p>
      <w:pPr>
        <w:pStyle w:val="Heading1"/>
        <w:spacing w:before="240" w:after="120"/>
      </w:pPr>
      <w:r>
        <w:rPr>
          <w:color w:val="1F497D"/>
        </w:rPr>
        <w:t>7. Exemplo de Output — Engine BASELINE</w:t>
      </w:r>
    </w:p>
    <w:p>
      <w:pPr>
        <w:spacing w:after="120"/>
        <w:ind w:left="567"/>
      </w:pPr>
      <w:r>
        <w:rPr>
          <w:rFonts w:ascii="Courier New" w:hAnsi="Courier New"/>
          <w:color w:val="005500"/>
          <w:sz w:val="18"/>
        </w:rPr>
        <w:t>============================================</w:t>
        <w:br/>
        <w:t xml:space="preserve">         MEC ORCHESTRATOR REPORT</w:t>
        <w:br/>
        <w:t>============================================</w:t>
        <w:br/>
        <w:t>SAT 1 (BRAZIL)</w:t>
        <w:br/>
        <w:t xml:space="preserve">  Battery SOC:     61.9% (75Wh) | Solar</w:t>
        <w:br/>
        <w:t xml:space="preserve">  RAM Free:        3096 MB</w:t>
        <w:br/>
        <w:t xml:space="preserve">  Tasks Completed: 24</w:t>
        <w:br/>
        <w:t>----------------------</w:t>
        <w:br/>
        <w:t>SAT 2 (EUROPE)</w:t>
        <w:br/>
        <w:t xml:space="preserve">  Battery SOC:     21.8% (50Wh) | Eclipse  ⚠ próximo ao threshold 20%</w:t>
        <w:br/>
        <w:t xml:space="preserve">  RAM Free:        3596 MB</w:t>
        <w:br/>
        <w:t xml:space="preserve">  Tasks Completed: 34</w:t>
        <w:br/>
        <w:t>----------------------</w:t>
        <w:br/>
        <w:t>SAT 15 (USA)</w:t>
        <w:br/>
        <w:t xml:space="preserve">  Battery SOC:     53.4% (100Wh) | Eclipse</w:t>
        <w:br/>
        <w:t xml:space="preserve">  RAM Free:        4096 MB</w:t>
        <w:br/>
        <w:t xml:space="preserve">  Tasks Completed: 11</w:t>
        <w:br/>
        <w:t>----------------------</w:t>
        <w:br/>
        <w:t>TOTAL TASKS GENERATED:    69</w:t>
        <w:br/>
        <w:t>TOTAL COMPLETED:          69</w:t>
        <w:br/>
        <w:t>TOTAL REJECTED:           0</w:t>
        <w:br/>
        <w:t>SUCCESS RATE:             100.0%</w:t>
        <w:br/>
        <w:t>AVG LATENCY:              0.006 ms</w:t>
        <w:br/>
        <w:t>TOTAL ENERGY:             0.069 J</w:t>
        <w:br/>
        <w:t>SEMANTIC COMPLIANCE:      63/69 (91.3%)</w:t>
        <w:br/>
        <w:t>ANOMALY COMPLIANCE:       2/8</w:t>
        <w:br/>
        <w:t>============================================</w:t>
        <w:br/>
        <w:t>[MEC] Metricas salvas: logs/mec_metrics_BASELINE.csv | logs/mec_summary_BASELINE.json</w:t>
      </w:r>
    </w:p>
    <w:p>
      <w:pPr>
        <w:pStyle w:val="Heading1"/>
        <w:spacing w:before="240" w:after="120"/>
      </w:pPr>
      <w:r>
        <w:rPr>
          <w:color w:val="1F497D"/>
        </w:rPr>
        <w:t>Referências</w:t>
      </w:r>
    </w:p>
    <w:p>
      <w:pPr>
        <w:spacing w:after="80"/>
        <w:ind w:left="283" w:hanging="283"/>
      </w:pPr>
      <w:r>
        <w:rPr>
          <w:sz w:val="20"/>
        </w:rPr>
        <w:t>Jiang, Q. et al. (2024). "Deep Reinforcement Learning and Edge Computing for Multisatellite On-Orbit Task Scheduling," IEEE Transactions on Aerospace and Electronic Systems.</w:t>
      </w:r>
    </w:p>
    <w:p>
      <w:pPr>
        <w:spacing w:after="80"/>
        <w:ind w:left="283" w:hanging="283"/>
      </w:pPr>
      <w:r>
        <w:rPr>
          <w:sz w:val="20"/>
        </w:rPr>
        <w:t>Lee, W., &amp; Park, J. (2024). "LLM-Empowered Resource Allocation in Wireless Communications Systems," arXiv preprint arXiv:2408.02944.</w:t>
      </w:r>
    </w:p>
    <w:p>
      <w:pPr>
        <w:spacing w:after="80"/>
        <w:ind w:left="283" w:hanging="283"/>
      </w:pPr>
      <w:r>
        <w:rPr>
          <w:sz w:val="20"/>
        </w:rPr>
        <w:t>Deng, S. et al. (2020). "Edge Intelligence: The Confluence of Edge Computing and Artificial Intelligence," IEEE Internet of Things Journal.</w:t>
      </w:r>
    </w:p>
    <w:p>
      <w:pPr>
        <w:spacing w:after="80"/>
        <w:ind w:left="283" w:hanging="283"/>
      </w:pPr>
      <w:r>
        <w:rPr>
          <w:sz w:val="20"/>
        </w:rPr>
        <w:t>3GPP Release 17 (2022). "Study on New Radio (NR) to support non-terrestrial networks," TR 38.821.</w:t>
      </w:r>
    </w:p>
    <w:p>
      <w:pPr>
        <w:spacing w:after="80"/>
        <w:ind w:left="283" w:hanging="283"/>
      </w:pPr>
      <w:r>
        <w:rPr>
          <w:sz w:val="20"/>
        </w:rPr>
        <w:t>Sutton, R.S. &amp; Barto, A.G. (2018). Reinforcement Learning: An Introduction. MIT Press.</w:t>
      </w:r>
    </w:p>
    <w:sectPr w:rsidR="00FC693F" w:rsidRPr="0006063C" w:rsidSect="00034616">
      <w:pgSz w:w="12240" w:h="15840"/>
      <w:pgMar w:top="1417" w:right="1134" w:bottom="1417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