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0"/>
      </w:pPr>
      <w:r>
        <w:rPr>
          <w:rFonts w:ascii="Calibri" w:cs="Calibri" w:eastAsia="Calibri" w:hAnsi="Calibri"/>
          <w:b/>
          <w:bCs/>
          <w:color w:val="0B6E68"/>
          <w:spacing w:val="40"/>
          <w:sz w:val="18"/>
          <w:szCs w:val="18"/>
        </w:rPr>
        <w:t xml:space="preserve">OCTMARK TECHNOLOGIES</w:t>
      </w:r>
    </w:p>
    <w:p>
      <w:pPr>
        <w:pBdr>
          <w:bottom w:val="single" w:color="0C2233" w:sz="18" w:space="6"/>
        </w:pBdr>
        <w:spacing w:after="6"/>
      </w:pPr>
      <w:r>
        <w:rPr>
          <w:rFonts w:ascii="Cambria" w:cs="Cambria" w:eastAsia="Cambria" w:hAnsi="Cambria"/>
          <w:b/>
          <w:bCs/>
          <w:color w:val="0C2233"/>
          <w:sz w:val="42"/>
          <w:szCs w:val="42"/>
        </w:rPr>
        <w:t xml:space="preserve">Dr. Chandrashekar P — Portfolio Website</w:t>
      </w:r>
    </w:p>
    <w:p>
      <w:pPr>
        <w:spacing w:after="4" w:before="120"/>
      </w:pPr>
      <w:r>
        <w:rPr>
          <w:rFonts w:ascii="Cambria" w:cs="Cambria" w:eastAsia="Cambria" w:hAnsi="Cambria"/>
          <w:color w:val="0C2233"/>
          <w:sz w:val="26"/>
          <w:szCs w:val="26"/>
        </w:rPr>
        <w:t xml:space="preserve">UI/UX Structure &amp; Design Specification</w:t>
      </w:r>
    </w:p>
    <w:p>
      <w:pPr>
        <w:spacing w:after="4"/>
      </w:pPr>
      <w:r>
        <w:rPr>
          <w:rFonts w:ascii="Calibri" w:cs="Calibri" w:eastAsia="Calibri" w:hAnsi="Calibri"/>
          <w:i/>
          <w:iCs/>
          <w:color w:val="5E7180"/>
          <w:sz w:val="19"/>
          <w:szCs w:val="19"/>
        </w:rPr>
        <w:t xml:space="preserve">Prepared by Octmark Technologies  •  Design &amp; Build</w:t>
      </w:r>
    </w:p>
    <w:p>
      <w:pPr>
        <w:spacing w:after="180"/>
      </w:pPr>
      <w:r>
        <w:rPr>
          <w:rFonts w:ascii="Calibri" w:cs="Calibri" w:eastAsia="Calibri" w:hAnsi="Calibri"/>
          <w:color w:val="5E7180"/>
          <w:sz w:val="19"/>
          <w:szCs w:val="19"/>
        </w:rPr>
        <w:t xml:space="preserve">Version 1.0  •  July 2026</w:t>
      </w:r>
    </w:p>
    <w:p>
      <w:pPr>
        <w:pBdr>
          <w:bottom w:val="single" w:color="0F8B84" w:sz="12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C2233"/>
          <w:sz w:val="30"/>
          <w:szCs w:val="30"/>
        </w:rPr>
        <w:t xml:space="preserve">1. Design Direction</w:t>
      </w:r>
    </w:p>
    <w:p>
      <w:pPr>
        <w:spacing w:after="1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The site is a personal brand for a senior surgeon known for precision. The design language is minimal and editorial, with generous whitespace, a single confident accent, and premium typography — authoritative, calm, and human. It should feel meticulous, the way robotic surgery is meticulous, while remaining warm and reassuring for anxious patients.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B6E68"/>
          <w:sz w:val="21"/>
          <w:szCs w:val="21"/>
        </w:rPr>
        <w:t xml:space="preserve">Positioning in one line</w:t>
      </w:r>
    </w:p>
    <w:p>
      <w:pPr>
        <w:spacing w:after="12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0C2233"/>
          <w:sz w:val="21"/>
          <w:szCs w:val="21"/>
        </w:rPr>
        <w:t xml:space="preserve">A pioneer of robotic and computer-assisted knee replacement — precise technology, delivered with a patient-first, human touch.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B6E68"/>
          <w:sz w:val="21"/>
          <w:szCs w:val="21"/>
        </w:rPr>
        <w:t xml:space="preserve">Style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Approach: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Minimal / editorial medical. Clean grids, thin rules, rounded cards, plenty of air.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Motif: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Precision — fine geometric accents, a single teal highlight used deliberately, exact alignment.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Tone: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Trustworthy, precise, premium, human. Never clinical-cold, never salesy.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Anti-patterns avoided: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No hero carousels, no autoplay media, no clutter — these erode trust and engagement.</w:t>
      </w:r>
    </w:p>
    <w:p>
      <w:pPr>
        <w:pBdr>
          <w:bottom w:val="single" w:color="0F8B84" w:sz="12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C2233"/>
          <w:sz w:val="30"/>
          <w:szCs w:val="30"/>
        </w:rPr>
        <w:t xml:space="preserve">2. Design System</w:t>
      </w:r>
    </w:p>
    <w:p>
      <w:pPr>
        <w:spacing w:after="80" w:before="220"/>
      </w:pPr>
      <w:r>
        <w:rPr>
          <w:rFonts w:ascii="Cambria" w:cs="Cambria" w:eastAsia="Cambria" w:hAnsi="Cambria"/>
          <w:b/>
          <w:bCs/>
          <w:color w:val="0C2233"/>
          <w:sz w:val="24"/>
          <w:szCs w:val="24"/>
        </w:rPr>
        <w:t xml:space="preserve">2.1 Colour</w:t>
      </w:r>
    </w:p>
    <w:p>
      <w:pPr>
        <w:spacing w:after="10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Navy anchors the brand (shared DNA with IKOC), while a precision teal replaces IKOC's gold as the personal accent — it signals medical-technology and keeps the doctor's site distinct from the hospital's identity. Warm sand adds humanity; white and mist keep it clean.</w:t>
      </w:r>
    </w:p>
    <w:tbl>
      <w:tblPr>
        <w:tblW w:type="dxa" w:w="9700"/>
        <w:tblBorders>
          <w:top w:val="single" w:color="CFD8DE" w:sz="2"/>
          <w:left w:val="single" w:color="CFD8DE" w:sz="2"/>
          <w:bottom w:val="single" w:color="CFD8DE" w:sz="2"/>
          <w:right w:val="single" w:color="CFD8DE" w:sz="2"/>
          <w:insideH w:val="single" w:color="E4E9ED" w:sz="2"/>
          <w:insideV w:val="single" w:color="E4E9ED" w:sz="2"/>
        </w:tblBorders>
      </w:tblPr>
      <w:tblGrid>
        <w:gridCol w:w="1400"/>
        <w:gridCol w:w="2200"/>
        <w:gridCol w:w="1500"/>
        <w:gridCol w:w="4600"/>
      </w:tblGrid>
      <w:tr>
        <w:trPr>
          <w:tblHeader/>
        </w:trPr>
        <w:tc>
          <w:tcPr>
            <w:tcW w:type="dxa" w:w="1400"/>
            <w:shd w:fill="0C2233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Swatch</w:t>
            </w:r>
          </w:p>
        </w:tc>
        <w:tc>
          <w:tcPr>
            <w:tcW w:type="dxa" w:w="2200"/>
            <w:shd w:fill="0C2233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Token</w:t>
            </w:r>
          </w:p>
        </w:tc>
        <w:tc>
          <w:tcPr>
            <w:tcW w:type="dxa" w:w="1500"/>
            <w:shd w:fill="0C2233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Hex</w:t>
            </w:r>
          </w:p>
        </w:tc>
        <w:tc>
          <w:tcPr>
            <w:tcW w:type="dxa" w:w="4600"/>
            <w:shd w:fill="0C2233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Usage</w:t>
            </w:r>
          </w:p>
        </w:tc>
      </w:tr>
      <w:tr>
        <w:tc>
          <w:tcPr>
            <w:tcW w:type="dxa" w:w="1400"/>
            <w:shd w:fill="0C2233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 </w:t>
            </w:r>
          </w:p>
        </w:tc>
        <w:tc>
          <w:tcPr>
            <w:tcW w:type="dxa" w:w="2200"/>
            <w:shd w:fill="FFFFF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233"/>
                <w:sz w:val="21"/>
                <w:szCs w:val="21"/>
              </w:rPr>
              <w:t xml:space="preserve">Ink Navy</w:t>
            </w:r>
          </w:p>
        </w:tc>
        <w:tc>
          <w:tcPr>
            <w:tcW w:type="dxa" w:w="1500"/>
            <w:shd w:fill="FFFFF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#0C2233</w:t>
            </w:r>
          </w:p>
        </w:tc>
        <w:tc>
          <w:tcPr>
            <w:tcW w:type="dxa" w:w="4600"/>
            <w:shd w:fill="FFFFF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Primary — headers, nav, footer, dark bands</w:t>
            </w:r>
          </w:p>
        </w:tc>
      </w:tr>
      <w:tr>
        <w:tc>
          <w:tcPr>
            <w:tcW w:type="dxa" w:w="1400"/>
            <w:shd w:fill="16394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 </w:t>
            </w:r>
          </w:p>
        </w:tc>
        <w:tc>
          <w:tcPr>
            <w:tcW w:type="dxa" w:w="22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233"/>
                <w:sz w:val="21"/>
                <w:szCs w:val="21"/>
              </w:rPr>
              <w:t xml:space="preserve">Slate Navy</w:t>
            </w:r>
          </w:p>
        </w:tc>
        <w:tc>
          <w:tcPr>
            <w:tcW w:type="dxa" w:w="15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#16394F</w:t>
            </w:r>
          </w:p>
        </w:tc>
        <w:tc>
          <w:tcPr>
            <w:tcW w:type="dxa" w:w="46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Secondary surfaces, stat band</w:t>
            </w:r>
          </w:p>
        </w:tc>
      </w:tr>
      <w:tr>
        <w:tc>
          <w:tcPr>
            <w:tcW w:type="dxa" w:w="1400"/>
            <w:shd w:fill="0F8B84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 </w:t>
            </w:r>
          </w:p>
        </w:tc>
        <w:tc>
          <w:tcPr>
            <w:tcW w:type="dxa" w:w="2200"/>
            <w:shd w:fill="FFFFF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233"/>
                <w:sz w:val="21"/>
                <w:szCs w:val="21"/>
              </w:rPr>
              <w:t xml:space="preserve">Precision Teal</w:t>
            </w:r>
          </w:p>
        </w:tc>
        <w:tc>
          <w:tcPr>
            <w:tcW w:type="dxa" w:w="1500"/>
            <w:shd w:fill="FFFFF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#0F8B84</w:t>
            </w:r>
          </w:p>
        </w:tc>
        <w:tc>
          <w:tcPr>
            <w:tcW w:type="dxa" w:w="4600"/>
            <w:shd w:fill="FFFFF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Accent — primary CTAs, links, highlights</w:t>
            </w:r>
          </w:p>
        </w:tc>
      </w:tr>
      <w:tr>
        <w:tc>
          <w:tcPr>
            <w:tcW w:type="dxa" w:w="1400"/>
            <w:shd w:fill="0B6E68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 </w:t>
            </w:r>
          </w:p>
        </w:tc>
        <w:tc>
          <w:tcPr>
            <w:tcW w:type="dxa" w:w="22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233"/>
                <w:sz w:val="21"/>
                <w:szCs w:val="21"/>
              </w:rPr>
              <w:t xml:space="preserve">Teal (deep)</w:t>
            </w:r>
          </w:p>
        </w:tc>
        <w:tc>
          <w:tcPr>
            <w:tcW w:type="dxa" w:w="15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#0B6E68</w:t>
            </w:r>
          </w:p>
        </w:tc>
        <w:tc>
          <w:tcPr>
            <w:tcW w:type="dxa" w:w="46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Hover / pressed; small-text links (contrast)</w:t>
            </w:r>
          </w:p>
        </w:tc>
      </w:tr>
      <w:tr>
        <w:tc>
          <w:tcPr>
            <w:tcW w:type="dxa" w:w="1400"/>
            <w:shd w:fill="F5EFE7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 </w:t>
            </w:r>
          </w:p>
        </w:tc>
        <w:tc>
          <w:tcPr>
            <w:tcW w:type="dxa" w:w="2200"/>
            <w:shd w:fill="FFFFF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233"/>
                <w:sz w:val="21"/>
                <w:szCs w:val="21"/>
              </w:rPr>
              <w:t xml:space="preserve">Warm Sand</w:t>
            </w:r>
          </w:p>
        </w:tc>
        <w:tc>
          <w:tcPr>
            <w:tcW w:type="dxa" w:w="1500"/>
            <w:shd w:fill="FFFFF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#F5EFE7</w:t>
            </w:r>
          </w:p>
        </w:tc>
        <w:tc>
          <w:tcPr>
            <w:tcW w:type="dxa" w:w="4600"/>
            <w:shd w:fill="FFFFF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Soft section backgrounds (humanity)</w:t>
            </w:r>
          </w:p>
        </w:tc>
      </w:tr>
      <w:tr>
        <w:tc>
          <w:tcPr>
            <w:tcW w:type="dxa" w:w="14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 </w:t>
            </w:r>
          </w:p>
        </w:tc>
        <w:tc>
          <w:tcPr>
            <w:tcW w:type="dxa" w:w="22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233"/>
                <w:sz w:val="21"/>
                <w:szCs w:val="21"/>
              </w:rPr>
              <w:t xml:space="preserve">Mist</w:t>
            </w:r>
          </w:p>
        </w:tc>
        <w:tc>
          <w:tcPr>
            <w:tcW w:type="dxa" w:w="15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#E9F1F1</w:t>
            </w:r>
          </w:p>
        </w:tc>
        <w:tc>
          <w:tcPr>
            <w:tcW w:type="dxa" w:w="46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Alternate section backgrounds, cards</w:t>
            </w:r>
          </w:p>
        </w:tc>
      </w:tr>
      <w:tr>
        <w:tc>
          <w:tcPr>
            <w:tcW w:type="dxa" w:w="1400"/>
            <w:shd w:fill="1E2E39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 </w:t>
            </w:r>
          </w:p>
        </w:tc>
        <w:tc>
          <w:tcPr>
            <w:tcW w:type="dxa" w:w="2200"/>
            <w:shd w:fill="FFFFF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233"/>
                <w:sz w:val="21"/>
                <w:szCs w:val="21"/>
              </w:rPr>
              <w:t xml:space="preserve">Ink</w:t>
            </w:r>
          </w:p>
        </w:tc>
        <w:tc>
          <w:tcPr>
            <w:tcW w:type="dxa" w:w="1500"/>
            <w:shd w:fill="FFFFF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#1E2E39</w:t>
            </w:r>
          </w:p>
        </w:tc>
        <w:tc>
          <w:tcPr>
            <w:tcW w:type="dxa" w:w="4600"/>
            <w:shd w:fill="FFFFF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Body text</w:t>
            </w:r>
          </w:p>
        </w:tc>
      </w:tr>
      <w:tr>
        <w:tc>
          <w:tcPr>
            <w:tcW w:type="dxa" w:w="1400"/>
            <w:shd w:fill="5E7180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 </w:t>
            </w:r>
          </w:p>
        </w:tc>
        <w:tc>
          <w:tcPr>
            <w:tcW w:type="dxa" w:w="22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233"/>
                <w:sz w:val="21"/>
                <w:szCs w:val="21"/>
              </w:rPr>
              <w:t xml:space="preserve">Slate Grey</w:t>
            </w:r>
          </w:p>
        </w:tc>
        <w:tc>
          <w:tcPr>
            <w:tcW w:type="dxa" w:w="15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#5E7180</w:t>
            </w:r>
          </w:p>
        </w:tc>
        <w:tc>
          <w:tcPr>
            <w:tcW w:type="dxa" w:w="46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Muted text, captions</w:t>
            </w:r>
          </w:p>
        </w:tc>
      </w:tr>
      <w:tr>
        <w:tc>
          <w:tcPr>
            <w:tcW w:type="dxa" w:w="1400"/>
            <w:shd w:fill="D2DBE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 </w:t>
            </w:r>
          </w:p>
        </w:tc>
        <w:tc>
          <w:tcPr>
            <w:tcW w:type="dxa" w:w="2200"/>
            <w:shd w:fill="FFFFF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C2233"/>
                <w:sz w:val="21"/>
                <w:szCs w:val="21"/>
              </w:rPr>
              <w:t xml:space="preserve">Line</w:t>
            </w:r>
          </w:p>
        </w:tc>
        <w:tc>
          <w:tcPr>
            <w:tcW w:type="dxa" w:w="1500"/>
            <w:shd w:fill="FFFFF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#D2DBE1</w:t>
            </w:r>
          </w:p>
        </w:tc>
        <w:tc>
          <w:tcPr>
            <w:tcW w:type="dxa" w:w="4600"/>
            <w:shd w:fill="FFFFFF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Borders, dividers</w:t>
            </w:r>
          </w:p>
        </w:tc>
      </w:tr>
    </w:tbl>
    <w:p>
      <w:pPr>
        <w:spacing w:after="60"/>
      </w:pPr>
    </w:p>
    <w:p>
      <w:pPr>
        <w:spacing w:after="12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5E7180"/>
          <w:sz w:val="21"/>
          <w:szCs w:val="21"/>
        </w:rPr>
        <w:t xml:space="preserve">Contrast note: use the deep teal (#0B6E68) for small text links and body-size accent text on white to meet WCAG AA; the brighter teal is reserved for large text, buttons and UI fills.</w:t>
      </w:r>
    </w:p>
    <w:p>
      <w:pPr>
        <w:spacing w:after="80" w:before="220"/>
      </w:pPr>
      <w:r>
        <w:rPr>
          <w:rFonts w:ascii="Cambria" w:cs="Cambria" w:eastAsia="Cambria" w:hAnsi="Cambria"/>
          <w:b/>
          <w:bCs/>
          <w:color w:val="0C2233"/>
          <w:sz w:val="24"/>
          <w:szCs w:val="24"/>
        </w:rPr>
        <w:t xml:space="preserve">2.2 Typography</w:t>
      </w:r>
    </w:p>
    <w:p>
      <w:pPr>
        <w:spacing w:after="10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Recommended pairing: Fraunces for headings (a warm, premium serif — human and authoritative) with Inter for body (clean, highly legible, accessible). Alternatives: Playfair Display + Lato (more editorial), or Space Grotesk + Inter (more tech-forward).</w:t>
      </w:r>
    </w:p>
    <w:tbl>
      <w:tblPr>
        <w:tblW w:type="dxa" w:w="9700"/>
        <w:tblBorders>
          <w:top w:val="single" w:color="D2DBE1" w:sz="2"/>
          <w:left w:val="single" w:color="D2DBE1" w:sz="2"/>
          <w:bottom w:val="single" w:color="D2DBE1" w:sz="2"/>
          <w:right w:val="single" w:color="D2DBE1" w:sz="2"/>
          <w:insideH w:val="none"/>
          <w:insideV w:val="none"/>
        </w:tblBorders>
      </w:tblPr>
      <w:tblGrid>
        <w:gridCol w:w="9700"/>
      </w:tblGrid>
      <w:tr>
        <w:tc>
          <w:tcPr>
            <w:tcW w:type="dxa" w:w="9700"/>
            <w:shd w:fill="0E213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D9E7E6"/>
                <w:sz w:val="17"/>
                <w:szCs w:val="17"/>
              </w:rPr>
              <w:t xml:space="preserve">@import url('https://fonts.googleapis.com/css2?family=Fraunces:opsz,wght@9..144,400;9..144,600&amp;family=Inter:wght@400;500;600;700&amp;display=swap');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D9E7E6"/>
                <w:sz w:val="17"/>
                <w:szCs w:val="17"/>
              </w:rPr>
              <w:t xml:space="preserve"> 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D9E7E6"/>
                <w:sz w:val="17"/>
                <w:szCs w:val="17"/>
              </w:rPr>
              <w:t xml:space="preserve">--font-heading: 'Fraunces', Georgia, serif;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D9E7E6"/>
                <w:sz w:val="17"/>
                <w:szCs w:val="17"/>
              </w:rPr>
              <w:t xml:space="preserve">--font-body: 'Inter', system-ui, sans-serif;</w:t>
            </w:r>
          </w:p>
        </w:tc>
      </w:tr>
    </w:tbl>
    <w:p>
      <w:pPr>
        <w:spacing w:after="60"/>
      </w:pPr>
    </w:p>
    <w:tbl>
      <w:tblPr>
        <w:tblW w:type="dxa" w:w="9700"/>
        <w:tblBorders>
          <w:top w:val="single" w:color="CFD8DE" w:sz="2"/>
          <w:left w:val="single" w:color="CFD8DE" w:sz="2"/>
          <w:bottom w:val="single" w:color="CFD8DE" w:sz="2"/>
          <w:right w:val="single" w:color="CFD8DE" w:sz="2"/>
          <w:insideH w:val="single" w:color="E4E9ED" w:sz="2"/>
          <w:insideV w:val="single" w:color="E4E9ED" w:sz="2"/>
        </w:tblBorders>
      </w:tblPr>
      <w:tblGrid>
        <w:gridCol w:w="2200"/>
        <w:gridCol w:w="2100"/>
        <w:gridCol w:w="1500"/>
        <w:gridCol w:w="1300"/>
        <w:gridCol w:w="2600"/>
      </w:tblGrid>
      <w:tr>
        <w:trPr>
          <w:tblHeader/>
        </w:trPr>
        <w:tc>
          <w:tcPr>
            <w:tcW w:type="dxa" w:w="2200"/>
            <w:shd w:fill="0C2233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Element</w:t>
            </w:r>
          </w:p>
        </w:tc>
        <w:tc>
          <w:tcPr>
            <w:tcW w:type="dxa" w:w="2100"/>
            <w:shd w:fill="0C2233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Typeface</w:t>
            </w:r>
          </w:p>
        </w:tc>
        <w:tc>
          <w:tcPr>
            <w:tcW w:type="dxa" w:w="1500"/>
            <w:shd w:fill="0C2233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Size</w:t>
            </w:r>
          </w:p>
        </w:tc>
        <w:tc>
          <w:tcPr>
            <w:tcW w:type="dxa" w:w="1300"/>
            <w:shd w:fill="0C2233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Weight</w:t>
            </w:r>
          </w:p>
        </w:tc>
        <w:tc>
          <w:tcPr>
            <w:tcW w:type="dxa" w:w="2600"/>
            <w:shd w:fill="0C2233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Usage</w:t>
            </w:r>
          </w:p>
        </w:tc>
      </w:tr>
      <w:tr>
        <w:tc>
          <w:tcPr>
            <w:tcW w:type="dxa" w:w="22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Display / Hero H1</w:t>
            </w:r>
          </w:p>
        </w:tc>
        <w:tc>
          <w:tcPr>
            <w:tcW w:type="dxa" w:w="21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Fraunces</w:t>
            </w:r>
          </w:p>
        </w:tc>
        <w:tc>
          <w:tcPr>
            <w:tcW w:type="dxa" w:w="15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56–64px</w:t>
            </w:r>
          </w:p>
        </w:tc>
        <w:tc>
          <w:tcPr>
            <w:tcW w:type="dxa" w:w="13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600</w:t>
            </w:r>
          </w:p>
        </w:tc>
        <w:tc>
          <w:tcPr>
            <w:tcW w:type="dxa" w:w="26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Doctor's name, hero</w:t>
            </w:r>
          </w:p>
        </w:tc>
      </w:tr>
      <w:tr>
        <w:tc>
          <w:tcPr>
            <w:tcW w:type="dxa" w:w="22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Section H2</w:t>
            </w:r>
          </w:p>
        </w:tc>
        <w:tc>
          <w:tcPr>
            <w:tcW w:type="dxa" w:w="21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Fraunces</w:t>
            </w:r>
          </w:p>
        </w:tc>
        <w:tc>
          <w:tcPr>
            <w:tcW w:type="dxa" w:w="15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32–40px</w:t>
            </w:r>
          </w:p>
        </w:tc>
        <w:tc>
          <w:tcPr>
            <w:tcW w:type="dxa" w:w="13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600</w:t>
            </w:r>
          </w:p>
        </w:tc>
        <w:tc>
          <w:tcPr>
            <w:tcW w:type="dxa" w:w="26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Section titles</w:t>
            </w:r>
          </w:p>
        </w:tc>
      </w:tr>
      <w:tr>
        <w:tc>
          <w:tcPr>
            <w:tcW w:type="dxa" w:w="22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Sub-head H3</w:t>
            </w:r>
          </w:p>
        </w:tc>
        <w:tc>
          <w:tcPr>
            <w:tcW w:type="dxa" w:w="21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Inter</w:t>
            </w:r>
          </w:p>
        </w:tc>
        <w:tc>
          <w:tcPr>
            <w:tcW w:type="dxa" w:w="15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22–24px</w:t>
            </w:r>
          </w:p>
        </w:tc>
        <w:tc>
          <w:tcPr>
            <w:tcW w:type="dxa" w:w="13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600</w:t>
            </w:r>
          </w:p>
        </w:tc>
        <w:tc>
          <w:tcPr>
            <w:tcW w:type="dxa" w:w="26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Card &amp; subsection titles</w:t>
            </w:r>
          </w:p>
        </w:tc>
      </w:tr>
      <w:tr>
        <w:tc>
          <w:tcPr>
            <w:tcW w:type="dxa" w:w="22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Lead / intro</w:t>
            </w:r>
          </w:p>
        </w:tc>
        <w:tc>
          <w:tcPr>
            <w:tcW w:type="dxa" w:w="21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Inter</w:t>
            </w:r>
          </w:p>
        </w:tc>
        <w:tc>
          <w:tcPr>
            <w:tcW w:type="dxa" w:w="15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18–20px</w:t>
            </w:r>
          </w:p>
        </w:tc>
        <w:tc>
          <w:tcPr>
            <w:tcW w:type="dxa" w:w="13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400</w:t>
            </w:r>
          </w:p>
        </w:tc>
        <w:tc>
          <w:tcPr>
            <w:tcW w:type="dxa" w:w="26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Section intros</w:t>
            </w:r>
          </w:p>
        </w:tc>
      </w:tr>
      <w:tr>
        <w:tc>
          <w:tcPr>
            <w:tcW w:type="dxa" w:w="22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Body</w:t>
            </w:r>
          </w:p>
        </w:tc>
        <w:tc>
          <w:tcPr>
            <w:tcW w:type="dxa" w:w="21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Inter</w:t>
            </w:r>
          </w:p>
        </w:tc>
        <w:tc>
          <w:tcPr>
            <w:tcW w:type="dxa" w:w="15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16px</w:t>
            </w:r>
          </w:p>
        </w:tc>
        <w:tc>
          <w:tcPr>
            <w:tcW w:type="dxa" w:w="13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400</w:t>
            </w:r>
          </w:p>
        </w:tc>
        <w:tc>
          <w:tcPr>
            <w:tcW w:type="dxa" w:w="26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Paragraphs</w:t>
            </w:r>
          </w:p>
        </w:tc>
      </w:tr>
      <w:tr>
        <w:tc>
          <w:tcPr>
            <w:tcW w:type="dxa" w:w="22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Small / label</w:t>
            </w:r>
          </w:p>
        </w:tc>
        <w:tc>
          <w:tcPr>
            <w:tcW w:type="dxa" w:w="21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Inter</w:t>
            </w:r>
          </w:p>
        </w:tc>
        <w:tc>
          <w:tcPr>
            <w:tcW w:type="dxa" w:w="15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14px</w:t>
            </w:r>
          </w:p>
        </w:tc>
        <w:tc>
          <w:tcPr>
            <w:tcW w:type="dxa" w:w="13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500</w:t>
            </w:r>
          </w:p>
        </w:tc>
        <w:tc>
          <w:tcPr>
            <w:tcW w:type="dxa" w:w="26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Chips, nav, labels</w:t>
            </w:r>
          </w:p>
        </w:tc>
      </w:tr>
      <w:tr>
        <w:tc>
          <w:tcPr>
            <w:tcW w:type="dxa" w:w="22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Caption</w:t>
            </w:r>
          </w:p>
        </w:tc>
        <w:tc>
          <w:tcPr>
            <w:tcW w:type="dxa" w:w="21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Inter</w:t>
            </w:r>
          </w:p>
        </w:tc>
        <w:tc>
          <w:tcPr>
            <w:tcW w:type="dxa" w:w="15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12–13px</w:t>
            </w:r>
          </w:p>
        </w:tc>
        <w:tc>
          <w:tcPr>
            <w:tcW w:type="dxa" w:w="13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400</w:t>
            </w:r>
          </w:p>
        </w:tc>
        <w:tc>
          <w:tcPr>
            <w:tcW w:type="dxa" w:w="26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Captions, disclaimers</w:t>
            </w:r>
          </w:p>
        </w:tc>
      </w:tr>
    </w:tbl>
    <w:p>
      <w:pPr>
        <w:spacing w:after="80" w:before="220"/>
      </w:pPr>
      <w:r>
        <w:rPr>
          <w:rFonts w:ascii="Cambria" w:cs="Cambria" w:eastAsia="Cambria" w:hAnsi="Cambria"/>
          <w:b/>
          <w:bCs/>
          <w:color w:val="0C2233"/>
          <w:sz w:val="24"/>
          <w:szCs w:val="24"/>
        </w:rPr>
        <w:t xml:space="preserve">2.3 Spacing, grid &amp; shape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Grid: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12-column, max content width 1200px, 24px gutters, 24px side padding on mobile.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Spacing: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8px base scale (8 / 16 / 24 / 32 / 48 / 64 / 96). Section padding 96px desktop, 56px mobile.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Corner radius: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Cards 14px, buttons pill (full), inputs 10px.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Elevation: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Soft and low — y-offset 8–16px, blur 24–32px, ~8–12% opacity. No hard drop shadows.</w:t>
      </w:r>
    </w:p>
    <w:p>
      <w:pPr>
        <w:spacing w:after="80" w:before="220"/>
      </w:pPr>
      <w:r>
        <w:rPr>
          <w:rFonts w:ascii="Cambria" w:cs="Cambria" w:eastAsia="Cambria" w:hAnsi="Cambria"/>
          <w:b/>
          <w:bCs/>
          <w:color w:val="0C2233"/>
          <w:sz w:val="24"/>
          <w:szCs w:val="24"/>
        </w:rPr>
        <w:t xml:space="preserve">2.4 Core components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Buttons: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Primary = teal fill / white text / pill; Secondary = teal outline; Tertiary = teal text link. Minimum 44px tap height; hover → deep teal.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Cards: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White, 1px line border, 14px radius, subtle shadow, gentle lift on hover.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Nav: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Transparent over hero, condenses to solid navy on scroll; mobile → hamburger drawer. Persistent Book button.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Patterns: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Stat counter, testimonial card (with disclaimer slot), press card, FAQ accordion, media-embed card, and a sticky mobile CTA bar (Book + Call).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Icons: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Line icons (Lucide), teal inside a soft circle for section accents. Consistent 24px grid.</w:t>
      </w:r>
    </w:p>
    <w:p>
      <w:r>
        <w:br w:type="page"/>
      </w:r>
    </w:p>
    <w:p>
      <w:pPr>
        <w:pBdr>
          <w:bottom w:val="single" w:color="0F8B84" w:sz="12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C2233"/>
          <w:sz w:val="30"/>
          <w:szCs w:val="30"/>
        </w:rPr>
        <w:t xml:space="preserve">3. Information Architecture</w:t>
      </w:r>
    </w:p>
    <w:p>
      <w:pPr>
        <w:spacing w:after="1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A single-page scroll with anchor navigation — the fastest path for a patient to build trust and book. Navigation is capped at five items (Hick's Law), with the booking action always visible.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Primary nav: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About  ·  Robotic Surgery  ·  Expertise  ·  Media  ·  Contact  — plus a persistent Book button.</w:t>
      </w:r>
    </w:p>
    <w:p>
      <w:pPr>
        <w:spacing w:after="16" w:before="80"/>
        <w:jc w:val="center"/>
      </w:pPr>
      <w:r>
        <w:drawing>
          <wp:inline distT="0" distB="0" distL="0" distR="0">
            <wp:extent cx="6143625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E7180"/>
          <w:sz w:val="17"/>
          <w:szCs w:val="17"/>
        </w:rPr>
        <w:t xml:space="preserve">Figure 1 — Full-page blueprint: 17 sections in scroll order.</w:t>
      </w:r>
    </w:p>
    <w:p>
      <w:r>
        <w:br w:type="page"/>
      </w:r>
    </w:p>
    <w:p>
      <w:pPr>
        <w:pBdr>
          <w:bottom w:val="single" w:color="0F8B84" w:sz="12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C2233"/>
          <w:sz w:val="30"/>
          <w:szCs w:val="30"/>
        </w:rPr>
        <w:t xml:space="preserve">4. Page Structure — Section by Section</w:t>
      </w:r>
    </w:p>
    <w:p>
      <w:pPr>
        <w:spacing w:after="12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Each section below maps directly to the content document. Layout patterns and components are specified for build.</w:t>
      </w:r>
    </w:p>
    <w:tbl>
      <w:tblPr>
        <w:tblW w:type="dxa" w:w="9700"/>
        <w:tblBorders>
          <w:top w:val="single" w:color="CFD8DE" w:sz="2"/>
          <w:left w:val="single" w:color="CFD8DE" w:sz="2"/>
          <w:bottom w:val="single" w:color="CFD8DE" w:sz="2"/>
          <w:right w:val="single" w:color="CFD8DE" w:sz="2"/>
          <w:insideH w:val="single" w:color="E4E9ED" w:sz="2"/>
          <w:insideV w:val="single" w:color="E4E9ED" w:sz="2"/>
        </w:tblBorders>
      </w:tblPr>
      <w:tblGrid>
        <w:gridCol w:w="500"/>
        <w:gridCol w:w="2000"/>
        <w:gridCol w:w="2700"/>
        <w:gridCol w:w="3100"/>
        <w:gridCol w:w="1400"/>
      </w:tblGrid>
      <w:tr>
        <w:trPr>
          <w:tblHeader/>
        </w:trPr>
        <w:tc>
          <w:tcPr>
            <w:tcW w:type="dxa" w:w="500"/>
            <w:shd w:fill="0C2233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000"/>
            <w:shd w:fill="0C2233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2700"/>
            <w:shd w:fill="0C2233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Layout pattern</w:t>
            </w:r>
          </w:p>
        </w:tc>
        <w:tc>
          <w:tcPr>
            <w:tcW w:type="dxa" w:w="3100"/>
            <w:shd w:fill="0C2233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Key components</w:t>
            </w:r>
          </w:p>
        </w:tc>
        <w:tc>
          <w:tcPr>
            <w:tcW w:type="dxa" w:w="1400"/>
            <w:shd w:fill="0C2233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Primary CTA</w:t>
            </w:r>
          </w:p>
        </w:tc>
      </w:tr>
      <w:tr>
        <w:tc>
          <w:tcPr>
            <w:tcW w:type="dxa" w:w="5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Header / Nav</w:t>
            </w:r>
          </w:p>
        </w:tc>
        <w:tc>
          <w:tcPr>
            <w:tcW w:type="dxa" w:w="27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Sticky bar; transparent → solid on scroll</w:t>
            </w:r>
          </w:p>
        </w:tc>
        <w:tc>
          <w:tcPr>
            <w:tcW w:type="dxa" w:w="31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Logo mark, 5 links, phone, Book button</w:t>
            </w:r>
          </w:p>
        </w:tc>
        <w:tc>
          <w:tcPr>
            <w:tcW w:type="dxa" w:w="14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Book</w:t>
            </w:r>
          </w:p>
        </w:tc>
      </w:tr>
      <w:tr>
        <w:tc>
          <w:tcPr>
            <w:tcW w:type="dxa" w:w="5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Hero</w:t>
            </w:r>
          </w:p>
        </w:tc>
        <w:tc>
          <w:tcPr>
            <w:tcW w:type="dxa" w:w="27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Split 55/45; text left, portrait right</w:t>
            </w:r>
          </w:p>
        </w:tc>
        <w:tc>
          <w:tcPr>
            <w:tcW w:type="dxa" w:w="31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H1 name, positioning subhead, 2 CTAs, trust strip</w:t>
            </w:r>
          </w:p>
        </w:tc>
        <w:tc>
          <w:tcPr>
            <w:tcW w:type="dxa" w:w="14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Book / Robotic</w:t>
            </w:r>
          </w:p>
        </w:tc>
      </w:tr>
      <w:tr>
        <w:tc>
          <w:tcPr>
            <w:tcW w:type="dxa" w:w="5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Trust Strip</w:t>
            </w:r>
          </w:p>
        </w:tc>
        <w:tc>
          <w:tcPr>
            <w:tcW w:type="dxa" w:w="27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Full-width band, inline items</w:t>
            </w:r>
          </w:p>
        </w:tc>
        <w:tc>
          <w:tcPr>
            <w:tcW w:type="dxa" w:w="31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Credential chips + one key stat</w:t>
            </w:r>
          </w:p>
        </w:tc>
        <w:tc>
          <w:tcPr>
            <w:tcW w:type="dxa" w:w="14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5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About</w:t>
            </w:r>
          </w:p>
        </w:tc>
        <w:tc>
          <w:tcPr>
            <w:tcW w:type="dxa" w:w="27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2-column: portrait + prose</w:t>
            </w:r>
          </w:p>
        </w:tc>
        <w:tc>
          <w:tcPr>
            <w:tcW w:type="dxa" w:w="31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Short + extended bio, signature line</w:t>
            </w:r>
          </w:p>
        </w:tc>
        <w:tc>
          <w:tcPr>
            <w:tcW w:type="dxa" w:w="14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Read profile</w:t>
            </w:r>
          </w:p>
        </w:tc>
      </w:tr>
      <w:tr>
        <w:tc>
          <w:tcPr>
            <w:tcW w:type="dxa" w:w="5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Areas of Expertise</w:t>
            </w:r>
          </w:p>
        </w:tc>
        <w:tc>
          <w:tcPr>
            <w:tcW w:type="dxa" w:w="27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3×2 card grid</w:t>
            </w:r>
          </w:p>
        </w:tc>
        <w:tc>
          <w:tcPr>
            <w:tcW w:type="dxa" w:w="31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6 expertise cards (icon, title, line)</w:t>
            </w:r>
          </w:p>
        </w:tc>
        <w:tc>
          <w:tcPr>
            <w:tcW w:type="dxa" w:w="14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(cards link)</w:t>
            </w:r>
          </w:p>
        </w:tc>
      </w:tr>
      <w:tr>
        <w:tc>
          <w:tcPr>
            <w:tcW w:type="dxa" w:w="5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Robotic Surgery</w:t>
            </w:r>
          </w:p>
        </w:tc>
        <w:tc>
          <w:tcPr>
            <w:tcW w:type="dxa" w:w="27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Feature band; media + benefits (alternating)</w:t>
            </w:r>
          </w:p>
        </w:tc>
        <w:tc>
          <w:tcPr>
            <w:tcW w:type="dxa" w:w="31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Explainer, benefit list, variability disclaimer</w:t>
            </w:r>
          </w:p>
        </w:tc>
        <w:tc>
          <w:tcPr>
            <w:tcW w:type="dxa" w:w="14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Ask about robotic</w:t>
            </w:r>
          </w:p>
        </w:tc>
      </w:tr>
      <w:tr>
        <w:tc>
          <w:tcPr>
            <w:tcW w:type="dxa" w:w="5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7</w:t>
            </w:r>
          </w:p>
        </w:tc>
        <w:tc>
          <w:tcPr>
            <w:tcW w:type="dxa" w:w="20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Innovations &amp; Milestones</w:t>
            </w:r>
          </w:p>
        </w:tc>
        <w:tc>
          <w:tcPr>
            <w:tcW w:type="dxa" w:w="27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Timeline (horizontal → vertical on mobile)</w:t>
            </w:r>
          </w:p>
        </w:tc>
        <w:tc>
          <w:tcPr>
            <w:tcW w:type="dxa" w:w="31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Milestone nodes (MISSO, AI-first, portal) + sources</w:t>
            </w:r>
          </w:p>
        </w:tc>
        <w:tc>
          <w:tcPr>
            <w:tcW w:type="dxa" w:w="14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5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8</w:t>
            </w:r>
          </w:p>
        </w:tc>
        <w:tc>
          <w:tcPr>
            <w:tcW w:type="dxa" w:w="20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Experience in Numbers</w:t>
            </w:r>
          </w:p>
        </w:tc>
        <w:tc>
          <w:tcPr>
            <w:tcW w:type="dxa" w:w="27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Dark band, 4 counters</w:t>
            </w:r>
          </w:p>
        </w:tc>
        <w:tc>
          <w:tcPr>
            <w:tcW w:type="dxa" w:w="31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Animated stat counters + micro-disclaimer</w:t>
            </w:r>
          </w:p>
        </w:tc>
        <w:tc>
          <w:tcPr>
            <w:tcW w:type="dxa" w:w="14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9</w:t>
            </w:r>
          </w:p>
        </w:tc>
        <w:tc>
          <w:tcPr>
            <w:tcW w:type="dxa" w:w="20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Education &amp; Training</w:t>
            </w:r>
          </w:p>
        </w:tc>
        <w:tc>
          <w:tcPr>
            <w:tcW w:type="dxa" w:w="27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2-column structured lists</w:t>
            </w:r>
          </w:p>
        </w:tc>
        <w:tc>
          <w:tcPr>
            <w:tcW w:type="dxa" w:w="31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Roles, qualifications, fellowships</w:t>
            </w:r>
          </w:p>
        </w:tc>
        <w:tc>
          <w:tcPr>
            <w:tcW w:type="dxa" w:w="14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5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10</w:t>
            </w:r>
          </w:p>
        </w:tc>
        <w:tc>
          <w:tcPr>
            <w:tcW w:type="dxa" w:w="20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Publications</w:t>
            </w:r>
          </w:p>
        </w:tc>
        <w:tc>
          <w:tcPr>
            <w:tcW w:type="dxa" w:w="27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Clean reference list</w:t>
            </w:r>
          </w:p>
        </w:tc>
        <w:tc>
          <w:tcPr>
            <w:tcW w:type="dxa" w:w="31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Paper entries + “full list on request”</w:t>
            </w:r>
          </w:p>
        </w:tc>
        <w:tc>
          <w:tcPr>
            <w:tcW w:type="dxa" w:w="14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11</w:t>
            </w:r>
          </w:p>
        </w:tc>
        <w:tc>
          <w:tcPr>
            <w:tcW w:type="dxa" w:w="20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In the Media</w:t>
            </w:r>
          </w:p>
        </w:tc>
        <w:tc>
          <w:tcPr>
            <w:tcW w:type="dxa" w:w="27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Card row / logo strip</w:t>
            </w:r>
          </w:p>
        </w:tc>
        <w:tc>
          <w:tcPr>
            <w:tcW w:type="dxa" w:w="31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6 press cards (outlet, headline, link)</w:t>
            </w:r>
          </w:p>
        </w:tc>
        <w:tc>
          <w:tcPr>
            <w:tcW w:type="dxa" w:w="14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Read coverage</w:t>
            </w:r>
          </w:p>
        </w:tc>
      </w:tr>
      <w:tr>
        <w:tc>
          <w:tcPr>
            <w:tcW w:type="dxa" w:w="5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12</w:t>
            </w:r>
          </w:p>
        </w:tc>
        <w:tc>
          <w:tcPr>
            <w:tcW w:type="dxa" w:w="20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Videos &amp; Conversations</w:t>
            </w:r>
          </w:p>
        </w:tc>
        <w:tc>
          <w:tcPr>
            <w:tcW w:type="dxa" w:w="27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Embed grid; 1 featured + row</w:t>
            </w:r>
          </w:p>
        </w:tc>
        <w:tc>
          <w:tcPr>
            <w:tcW w:type="dxa" w:w="31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IKOC Diaries lead, Sakra RX, explainers</w:t>
            </w:r>
          </w:p>
        </w:tc>
        <w:tc>
          <w:tcPr>
            <w:tcW w:type="dxa" w:w="14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Subscribe</w:t>
            </w:r>
          </w:p>
        </w:tc>
      </w:tr>
      <w:tr>
        <w:tc>
          <w:tcPr>
            <w:tcW w:type="dxa" w:w="5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13</w:t>
            </w:r>
          </w:p>
        </w:tc>
        <w:tc>
          <w:tcPr>
            <w:tcW w:type="dxa" w:w="20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Patient Experiences</w:t>
            </w:r>
          </w:p>
        </w:tc>
        <w:tc>
          <w:tcPr>
            <w:tcW w:type="dxa" w:w="27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Testimonial cards / slider</w:t>
            </w:r>
          </w:p>
        </w:tc>
        <w:tc>
          <w:tcPr>
            <w:tcW w:type="dxa" w:w="31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Consented stories + mandatory disclaimer</w:t>
            </w:r>
          </w:p>
        </w:tc>
        <w:tc>
          <w:tcPr>
            <w:tcW w:type="dxa" w:w="14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5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14</w:t>
            </w:r>
          </w:p>
        </w:tc>
        <w:tc>
          <w:tcPr>
            <w:tcW w:type="dxa" w:w="20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Conditions &amp; Procedures</w:t>
            </w:r>
          </w:p>
        </w:tc>
        <w:tc>
          <w:tcPr>
            <w:tcW w:type="dxa" w:w="27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2-column tag lists</w:t>
            </w:r>
          </w:p>
        </w:tc>
        <w:tc>
          <w:tcPr>
            <w:tcW w:type="dxa" w:w="31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Conditions + procedures (SEO inner links)</w:t>
            </w:r>
          </w:p>
        </w:tc>
        <w:tc>
          <w:tcPr>
            <w:tcW w:type="dxa" w:w="14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5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15</w:t>
            </w:r>
          </w:p>
        </w:tc>
        <w:tc>
          <w:tcPr>
            <w:tcW w:type="dxa" w:w="20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FAQ</w:t>
            </w:r>
          </w:p>
        </w:tc>
        <w:tc>
          <w:tcPr>
            <w:tcW w:type="dxa" w:w="27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Accordion (one open by default)</w:t>
            </w:r>
          </w:p>
        </w:tc>
        <w:tc>
          <w:tcPr>
            <w:tcW w:type="dxa" w:w="31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7 Q&amp;A pairs</w:t>
            </w:r>
          </w:p>
        </w:tc>
        <w:tc>
          <w:tcPr>
            <w:tcW w:type="dxa" w:w="14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5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16</w:t>
            </w:r>
          </w:p>
        </w:tc>
        <w:tc>
          <w:tcPr>
            <w:tcW w:type="dxa" w:w="20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Locations &amp; Booking</w:t>
            </w:r>
          </w:p>
        </w:tc>
        <w:tc>
          <w:tcPr>
            <w:tcW w:type="dxa" w:w="27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Map + 2 location cards</w:t>
            </w:r>
          </w:p>
        </w:tc>
        <w:tc>
          <w:tcPr>
            <w:tcW w:type="dxa" w:w="31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IKOC + Sakra, Practo, phone/WhatsApp</w:t>
            </w:r>
          </w:p>
        </w:tc>
        <w:tc>
          <w:tcPr>
            <w:tcW w:type="dxa" w:w="1400"/>
            <w:shd w:fill="E9F1F1" w:color="auto" w:val="clear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Book</w:t>
            </w:r>
          </w:p>
        </w:tc>
      </w:tr>
      <w:tr>
        <w:tc>
          <w:tcPr>
            <w:tcW w:type="dxa" w:w="5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17</w:t>
            </w:r>
          </w:p>
        </w:tc>
        <w:tc>
          <w:tcPr>
            <w:tcW w:type="dxa" w:w="20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Footer</w:t>
            </w:r>
          </w:p>
        </w:tc>
        <w:tc>
          <w:tcPr>
            <w:tcW w:type="dxa" w:w="27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Multi-column</w:t>
            </w:r>
          </w:p>
        </w:tc>
        <w:tc>
          <w:tcPr>
            <w:tcW w:type="dxa" w:w="31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Credential line, quick links, socials, disclaimer</w:t>
            </w:r>
          </w:p>
        </w:tc>
        <w:tc>
          <w:tcPr>
            <w:tcW w:type="dxa" w:w="1400"/>
            <w:tcMar>
              <w:top w:type="dxa" w:w="56"/>
              <w:left w:type="dxa" w:w="96"/>
              <w:bottom w:type="dxa" w:w="56"/>
              <w:right w:type="dxa" w:w="96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E39"/>
                <w:sz w:val="21"/>
                <w:szCs w:val="21"/>
              </w:rPr>
              <w:t xml:space="preserve">Book (repeat)</w:t>
            </w:r>
          </w:p>
        </w:tc>
      </w:tr>
    </w:tbl>
    <w:p>
      <w:pPr>
        <w:spacing w:after="80" w:before="220"/>
      </w:pPr>
      <w:r>
        <w:rPr>
          <w:rFonts w:ascii="Cambria" w:cs="Cambria" w:eastAsia="Cambria" w:hAnsi="Cambria"/>
          <w:b/>
          <w:bCs/>
          <w:color w:val="0C2233"/>
          <w:sz w:val="24"/>
          <w:szCs w:val="24"/>
        </w:rPr>
        <w:t xml:space="preserve">4.1 Hero anatomy</w:t>
      </w:r>
    </w:p>
    <w:p>
      <w:p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The only section a visitor is guaranteed to see. Headline states who + what; subhead adds the differentiator (robotics / MISSO); two CTAs (Book primary, Explore Robotic secondary); a slim trust strip carries one credential and one number. Portrait is warm and direct. No carousel.</w:t>
      </w:r>
    </w:p>
    <w:p>
      <w:pPr>
        <w:spacing w:after="16" w:before="80"/>
        <w:jc w:val="center"/>
      </w:pPr>
      <w:r>
        <w:drawing>
          <wp:inline distT="0" distB="0" distL="0" distR="0">
            <wp:extent cx="6143625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Calibri" w:cs="Calibri" w:eastAsia="Calibri" w:hAnsi="Calibri"/>
          <w:i/>
          <w:iCs/>
          <w:color w:val="5E7180"/>
          <w:sz w:val="17"/>
          <w:szCs w:val="17"/>
        </w:rPr>
        <w:t xml:space="preserve">Figure 2 — Hero layout, desktop and mobile.</w:t>
      </w:r>
    </w:p>
    <w:p>
      <w:r>
        <w:br w:type="page"/>
      </w:r>
    </w:p>
    <w:p>
      <w:pPr>
        <w:pBdr>
          <w:bottom w:val="single" w:color="0F8B84" w:sz="12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C2233"/>
          <w:sz w:val="30"/>
          <w:szCs w:val="30"/>
        </w:rPr>
        <w:t xml:space="preserve">5. Responsive Behaviour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Breakpoints: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Mobile &lt; 640px  ·  Tablet 640–1024px  ·  Desktop &gt; 1024px.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Reflow: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Hero stacks (portrait above headline); expertise grid 3→2→1; timeline goes vertical; media grid 3→2→1.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Mobile CTA: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Sticky bottom CTA bar on mobile with Book + Call — the two highest-intent actions, always a thumb away.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Touch: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All tap targets ≥ 44px; nav collapses to a drawer; font sizes step down one level.</w:t>
      </w:r>
    </w:p>
    <w:p>
      <w:pPr>
        <w:pBdr>
          <w:bottom w:val="single" w:color="0F8B84" w:sz="12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C2233"/>
          <w:sz w:val="30"/>
          <w:szCs w:val="30"/>
        </w:rPr>
        <w:t xml:space="preserve">6. Accessibility &amp; Compliance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Accessibility: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WCAG 2.1 AA contrast; deep teal for small text on white; visible focus states; full keyboard navigation; semantic landmarks.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Media: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Descriptive alt text on every image; captions/transcripts on videos where possible.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Motion: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Respect prefers-reduced-motion — disable scroll and counter animation for those users.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Medical (NMC/ASCI):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No outcome-guarantee language; testimonial and footer disclaimers present; no unverified “best / record” claims; patient stories require written consent.</w:t>
      </w:r>
    </w:p>
    <w:p>
      <w:pPr>
        <w:pBdr>
          <w:bottom w:val="single" w:color="0F8B84" w:sz="12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C2233"/>
          <w:sz w:val="30"/>
          <w:szCs w:val="30"/>
        </w:rPr>
        <w:t xml:space="preserve">7. Motion &amp; Interaction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Use: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Fade / slide-up on scroll-in (subtle, 300–400ms), number counters, gentle card lift on hover, smooth anchor scrolling.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Avoid: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Hero carousels, autoplay video/audio, parallax overload, motion without a reduced-motion fallback.</w:t>
      </w:r>
    </w:p>
    <w:p>
      <w:pPr>
        <w:pBdr>
          <w:bottom w:val="single" w:color="0F8B84" w:sz="12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C2233"/>
          <w:sz w:val="30"/>
          <w:szCs w:val="30"/>
        </w:rPr>
        <w:t xml:space="preserve">8. Recommended Build</w:t>
      </w:r>
    </w:p>
    <w:p>
      <w:p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Static, fast, and GitHub Pages–friendly — matching the existing Octmark toolchain.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Stack: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Static HTML + Tailwind CSS, with Alpine.js for the accordion and mobile drawer; or Astro / Next.js static export.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Assets: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Google Fonts (Fraunces + Inter), Lucide icons, WebP images (lazy-loaded), Practo booking link/embed.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SEO: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Semantic headings, meta title/description, Open Graph, and Physician / MedicalBusiness JSON-LD schema for rich results.</w:t>
      </w:r>
    </w:p>
    <w:p>
      <w:pPr>
        <w:spacing w:after="40"/>
      </w:pP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0B6E68"/>
          <w:sz w:val="21"/>
          <w:szCs w:val="21"/>
        </w:rPr>
        <w:t xml:space="preserve">Design tokens (drop into CSS / Tailwind config)</w:t>
      </w:r>
    </w:p>
    <w:tbl>
      <w:tblPr>
        <w:tblW w:type="dxa" w:w="9700"/>
        <w:tblBorders>
          <w:top w:val="single" w:color="D2DBE1" w:sz="2"/>
          <w:left w:val="single" w:color="D2DBE1" w:sz="2"/>
          <w:bottom w:val="single" w:color="D2DBE1" w:sz="2"/>
          <w:right w:val="single" w:color="D2DBE1" w:sz="2"/>
          <w:insideH w:val="none"/>
          <w:insideV w:val="none"/>
        </w:tblBorders>
      </w:tblPr>
      <w:tblGrid>
        <w:gridCol w:w="9700"/>
      </w:tblGrid>
      <w:tr>
        <w:tc>
          <w:tcPr>
            <w:tcW w:type="dxa" w:w="9700"/>
            <w:shd w:fill="0E213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D9E7E6"/>
                <w:sz w:val="17"/>
                <w:szCs w:val="17"/>
              </w:rPr>
              <w:t xml:space="preserve">:root{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D9E7E6"/>
                <w:sz w:val="17"/>
                <w:szCs w:val="17"/>
              </w:rPr>
              <w:t xml:space="preserve">  --navy:#0C2233;  --navy-2:#16394F;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D9E7E6"/>
                <w:sz w:val="17"/>
                <w:szCs w:val="17"/>
              </w:rPr>
              <w:t xml:space="preserve">  --teal:#0F8B84;  --teal-deep:#0B6E68;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D9E7E6"/>
                <w:sz w:val="17"/>
                <w:szCs w:val="17"/>
              </w:rPr>
              <w:t xml:space="preserve">  --sand:#F5EFE7;  --mist:#E9F1F1;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D9E7E6"/>
                <w:sz w:val="17"/>
                <w:szCs w:val="17"/>
              </w:rPr>
              <w:t xml:space="preserve">  --ink:#1E2E39;   --muted:#5E7180;  --line:#D2DBE1;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D9E7E6"/>
                <w:sz w:val="17"/>
                <w:szCs w:val="17"/>
              </w:rPr>
              <w:t xml:space="preserve">  --radius-card:14px;  --radius-btn:999px;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D9E7E6"/>
                <w:sz w:val="17"/>
                <w:szCs w:val="17"/>
              </w:rPr>
              <w:t xml:space="preserve">  --pad-section:96px;  --maxw:1200px;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D9E7E6"/>
                <w:sz w:val="17"/>
                <w:szCs w:val="17"/>
              </w:rPr>
              <w:t xml:space="preserve">}</w:t>
            </w:r>
          </w:p>
        </w:tc>
      </w:tr>
    </w:tbl>
    <w:p>
      <w:pPr>
        <w:pBdr>
          <w:bottom w:val="single" w:color="0F8B84" w:sz="12" w:space="4"/>
        </w:pBdr>
        <w:spacing w:after="120" w:before="300"/>
      </w:pPr>
      <w:r>
        <w:rPr>
          <w:rFonts w:ascii="Cambria" w:cs="Cambria" w:eastAsia="Cambria" w:hAnsi="Cambria"/>
          <w:b/>
          <w:bCs/>
          <w:color w:val="0C2233"/>
          <w:sz w:val="30"/>
          <w:szCs w:val="30"/>
        </w:rPr>
        <w:t xml:space="preserve">9. Handoff Checklist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Content: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Lock one canonical, dated set of surgical figures (they differ across his current profiles).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Assets: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High-resolution portrait(s) with usage rights; professional domain email; social handles; clinic/tracked phone.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Tokens: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Implement the tokens above as CSS variables / Tailwind theme before building components.</w:t>
      </w:r>
    </w:p>
    <w:p>
      <w:pPr>
        <w:pStyle w:val="ListParagraph"/>
        <w:numPr>
          <w:ilvl w:val="0"/>
          <w:numId w:val="2"/>
        </w:numPr>
        <w:spacing w:after="64" w:line="258"/>
      </w:pPr>
      <w:r>
        <w:rPr>
          <w:rFonts w:ascii="Calibri" w:cs="Calibri" w:eastAsia="Calibri" w:hAnsi="Calibri"/>
          <w:b/>
          <w:bCs/>
          <w:i w:val="false"/>
          <w:iCs w:val="false"/>
          <w:color w:val="0C2233"/>
          <w:sz w:val="21"/>
          <w:szCs w:val="21"/>
        </w:rPr>
        <w:t xml:space="preserve">Compliance: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E39"/>
          <w:sz w:val="21"/>
          <w:szCs w:val="21"/>
        </w:rPr>
        <w:t xml:space="preserve">Copy sign-off against NMC/ASCI guardrails before publish; add paid-context disclosures where relevant.</w:t>
      </w:r>
    </w:p>
    <w:p>
      <w:pPr>
        <w:spacing w:after="120"/>
      </w:pPr>
    </w:p>
    <w:p>
      <w:pPr>
        <w:pBdr>
          <w:top w:val="single" w:color="0F8B84" w:sz="12" w:space="6"/>
        </w:pBdr>
        <w:spacing w:before="120"/>
      </w:pPr>
      <w:r>
        <w:rPr>
          <w:rFonts w:ascii="Calibri" w:cs="Calibri" w:eastAsia="Calibri" w:hAnsi="Calibri"/>
          <w:i/>
          <w:iCs/>
          <w:color w:val="5E7180"/>
          <w:sz w:val="17"/>
          <w:szCs w:val="17"/>
        </w:rPr>
        <w:t xml:space="preserve">Prepared by Octmark Technologies  •  Dr. Chandrashekar P Portfolio  •  Confidential</w:t>
      </w:r>
    </w:p>
    <w:sectPr>
      <w:pgSz w:w="11906" w:h="16838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0F8B8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E3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4c6060d87cd358747801bf864df55375022bbd.png"/><Relationship Id="rId8" Type="http://schemas.openxmlformats.org/officeDocument/2006/relationships/image" Target="media/f4a858f2d6595c8575bbfb2044f0ab992ec6ca1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 Chandrashekar Website UI/UX Spec</dc:title>
  <dc:creator>Octmark Technologies</dc:creator>
  <cp:lastModifiedBy>Un-named</cp:lastModifiedBy>
  <cp:revision>1</cp:revision>
  <dcterms:created xsi:type="dcterms:W3CDTF">2026-08-11T14:42:50.919Z</dcterms:created>
  <dcterms:modified xsi:type="dcterms:W3CDTF">2026-08-11T14:42:50.919Z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