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ba0qhgj0164z"/>
      <w:bookmarkStart w:id="2" w:name="_heading=h.rfkk783hkwwj"/>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bookmarkStart w:id="9" w:name="_Toc162976808"/>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10" w:name="_Toc162976808"/>
      <w:r>
        <w:rPr/>
        <w:t>Эксплуатационное назначение</w:t>
      </w:r>
      <w:bookmarkEnd w:id="10"/>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1" w:name="_Toc162976809"/>
      <w:r>
        <w:rPr/>
        <w:t>ТРЕБОВАНИЯ К ПРОГРАММЕ</w:t>
      </w:r>
      <w:bookmarkEnd w:id="11"/>
    </w:p>
    <w:p>
      <w:pPr>
        <w:pStyle w:val="Heading2"/>
        <w:numPr>
          <w:ilvl w:val="1"/>
          <w:numId w:val="1"/>
        </w:numPr>
        <w:ind w:left="0" w:hanging="0"/>
        <w:rPr/>
      </w:pPr>
      <w:bookmarkStart w:id="12" w:name="_Toc162976810"/>
      <w:r>
        <w:rPr/>
        <w:t>Постановка задачи на разработку программы</w:t>
      </w:r>
      <w:bookmarkEnd w:id="12"/>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3" w:name="_Toc162976811"/>
      <w:r>
        <w:rPr/>
        <w:t>Описание алгоритма и функционирования клиентской части</w:t>
      </w:r>
      <w:bookmarkEnd w:id="13"/>
    </w:p>
    <w:p>
      <w:pPr>
        <w:pStyle w:val="Heading3"/>
        <w:numPr>
          <w:ilvl w:val="2"/>
          <w:numId w:val="1"/>
        </w:numPr>
        <w:ind w:left="0" w:hanging="0"/>
        <w:rPr>
          <w:rFonts w:ascii="Times New Roman" w:hAnsi="Times New Roman" w:eastAsia="Times New Roman" w:cs="Times New Roman"/>
        </w:rPr>
      </w:pPr>
      <w:bookmarkStart w:id="14"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4"/>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ListParagraph"/>
        <w:widowControl w:val="false"/>
        <w:numPr>
          <w:ilvl w:val="3"/>
          <w:numId w:val="1"/>
        </w:numPr>
        <w:tabs>
          <w:tab w:val="clear" w:pos="720"/>
          <w:tab w:val="left" w:pos="883" w:leader="none"/>
        </w:tabs>
        <w:suppressAutoHyphens w:val="false"/>
        <w:spacing w:before="1" w:after="0"/>
        <w:ind w:left="1276" w:hanging="753"/>
        <w:contextualSpacing w:val="false"/>
        <w:rPr>
          <w:lang w:eastAsia="en-US"/>
        </w:rPr>
      </w:pPr>
      <w:r>
        <w:rPr>
          <w:b/>
          <w:bCs/>
          <w:szCs w:val="22"/>
          <w:lang w:eastAsia="en-US"/>
        </w:rPr>
        <w:t>Характеристика использующихся в приложении регрессионных методов машинного обучения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rPr>
        <w:t xml:space="preserve">Метод изолирующего леса: </w:t>
      </w:r>
      <w:r>
        <w:rPr>
          <w:b/>
          <w:bCs/>
          <w:lang w:val="en-US"/>
        </w:rPr>
        <w:t>Isolation</w:t>
      </w:r>
      <w:r>
        <w:rPr>
          <w:b/>
          <w:bCs/>
        </w:rPr>
        <w:t xml:space="preserve"> </w:t>
      </w:r>
      <w:r>
        <w:rPr>
          <w:b/>
          <w:bCs/>
          <w:lang w:val="en-US"/>
        </w:rPr>
        <w:t>Forest</w:t>
      </w:r>
    </w:p>
    <w:p>
      <w:pPr>
        <w:pStyle w:val="ListParagraph"/>
        <w:widowControl w:val="false"/>
        <w:tabs>
          <w:tab w:val="clear" w:pos="720"/>
          <w:tab w:val="left" w:pos="883" w:leader="none"/>
        </w:tabs>
        <w:suppressAutoHyphens w:val="false"/>
        <w:spacing w:before="1" w:after="0"/>
        <w:ind w:left="1843" w:hanging="0"/>
        <w:contextualSpacing w:val="false"/>
        <w:rPr/>
      </w:pPr>
      <w:r>
        <w:rPr/>
        <w:t>Заключается в рекурсивном разделении данных случайным образом. Аномалии требуют меньшего количества разделений для их изоляции, поскольку они обычно немногочисленны и существенно отличаются от нормальных данных.</w:t>
        <w:br/>
        <w:t>Метод использует ансамбль деревьев изоляции. Для каждого дерева выбирается случайное подмножество признаков и случайная точка разделения. Аномальность точки оценивается по среднему пути, необходимому для её изоляции в лесу. Чем короче путь, тем более аномальной считается точка.</w:t>
      </w:r>
    </w:p>
    <w:p>
      <w:pPr>
        <w:pStyle w:val="ListParagraph"/>
        <w:widowControl w:val="false"/>
        <w:tabs>
          <w:tab w:val="clear" w:pos="720"/>
          <w:tab w:val="left" w:pos="883" w:leader="none"/>
        </w:tabs>
        <w:suppressAutoHyphens w:val="false"/>
        <w:spacing w:before="1" w:after="0"/>
        <w:ind w:left="1843" w:hanging="0"/>
        <w:contextualSpacing w:val="false"/>
        <w:rPr/>
      </w:pPr>
      <w:r>
        <w:rPr/>
        <w:t>Преимущество метода - способность эффективно работать с многомерными данными и отсутствие необходимости в предварительных предположениях о распределении данных.</w:t>
      </w:r>
    </w:p>
    <w:p>
      <w:pPr>
        <w:pStyle w:val="ListParagraph"/>
        <w:widowControl w:val="false"/>
        <w:tabs>
          <w:tab w:val="clear" w:pos="720"/>
          <w:tab w:val="left" w:pos="883" w:leader="none"/>
        </w:tabs>
        <w:suppressAutoHyphens w:val="false"/>
        <w:spacing w:before="1" w:after="0"/>
        <w:ind w:left="1843" w:hanging="0"/>
        <w:contextualSpacing w:val="false"/>
        <w:rPr/>
      </w:pPr>
      <w:r>
        <w:rPr/>
        <w:t xml:space="preserve">Недостатком метода является его вероятностная природа, из-за чего результаты могут варьироваться между запусками. </w:t>
      </w:r>
      <w:r>
        <w:rPr>
          <w:szCs w:val="22"/>
          <w:lang w:eastAsia="en-US"/>
        </w:rPr>
        <w:t>Существенным недостатком метода является сам результат метода на наблюдении – вероятность этого объекта быть аномальным, то есть делается неявное предположение о некотором пороге, при котором объект является выбросом, или доле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lang w:val="en-US"/>
        </w:rPr>
      </w:pPr>
      <w:r>
        <w:rPr>
          <w:b/>
          <w:bCs/>
        </w:rPr>
        <w:t>Метод</w:t>
      </w:r>
      <w:r>
        <w:rPr>
          <w:b/>
          <w:bCs/>
          <w:lang w:val="en-US"/>
        </w:rPr>
        <w:t xml:space="preserve"> </w:t>
      </w:r>
      <w:r>
        <w:rPr>
          <w:b/>
          <w:bCs/>
        </w:rPr>
        <w:t>кластеризации</w:t>
      </w:r>
      <w:r>
        <w:rPr>
          <w:b/>
          <w:bCs/>
          <w:lang w:val="en-US"/>
        </w:rPr>
        <w:t xml:space="preserve"> </w:t>
      </w:r>
      <w:r>
        <w:rPr>
          <w:b/>
          <w:bCs/>
        </w:rPr>
        <w:t>на</w:t>
      </w:r>
      <w:r>
        <w:rPr>
          <w:b/>
          <w:bCs/>
          <w:lang w:val="en-US"/>
        </w:rPr>
        <w:t xml:space="preserve"> </w:t>
      </w:r>
      <w:r>
        <w:rPr>
          <w:b/>
          <w:bCs/>
        </w:rPr>
        <w:t>основе</w:t>
      </w:r>
      <w:r>
        <w:rPr>
          <w:b/>
          <w:bCs/>
          <w:lang w:val="en-US"/>
        </w:rPr>
        <w:t xml:space="preserve"> </w:t>
      </w:r>
      <w:r>
        <w:rPr>
          <w:b/>
          <w:bCs/>
        </w:rPr>
        <w:t>плотности</w:t>
      </w:r>
      <w:r>
        <w:rPr>
          <w:b/>
          <w:bCs/>
          <w:lang w:val="en-US"/>
        </w:rPr>
        <w:t xml:space="preserve"> Density-Based Spatial Clustering of Applications with Noise: DBSCAN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Г</w:t>
      </w:r>
      <w:r>
        <w:rPr>
          <w:szCs w:val="22"/>
          <w:lang w:val="en-RU" w:eastAsia="en-US"/>
        </w:rPr>
        <w:t xml:space="preserve">руппирует точки, находящиеся в плотных областях, и отмечает точки в областях с низкой плотностью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rPr>
          <w:szCs w:val="22"/>
          <w:lang w:eastAsia="en-US"/>
        </w:rPr>
      </w:pPr>
      <w:r>
        <w:rPr>
          <w:szCs w:val="22"/>
          <w:lang w:eastAsia="en-US"/>
        </w:rPr>
        <w:t>И</w:t>
      </w:r>
      <w:r>
        <w:rPr>
          <w:szCs w:val="22"/>
          <w:lang w:val="en-RU" w:eastAsia="en-US"/>
        </w:rPr>
        <w:t xml:space="preserve">спользует два параметра: </w:t>
      </w:r>
      <w:r>
        <w:rPr>
          <w:szCs w:val="22"/>
          <w:lang w:val="en-US" w:eastAsia="en-US"/>
        </w:rPr>
        <w:t>r</w:t>
      </w:r>
      <w:r>
        <w:rPr>
          <w:szCs w:val="22"/>
          <w:lang w:val="en-RU" w:eastAsia="en-US"/>
        </w:rPr>
        <w:t xml:space="preserve"> - определяет окрестность точки</w:t>
      </w:r>
      <w:r>
        <w:rPr>
          <w:szCs w:val="22"/>
          <w:lang w:eastAsia="en-US"/>
        </w:rPr>
        <w:t>, в которой другая точка считается близкой к данной</w:t>
      </w:r>
      <w:r>
        <w:rPr>
          <w:szCs w:val="22"/>
          <w:lang w:val="en-RU" w:eastAsia="en-US"/>
        </w:rPr>
        <w:t>, minimumClusterSize</w:t>
      </w:r>
      <w:r>
        <w:rPr>
          <w:szCs w:val="22"/>
          <w:lang w:eastAsia="en-US"/>
        </w:rPr>
        <w:t xml:space="preserve"> </w:t>
      </w:r>
      <w:r>
        <w:rPr>
          <w:szCs w:val="22"/>
          <w:lang w:val="en-RU" w:eastAsia="en-US"/>
        </w:rPr>
        <w:t>- минимальное количество точек, необходимое для формирования кластера.</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которые не принадлежат ни к одному кластеру, рассматриваются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Преимущество</w:t>
      </w:r>
      <w:r>
        <w:rPr>
          <w:szCs w:val="22"/>
          <w:lang w:eastAsia="en-US"/>
        </w:rPr>
        <w:t xml:space="preserve"> метода</w:t>
      </w:r>
      <w:r>
        <w:rPr>
          <w:szCs w:val="22"/>
          <w:lang w:val="en-RU" w:eastAsia="en-US"/>
        </w:rPr>
        <w:t xml:space="preserve"> заключается в его способности обнаруживать кластеры произвольной формы и автоматически определять количество кластеров.</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Недостатком метода является высокая чувствительность к выбору параметров метода, которые трудно подобрать без предварительного знания о структуре данных.</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 xml:space="preserve">Метод оценки плотности ядра: </w:t>
      </w:r>
      <w:r>
        <w:rPr>
          <w:b/>
          <w:bCs/>
          <w:lang w:val="en-US"/>
        </w:rPr>
        <w:t>KDE</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Непараметрический метод оценки плотности вероятности случайной величины. Использует гауссовы ядра для оценки плотности в каждой точке набора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с низкой плотностью вероятности классифицируются как </w:t>
      </w:r>
      <w:r>
        <w:rPr>
          <w:szCs w:val="22"/>
          <w:lang w:eastAsia="en-US"/>
        </w:rPr>
        <w:t>аномальные наблюдения</w:t>
      </w:r>
      <w:r>
        <w:rPr>
          <w:szCs w:val="22"/>
          <w:lang w:val="en-RU" w:eastAsia="en-US"/>
        </w:rPr>
        <w:t>. Метод характеризуется параметром гамма, который определяет ширину ядра и</w:t>
      </w:r>
      <w:r>
        <w:rPr>
          <w:szCs w:val="22"/>
          <w:lang w:eastAsia="en-US"/>
        </w:rPr>
        <w:t xml:space="preserve"> </w:t>
      </w:r>
      <w:r>
        <w:rPr>
          <w:szCs w:val="22"/>
          <w:lang w:val="en-RU" w:eastAsia="en-US"/>
        </w:rPr>
        <w:t>гладкость оценки плотности.</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Преимущество алгоритма - способность моделировать сложные многомодальные распределения без предварительных предположений о структуре данных.</w:t>
      </w:r>
    </w:p>
    <w:p>
      <w:pPr>
        <w:pStyle w:val="ListParagraph"/>
        <w:widowControl w:val="false"/>
        <w:tabs>
          <w:tab w:val="clear" w:pos="720"/>
          <w:tab w:val="left" w:pos="883" w:leader="none"/>
        </w:tabs>
        <w:spacing w:before="1" w:after="0"/>
        <w:ind w:left="1701" w:hanging="0"/>
        <w:contextualSpacing/>
        <w:rPr>
          <w:szCs w:val="22"/>
          <w:lang w:val="en-RU" w:eastAsia="en-US"/>
        </w:rPr>
      </w:pPr>
      <w:r>
        <w:rPr>
          <w:szCs w:val="22"/>
          <w:lang w:val="en-RU" w:eastAsia="en-US"/>
        </w:rPr>
        <w:t xml:space="preserve">Недостатком </w:t>
      </w:r>
      <w:r>
        <w:rPr>
          <w:szCs w:val="22"/>
          <w:lang w:eastAsia="en-US"/>
        </w:rPr>
        <w:t xml:space="preserve">метода </w:t>
      </w:r>
      <w:r>
        <w:rPr>
          <w:szCs w:val="22"/>
          <w:lang w:val="en-RU" w:eastAsia="en-US"/>
        </w:rPr>
        <w:t xml:space="preserve">является сложность выбора оптимального значения параметра гамма, от которого существенно зависит качество идентификации </w:t>
      </w:r>
      <w:r>
        <w:rPr>
          <w:szCs w:val="22"/>
          <w:lang w:eastAsia="en-US"/>
        </w:rPr>
        <w:t>аномальных наблюдений</w:t>
      </w:r>
      <w:r>
        <w:rPr>
          <w:szCs w:val="22"/>
          <w:lang w:val="en-RU" w:eastAsia="en-US"/>
        </w:rPr>
        <w:t>.</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Метод k-ближайших соседей: KNN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Использует расстояние до k-го ближайшего соседа как меру локальной плотности. Точки с большим расстоянием до своего k-ого ближайшего соседа классифицируются как выбросы.</w:t>
      </w:r>
      <w:r>
        <w:rPr>
          <w:szCs w:val="22"/>
          <w:lang w:eastAsia="en-US"/>
        </w:rPr>
        <w:t xml:space="preserve"> Алгоритм применяет евклидово расстояние для определения близости точек.</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 xml:space="preserve">Использует два основных параметра: k - количество ближайших соседей для рассмотрения, contamination - ожидаемая доля </w:t>
      </w:r>
      <w:r>
        <w:rPr>
          <w:szCs w:val="22"/>
          <w:lang w:eastAsia="en-US"/>
        </w:rPr>
        <w:t>аномальных наблюдений</w:t>
      </w:r>
      <w:r>
        <w:rPr>
          <w:szCs w:val="22"/>
          <w:lang w:val="en-RU" w:eastAsia="en-US"/>
        </w:rPr>
        <w:t xml:space="preserve"> в наборе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Подход эффективен для обнаружения локальных аномалий и не требует предположений о глобальном распределении данных</w:t>
      </w:r>
      <w:r>
        <w:rPr>
          <w:szCs w:val="22"/>
          <w:lang w:eastAsia="en-US"/>
        </w:rPr>
        <w:t xml:space="preserve"> и </w:t>
      </w:r>
      <w:r>
        <w:rPr>
          <w:szCs w:val="22"/>
          <w:lang w:val="en-RU" w:eastAsia="en-US"/>
        </w:rPr>
        <w:t>особенно полезен, когда выбросы определяются относительно локальной структуры данных, а не глобальной.</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eastAsia="en-US"/>
        </w:rPr>
        <w:t>Недостатком подхода является сложность определения оптимального значения k, низкая эффективность в данных с переменной плотностью и высокой размерностью из-за "проклятия размерности", когда евклидово расстояние становится менее информативным. Также одним из параметров метода является ожидаемая доля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Отсутствие предварительной обработки</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Предусматривает использование исходных данных без предварительной обработки алгоритмами машинного обучения для удаления выбросов.</w:t>
      </w:r>
    </w:p>
    <w:p>
      <w:pPr>
        <w:pStyle w:val="Heading3"/>
        <w:numPr>
          <w:ilvl w:val="2"/>
          <w:numId w:val="1"/>
        </w:numPr>
        <w:ind w:left="0" w:hanging="0"/>
        <w:rPr>
          <w:rFonts w:ascii="Times New Roman" w:hAnsi="Times New Roman" w:eastAsia="Times New Roman" w:cs="Times New Roman"/>
        </w:rPr>
      </w:pPr>
      <w:bookmarkStart w:id="15" w:name="_Toc162976813"/>
      <w:r>
        <w:rPr>
          <w:rFonts w:eastAsia="Times New Roman" w:cs="Times New Roman" w:ascii="Times New Roman" w:hAnsi="Times New Roman"/>
          <w:sz w:val="24"/>
          <w:szCs w:val="24"/>
        </w:rPr>
        <w:t>Архитектура проекта</w:t>
      </w:r>
      <w:bookmarkEnd w:id="15"/>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6" w:name="_Toc162976814"/>
      <w:r>
        <w:rPr>
          <w:rFonts w:eastAsia="Times New Roman" w:cs="Times New Roman" w:ascii="Times New Roman" w:hAnsi="Times New Roman"/>
          <w:sz w:val="24"/>
          <w:szCs w:val="24"/>
        </w:rPr>
        <w:t>Описание структуры приложения</w:t>
      </w:r>
      <w:bookmarkEnd w:id="16"/>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7" w:name="_Toc162976815"/>
      <w:r>
        <w:rPr>
          <w:rFonts w:eastAsia="Times New Roman" w:cs="Times New Roman" w:ascii="Times New Roman" w:hAnsi="Times New Roman"/>
          <w:sz w:val="24"/>
          <w:szCs w:val="24"/>
        </w:rPr>
        <w:t>Описание содержания исходного кода</w:t>
      </w:r>
      <w:bookmarkEnd w:id="17"/>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модуля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GenerateDialog (</w:t>
      </w:r>
      <w:r>
        <w:rPr/>
        <w:t>реализация</w:t>
      </w:r>
      <w:r>
        <w:rPr>
          <w:lang w:val="en-US"/>
        </w:rPr>
        <w:t xml:space="preserve"> – </w:t>
      </w:r>
      <w:r>
        <w:rPr/>
        <w:t>см</w:t>
      </w:r>
      <w:r>
        <w:rPr>
          <w:lang w:val="en-US"/>
        </w:rPr>
        <w:t>. 3.2.5.3).</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w:t>
      </w:r>
    </w:p>
    <w:p>
      <w:pPr>
        <w:pStyle w:val="Heading2"/>
        <w:numPr>
          <w:ilvl w:val="1"/>
          <w:numId w:val="4"/>
        </w:numPr>
        <w:ind w:left="0" w:hanging="0"/>
        <w:rPr/>
      </w:pPr>
      <w:bookmarkStart w:id="18" w:name="_Toc162976816"/>
      <w:r>
        <w:rPr/>
        <w:t>Описание выбора технических и программных средств</w:t>
      </w:r>
      <w:bookmarkEnd w:id="18"/>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9" w:name="_Toc162976817"/>
      <w:r>
        <w:rPr/>
        <w:t>ТЕХНИКО-ЭКОНОМИЧЕСКИЕ ПОКАЗАТЕЛИ</w:t>
      </w:r>
      <w:bookmarkEnd w:id="19"/>
    </w:p>
    <w:p>
      <w:pPr>
        <w:pStyle w:val="Heading2"/>
        <w:numPr>
          <w:ilvl w:val="1"/>
          <w:numId w:val="4"/>
        </w:numPr>
        <w:ind w:left="0" w:hanging="0"/>
        <w:rPr/>
      </w:pPr>
      <w:bookmarkStart w:id="20" w:name="_Toc162976818"/>
      <w:r>
        <w:rPr/>
        <w:t>Ориентировочная экономическая эффективность</w:t>
      </w:r>
      <w:bookmarkEnd w:id="20"/>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1" w:name="_Toc162976819"/>
      <w:r>
        <w:rPr/>
        <w:t>Предполагаемая потребность</w:t>
      </w:r>
      <w:bookmarkEnd w:id="21"/>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2" w:name="_Toc162976820"/>
      <w:r>
        <w:rPr/>
        <w:t>Экономические преимущества разработки по сравнению с отечественными и зарубежными аналогами</w:t>
      </w:r>
      <w:bookmarkEnd w:id="22"/>
    </w:p>
    <w:p>
      <w:pPr>
        <w:pStyle w:val="Normal"/>
        <w:ind w:firstLine="426"/>
        <w:rPr/>
      </w:pPr>
      <w:r>
        <w:rPr/>
      </w:r>
    </w:p>
    <w:p>
      <w:pPr>
        <w:pStyle w:val="Normal"/>
        <w:rPr/>
      </w:pPr>
      <w:r>
        <w:rPr/>
      </w:r>
      <w:r>
        <w:br w:type="page"/>
      </w:r>
    </w:p>
    <w:p>
      <w:pPr>
        <w:pStyle w:val="Heading1"/>
        <w:jc w:val="right"/>
        <w:rPr/>
      </w:pPr>
      <w:bookmarkStart w:id="23" w:name="_Toc162976821"/>
      <w:r>
        <w:rPr/>
        <w:t>ПРИЛОЖЕНИЕ 1</w:t>
      </w:r>
      <w:bookmarkEnd w:id="23"/>
    </w:p>
    <w:p>
      <w:pPr>
        <w:pStyle w:val="Heading1"/>
        <w:spacing w:before="40" w:after="0"/>
        <w:rPr/>
      </w:pPr>
      <w:bookmarkStart w:id="24" w:name="_Toc162976822"/>
      <w:r>
        <w:rPr/>
        <w:t>СПИСОК ИСПОЛЬЗУЕМОЙ ЛИТЕРАТУРЫ</w:t>
      </w:r>
      <w:bookmarkEnd w:id="24"/>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5" w:name="_bookmark30"/>
      <w:bookmarkEnd w:id="25"/>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6" w:name="_bookmark31"/>
      <w:bookmarkEnd w:id="26"/>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7" w:name="_bookmark32"/>
      <w:bookmarkEnd w:id="27"/>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8" w:name="_bookmark33"/>
      <w:bookmarkEnd w:id="28"/>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9" w:name="_bookmark34"/>
      <w:bookmarkEnd w:id="29"/>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0" w:name="_bookmark35"/>
      <w:bookmarkEnd w:id="30"/>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1" w:name="_bookmark36"/>
      <w:bookmarkEnd w:id="31"/>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2" w:name="_bookmark37"/>
      <w:bookmarkEnd w:id="32"/>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3" w:name="_bookmark38"/>
      <w:bookmarkEnd w:id="33"/>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4" w:name="_bookmark39"/>
      <w:bookmarkEnd w:id="34"/>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5" w:name="_bookmark40"/>
      <w:bookmarkEnd w:id="35"/>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6" w:name="_bookmark42"/>
      <w:bookmarkEnd w:id="36"/>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1</w:t>
      </w:r>
      <w:r>
        <w:rPr>
          <w:b/>
          <w:bCs/>
          <w:color w:val="000000"/>
        </w:rPr>
        <w:t>4</w:t>
      </w:r>
    </w:p>
    <w:p>
      <w:pPr>
        <w:pStyle w:val="Normal"/>
        <w:jc w:val="center"/>
        <w:rPr>
          <w:b/>
          <w:b/>
          <w:bCs/>
          <w:color w:val="00000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color w:val="000000"/>
          <w:sz w:val="18"/>
          <w:szCs w:val="18"/>
        </w:rPr>
        <w:t>Рис.13 Визуализация данных</w:t>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Heading2"/>
        <w:ind w:left="2626" w:right="2955" w:hanging="0"/>
        <w:rPr/>
      </w:pPr>
      <w:bookmarkStart w:id="37" w:name="_Toc162976823"/>
      <w:bookmarkStart w:id="38" w:name="_Toc158543956"/>
      <w:r>
        <w:rPr>
          <w:spacing w:val="-1"/>
        </w:rPr>
        <w:t>ТЕРМИНЫ</w:t>
      </w:r>
      <w:r>
        <w:rPr>
          <w:spacing w:val="-14"/>
        </w:rPr>
        <w:t xml:space="preserve"> </w:t>
      </w:r>
      <w:r>
        <w:rPr>
          <w:spacing w:val="-1"/>
        </w:rPr>
        <w:t>И</w:t>
      </w:r>
      <w:r>
        <w:rPr>
          <w:spacing w:val="-14"/>
        </w:rPr>
        <w:t xml:space="preserve"> </w:t>
      </w:r>
      <w:r>
        <w:rPr/>
        <w:t>СОКРАЩЕНИЯ</w:t>
      </w:r>
      <w:bookmarkEnd w:id="37"/>
      <w:bookmarkEnd w:id="38"/>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9" w:name="_bookmark48"/>
      <w:bookmarkStart w:id="40" w:name="_bookmark47"/>
      <w:bookmarkEnd w:id="39"/>
      <w:bookmarkEnd w:id="40"/>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28"/>
          <w:footerReference w:type="default" r:id="rId29"/>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5"/>
        <w:gridCol w:w="838"/>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6"/>
      <w:gridCol w:w="1717"/>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34</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35</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Application>LibreOffice/7.3.7.2$Linux_X86_64 LibreOffice_project/30$Build-2</Application>
  <AppVersion>15.0000</AppVersion>
  <Pages>37</Pages>
  <Words>5332</Words>
  <Characters>37975</Characters>
  <CharactersWithSpaces>43036</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2025-05-11T13:13:01Z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