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ПРАВИТЕЛЬСТВО РОССИЙСКОЙ ФЕДЕРАЦИИ</w:t>
        <w:br/>
        <w:t>НАЦИОНАЛЬНЫЙ ИССЛЕДОВАТЕЛЬСКИЙ УНИВЕРСИТЕТ</w:t>
        <w:br/>
        <w:t>«ВЫСШАЯ ШКОЛА ЭКОНОМИКИ»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компьютерных наук</w:t>
        <w:br/>
        <w:t>Департамент программной инженерии</w:t>
        <w:br/>
      </w:r>
    </w:p>
    <w:tbl>
      <w:tblPr>
        <w:tblStyle w:val="a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4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СОГЛАСОВАНО</w:t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_______________ Е. Р. Горяинова</w:t>
              <w:br/>
              <w:t>«____»</w:t>
              <w:softHyphen/>
              <w:softHyphen/>
              <w:t xml:space="preserve"> __________ 2025 г.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 w:val="false"/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УТВЕРЖДАЮ</w:t>
            </w:r>
          </w:p>
          <w:p>
            <w:pPr>
              <w:pStyle w:val="Normal"/>
              <w:widowControl w:val="false"/>
              <w:ind w:left="32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Академический руководитель  образовательной программы «Программная инженерия»</w:t>
              <w:br/>
              <w:t>профессор департамента программной инженерии, канд. техн. наук</w:t>
              <w:br/>
            </w:r>
          </w:p>
          <w:p>
            <w:pPr>
              <w:pStyle w:val="Normal"/>
              <w:widowControl w:val="false"/>
              <w:spacing w:lineRule="auto" w:line="360" w:before="0" w:after="160"/>
              <w:ind w:left="-677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_______________ Н. А. Павлочев</w:t>
              <w:br/>
              <w:t>«____»</w:t>
              <w:softHyphen/>
              <w:softHyphen/>
              <w:t xml:space="preserve"> __________ 2025 г.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053B9401">
                <wp:simplePos x="0" y="0"/>
                <wp:positionH relativeFrom="page">
                  <wp:posOffset>332105</wp:posOffset>
                </wp:positionH>
                <wp:positionV relativeFrom="paragraph">
                  <wp:posOffset>141605</wp:posOffset>
                </wp:positionV>
                <wp:extent cx="551815" cy="5053965"/>
                <wp:effectExtent l="0" t="0" r="0" b="0"/>
                <wp:wrapNone/>
                <wp:docPr id="1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80" cy="505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1"/>
                              <w:tblW w:w="85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56"/>
                              <w:gridCol w:w="397"/>
                            </w:tblGrid>
                            <w:tr>
                              <w:trPr>
                                <w:trHeight w:val="1986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401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146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13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238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15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26.15pt;margin-top:11.15pt;width:43.4pt;height:397.9pt;mso-wrap-style:none;v-text-anchor:middle;mso-position-horizontal-relative:page" wp14:anchorId="053B9401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1"/>
                        <w:tblW w:w="85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56"/>
                        <w:gridCol w:w="397"/>
                      </w:tblGrid>
                      <w:tr>
                        <w:trPr>
                          <w:trHeight w:val="1986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401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1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146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13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5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238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15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Toc158543916"/>
      <w:bookmarkStart w:id="1" w:name="_Toc158543916"/>
      <w:bookmarkEnd w:id="1"/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12"/>
        <w:ind w:left="1418" w:right="703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>
      <w:pPr>
        <w:pStyle w:val="Normal"/>
        <w:ind w:left="708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>Руководство оператора</w:t>
      </w:r>
    </w:p>
    <w:p>
      <w:pPr>
        <w:pStyle w:val="Normal"/>
        <w:spacing w:before="360" w:after="160"/>
        <w:ind w:left="708" w:hanging="0"/>
        <w:jc w:val="center"/>
        <w:rPr>
          <w:rFonts w:ascii="Times New Roman" w:hAnsi="Times New Roman" w:eastAsia="Times New Roman" w:cs="Times New Roman"/>
          <w:b/>
          <w:b/>
          <w:color w:val="98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 УТВЕРЖДЕНИЯ</w:t>
      </w:r>
    </w:p>
    <w:p>
      <w:pPr>
        <w:pStyle w:val="Normal"/>
        <w:pBdr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left="708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RU.17701729.11.04-01 РО 01-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1-ЛУ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76200" distB="66675" distL="38100" distR="31750" simplePos="0" locked="0" layoutInCell="0" allowOverlap="1" relativeHeight="2" wp14:anchorId="532CF9BB">
                <wp:simplePos x="0" y="0"/>
                <wp:positionH relativeFrom="column">
                  <wp:posOffset>4328160</wp:posOffset>
                </wp:positionH>
                <wp:positionV relativeFrom="paragraph">
                  <wp:posOffset>102235</wp:posOffset>
                </wp:positionV>
                <wp:extent cx="921385" cy="561975"/>
                <wp:effectExtent l="33655" t="59690" r="33655" b="59690"/>
                <wp:wrapNone/>
                <wp:docPr id="3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21132000">
                          <a:off x="0" y="0"/>
                          <a:ext cx="921240" cy="561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9" stroked="f" o:allowincell="f" style="position:absolute;margin-left:340.8pt;margin-top:8.05pt;width:72.5pt;height:44.2pt;mso-wrap-style:none;v-text-anchor:middle;rotation:352" wp14:anchorId="532CF9BB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4"/>
        </w:rPr>
        <w:t>Исполнители: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Студент БПИ-221</w:t>
        <w:br/>
        <w:t>__________ / Панкратов С. Ю. /</w:t>
        <w:br/>
        <w:t>Студент БПИ-221</w:t>
        <w:br/>
        <w:t>__________ / Знатнов Е. П. /</w:t>
        <w:br/>
        <w:t>«12» мая 2025 г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pBdr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УТВЕРЖДЕН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RU.17701729.11.04-01 РО 01-1-ЛУ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12"/>
        <w:ind w:left="1134" w:right="985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>
      <w:pPr>
        <w:pStyle w:val="Normal"/>
        <w:spacing w:before="36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6ACABC09">
                <wp:simplePos x="0" y="0"/>
                <wp:positionH relativeFrom="page">
                  <wp:posOffset>332105</wp:posOffset>
                </wp:positionH>
                <wp:positionV relativeFrom="paragraph">
                  <wp:posOffset>110490</wp:posOffset>
                </wp:positionV>
                <wp:extent cx="551815" cy="5053965"/>
                <wp:effectExtent l="0" t="0" r="0" b="0"/>
                <wp:wrapNone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80" cy="505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1"/>
                              <w:tblW w:w="85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56"/>
                              <w:gridCol w:w="397"/>
                            </w:tblGrid>
                            <w:tr>
                              <w:trPr>
                                <w:trHeight w:val="1986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401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146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13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238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15" w:after="0"/>
                                    <w:ind w:left="15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26.15pt;margin-top:8.7pt;width:43.4pt;height:397.9pt;mso-wrap-style:none;v-text-anchor:middle;mso-position-horizontal-relative:page" wp14:anchorId="6ACABC09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1"/>
                        <w:tblW w:w="85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56"/>
                        <w:gridCol w:w="397"/>
                      </w:tblGrid>
                      <w:tr>
                        <w:trPr>
                          <w:trHeight w:val="1986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401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1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146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13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5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238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15" w:after="0"/>
                              <w:ind w:left="15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4"/>
        </w:rPr>
        <w:t>Руководство программиста</w:t>
      </w:r>
    </w:p>
    <w:p>
      <w:pPr>
        <w:pStyle w:val="Normal"/>
        <w:pBdr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RU.17701729.11.04-01 РП 01-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</w:p>
    <w:p>
      <w:pPr>
        <w:pStyle w:val="Normal"/>
        <w:spacing w:before="360" w:after="18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Листов ??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" w:name="_ГЛОССАРИЙ"/>
      <w:bookmarkStart w:id="3" w:name="_heading=h.ba0qhgj0164z"/>
      <w:bookmarkStart w:id="4" w:name="_heading=h.rfkk783hkwwj"/>
      <w:bookmarkStart w:id="5" w:name="_ГЛОССАРИЙ"/>
      <w:bookmarkStart w:id="6" w:name="_heading=h.ba0qhgj0164z"/>
      <w:bookmarkStart w:id="7" w:name="_heading=h.rfkk783hkwwj"/>
      <w:bookmarkEnd w:id="5"/>
      <w:bookmarkEnd w:id="6"/>
      <w:bookmarkEnd w:id="7"/>
    </w:p>
    <w:p>
      <w:pPr>
        <w:sectPr>
          <w:headerReference w:type="even" r:id="rId3"/>
          <w:headerReference w:type="defaul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start="1" w:fmt="decimal"/>
          <w:formProt w:val="false"/>
          <w:titlePg/>
          <w:textDirection w:val="lrTb"/>
          <w:docGrid w:type="default" w:linePitch="100" w:charSpace="4096"/>
        </w:sect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Heading2"/>
        <w:spacing w:before="80" w:after="0"/>
        <w:ind w:left="2626" w:right="2955" w:hanging="566"/>
        <w:jc w:val="center"/>
        <w:rPr/>
      </w:pPr>
      <w:bookmarkStart w:id="8" w:name="_Toc158543922"/>
      <w:r>
        <w:rPr/>
        <w:t>АННОТАЦИЯ</w:t>
      </w:r>
      <w:bookmarkEnd w:id="8"/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Настоящий документ «Программный комплекс для исследования влияния аномальных наблюдений на точность прогнозирования в регрессионных моделях. Руководство оператора» предназначен для ознакомления пользователей с графическим интерфейсом и функциональными возможностями программного комплекса "MSnOutliers".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Руководство оператора разработано в соответствии с ГОСТ 19.505-79 «Единая система программной документации. Руководство оператора» и содержит следующие разделы: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В разделе «Назначение программы» приведена информация о функциональном назначении программного комплекса, его возможностях и особенностях использования в области исследования влияния аномальных наблюдений на регрессионные модели.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В разделе «Условия выполнения программы» представлены требования к аппаратному и программному обеспечению, необходимому для корректной работы комплекса.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Раздел «Выполнение программы» содержит последовательное описание действий оператора при работе с программным комплексом, включая создание моделей, генерацию данных, запуск анализа и интерпретацию результатов.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В разделе «Сообщения оператору» приведены тексты информационных и предупреждающих сообщений, которые могут возникать в процессе работы с программой, а также рекомендации по действиям оператора в каждой из описанных ситуаций.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Настоящий документ предназначен для пользователей программного комплекса, имеющих базовые навыки работы с компьютером и общее представление о регрессионном анализе данных и методах обнаружения аномалий.</w:t>
      </w:r>
    </w:p>
    <w:p>
      <w:pPr>
        <w:pStyle w:val="TextBody"/>
        <w:spacing w:lineRule="auto" w:line="360"/>
        <w:ind w:right="614" w:hanging="0"/>
        <w:jc w:val="both"/>
        <w:rPr/>
      </w:pPr>
      <w:r>
        <w:rPr/>
      </w:r>
      <w:r>
        <w:br w:type="page"/>
      </w:r>
    </w:p>
    <w:p>
      <w:pPr>
        <w:pStyle w:val="Normal"/>
        <w:widowControl w:val="false"/>
        <w:pBdr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Style w:val="InternetLink"/>
              <w:rFonts w:ascii="Arial" w:hAnsi="Arial" w:eastAsia="Arial" w:cs="Arial"/>
              <w:b/>
              <w:b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rFonts w:eastAsia="Times New Roman" w:cs="Times New Roman" w:ascii="Times New Roman" w:hAnsi="Times New Roman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sz w:val="24"/>
              <w:b/>
              <w:szCs w:val="24"/>
              <w:rFonts w:eastAsia="Times New Roman" w:cs="Times New Roman" w:ascii="Times New Roman" w:hAnsi="Times New Roman"/>
            </w:rPr>
            <w:fldChar w:fldCharType="separate"/>
          </w:r>
          <w:hyperlink w:anchor="_ГЛОССАРИЙ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4"/>
                <w:szCs w:val="24"/>
              </w:rPr>
              <w:t>ГЛОССАРИЙ</w:t>
              <w:tab/>
              <w:t>2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  <w:color w:val="000000"/>
            </w:rPr>
          </w:pPr>
          <w:hyperlink w:anchor="_НАЗНАЧЕНИЕ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1. НАЗНАЧЕНИЕ ПРОГРАММЫ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Arial" w:hAnsi="Arial" w:eastAsia="Arial" w:cs="Arial"/>
            </w:rPr>
          </w:pPr>
          <w:hyperlink w:anchor="_Наименование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1.1. Функциональное назначение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Arial" w:hAnsi="Arial" w:eastAsia="Arial" w:cs="Arial"/>
            </w:rPr>
          </w:pPr>
          <w:hyperlink w:anchor="_Эксплуатационное_назначение_1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1.2. Эксплуатационное назначение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</w:rPr>
          </w:pPr>
          <w:hyperlink w:anchor="_УСЛОВИЯ_ВЫПОЛНЕНИЯ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4"/>
                <w:szCs w:val="24"/>
              </w:rPr>
              <w:t>2. УСЛОВИЯ ВЫПОЛНЕНИЯ ПРОГРАММЫ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/>
          </w:pPr>
          <w:hyperlink w:anchor="_Требования_к_составу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2.1. Требования к составу и параметрам технических средств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Calibri" w:hAnsi="Calibri" w:eastAsia="Times New Roman" w:cs="Calibri" w:asciiTheme="majorHAnsi" w:cstheme="majorHAnsi" w:hAnsiTheme="majorHAnsi"/>
              <w:b/>
              <w:b/>
              <w:bCs/>
            </w:rPr>
          </w:pPr>
          <w:hyperlink w:anchor="_Требования_к_пользователю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2.2. Требования к пользователю (программисту)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</w:rPr>
          </w:pPr>
          <w:hyperlink w:anchor="_ВЫПОЛНЕНИЕ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4"/>
                <w:szCs w:val="24"/>
              </w:rPr>
              <w:t>3. ВЫПОЛНЕНИЕ ПРОГРАММЫ</w:t>
              <w:tab/>
              <w:t>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Arial" w:hAnsi="Arial" w:eastAsia="Arial" w:cs="Arial"/>
            </w:rPr>
          </w:pPr>
          <w:hyperlink w:anchor="_Установка_продукта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3.1. Установка продукта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hyperlink w:anchor="_Процесс_сбора_данных">
            <w:r>
              <w:rPr>
                <w:webHidden/>
                <w:rStyle w:val="IndexLink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3.2. Процесс сбора данных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anchor="_Процесс_предобработки_данных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 xml:space="preserve">3.3. 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Препроцессинг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”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 xml:space="preserve"> данных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9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anchor="_Процесс_обучения_моделей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3.4. Процесс обучения моделей регрессии и визуализации результатов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9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anchor="_Процесс_обучения_моделей_1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3.5. Процесс обучения моделей кластеризации и визуализации результатов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10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</w:rPr>
          </w:pPr>
          <w:hyperlink w:anchor="_СПИСОК_ИСПОЛЬЗУЕМОЙ_ЛИТЕРАТУР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sz w:val="24"/>
                <w:szCs w:val="24"/>
              </w:rPr>
              <w:t>СПИСОК ИСПОЛЬЗУЕМЫЙ ЛИТЕРАТУРЫ</w:t>
              <w:tab/>
              <w:t>11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  <w:color w:val="000000"/>
            </w:rPr>
          </w:pPr>
          <w:hyperlink w:anchor="_ЛИСТ_РЕГИСТРАЦИИ_ИЗМЕНЕНИЙ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ЛИСТ РЕГИСТРАЦИИ ИЗМЕНЕНИЙ</w:t>
              <w:tab/>
              <w:t>12</w:t>
            </w:r>
          </w:hyperlink>
          <w:r>
            <w:rPr>
              <w:rStyle w:val="IndexLink"/>
              <w:sz w:val="24"/>
              <w:b/>
              <w:szCs w:val="24"/>
              <w:rFonts w:eastAsia="Times New Roman" w:cs="Times New Roman" w:ascii="Times New Roman" w:hAnsi="Times New Roman"/>
              <w:color w:val="000000"/>
            </w:rPr>
            <w:fldChar w:fldCharType="end"/>
          </w:r>
        </w:p>
        <w:p>
          <w:pPr>
            <w:sectPr>
              <w:headerReference w:type="default" r:id="rId7"/>
              <w:footerReference w:type="default" r:id="rId8"/>
              <w:type w:val="nextPage"/>
              <w:pgSz w:w="11906" w:h="16838"/>
              <w:pgMar w:left="1134" w:right="567" w:gutter="0" w:header="703" w:top="1418" w:footer="709" w:bottom="851"/>
              <w:pgNumType w:start="2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numPr>
          <w:ilvl w:val="0"/>
          <w:numId w:val="2"/>
        </w:numPr>
        <w:rPr/>
      </w:pPr>
      <w:bookmarkStart w:id="9" w:name="_НАЗНАЧЕНИЕ_ПРОГРАММЫ"/>
      <w:bookmarkStart w:id="10" w:name="_ВВЕДЕНИЕ"/>
      <w:bookmarkStart w:id="11" w:name="_heading=h.3znysh7"/>
      <w:bookmarkEnd w:id="9"/>
      <w:bookmarkEnd w:id="10"/>
      <w:bookmarkEnd w:id="11"/>
      <w:r>
        <w:rPr/>
        <w:t>НАЗНАЧЕНИЕ ПРОГРАММЫ</w:t>
      </w:r>
    </w:p>
    <w:p>
      <w:pPr>
        <w:pStyle w:val="Heading2"/>
        <w:numPr>
          <w:ilvl w:val="1"/>
          <w:numId w:val="2"/>
        </w:numPr>
        <w:rPr/>
      </w:pPr>
      <w:bookmarkStart w:id="12" w:name="_Наименование_программы"/>
      <w:bookmarkStart w:id="13" w:name="_heading=h.2et92p0"/>
      <w:bookmarkEnd w:id="12"/>
      <w:bookmarkEnd w:id="13"/>
      <w:r>
        <w:rPr/>
        <w:t>Функциональное назначение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bookmarkStart w:id="14" w:name="_Документы,_на_основании"/>
      <w:bookmarkStart w:id="15" w:name="_heading=h.4lp3uw1z0scz"/>
      <w:bookmarkEnd w:id="14"/>
      <w:bookmarkEnd w:id="15"/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для исследования влияния аномальных наблюдений на точность прогнозирования в регрессионных моделях (коротко, "MSnOutliers") предназначен для исследования влияния аномальных наблюдений на точность прогнозирования в различных регрессионных моделях. Комплекс позволяет проводить сравнительный анализ устойчивости регрессионных методов к наличию аномалий в данных, а также оценивать эффективность различных алгоритмов машинного обучения для обнаружения и удаления выбросов.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обеспечивает выполнение следующих функций:</w:t>
      </w:r>
    </w:p>
    <w:p>
      <w:pPr>
        <w:pStyle w:val="Normal"/>
        <w:numPr>
          <w:ilvl w:val="0"/>
          <w:numId w:val="7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Работа с регрессионными моделями:</w:t>
      </w:r>
    </w:p>
    <w:p>
      <w:pPr>
        <w:pStyle w:val="ListParagraph"/>
        <w:numPr>
          <w:ilvl w:val="1"/>
          <w:numId w:val="8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классических методов регрессии (метод наименьших квадратов - LSM).</w:t>
      </w:r>
    </w:p>
    <w:p>
      <w:pPr>
        <w:pStyle w:val="ListParagraph"/>
        <w:numPr>
          <w:ilvl w:val="1"/>
          <w:numId w:val="8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робастных методов регрессии (метод Хьюбера - HUB, метод Тьюки - TUK).</w:t>
      </w:r>
    </w:p>
    <w:p>
      <w:pPr>
        <w:pStyle w:val="ListParagraph"/>
        <w:numPr>
          <w:ilvl w:val="1"/>
          <w:numId w:val="8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метода наименьших абсолютных отклонений (LAD).</w:t>
      </w:r>
    </w:p>
    <w:p>
      <w:pPr>
        <w:pStyle w:val="ListParagraph"/>
        <w:numPr>
          <w:ilvl w:val="1"/>
          <w:numId w:val="8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метода медианных наклонов Тейла-Сена (THS).</w:t>
      </w:r>
    </w:p>
    <w:p>
      <w:pPr>
        <w:pStyle w:val="Normal"/>
        <w:numPr>
          <w:ilvl w:val="0"/>
          <w:numId w:val="7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Работа с данными:</w:t>
      </w:r>
    </w:p>
    <w:p>
      <w:pPr>
        <w:pStyle w:val="ListParagraph"/>
        <w:numPr>
          <w:ilvl w:val="1"/>
          <w:numId w:val="9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Генерация синтетических данных с заданным количеством признаков и наблюдений.</w:t>
      </w:r>
    </w:p>
    <w:p>
      <w:pPr>
        <w:pStyle w:val="ListParagraph"/>
        <w:numPr>
          <w:ilvl w:val="1"/>
          <w:numId w:val="9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Добавление контролируемого уровня шума различных распределений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контролируемых искажений.</w:t>
      </w:r>
    </w:p>
    <w:p>
      <w:pPr>
        <w:pStyle w:val="ListParagraph"/>
        <w:numPr>
          <w:ilvl w:val="1"/>
          <w:numId w:val="9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Загрузка внешних наборов данных в формате CSV.</w:t>
      </w:r>
    </w:p>
    <w:p>
      <w:pPr>
        <w:pStyle w:val="Normal"/>
        <w:numPr>
          <w:ilvl w:val="0"/>
          <w:numId w:val="7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Очистка данных от аномалий:</w:t>
      </w:r>
    </w:p>
    <w:p>
      <w:pPr>
        <w:pStyle w:val="ListParagraph"/>
        <w:numPr>
          <w:ilvl w:val="1"/>
          <w:numId w:val="10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Isolation Forest (IForest).</w:t>
      </w:r>
    </w:p>
    <w:p>
      <w:pPr>
        <w:pStyle w:val="ListParagraph"/>
        <w:numPr>
          <w:ilvl w:val="1"/>
          <w:numId w:val="10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плотностной кластеризации (DBSCAN).</w:t>
      </w:r>
    </w:p>
    <w:p>
      <w:pPr>
        <w:pStyle w:val="ListParagraph"/>
        <w:numPr>
          <w:ilvl w:val="1"/>
          <w:numId w:val="10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оценки плотности ядра (KDE).</w:t>
      </w:r>
    </w:p>
    <w:p>
      <w:pPr>
        <w:pStyle w:val="ListParagraph"/>
        <w:numPr>
          <w:ilvl w:val="1"/>
          <w:numId w:val="10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k-ближайших соседей (KNN).</w:t>
      </w:r>
    </w:p>
    <w:p>
      <w:pPr>
        <w:pStyle w:val="Normal"/>
        <w:numPr>
          <w:ilvl w:val="0"/>
          <w:numId w:val="7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Анализ результатов:</w:t>
      </w:r>
    </w:p>
    <w:p>
      <w:pPr>
        <w:pStyle w:val="ListParagraph"/>
        <w:numPr>
          <w:ilvl w:val="1"/>
          <w:numId w:val="11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Проведение экспериментов с различными уровнями шума.</w:t>
      </w:r>
    </w:p>
    <w:p>
      <w:pPr>
        <w:pStyle w:val="ListParagraph"/>
        <w:numPr>
          <w:ilvl w:val="1"/>
          <w:numId w:val="11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Визуализация зависимости ошибки от уровня шума для каждой модели.</w:t>
      </w:r>
    </w:p>
    <w:p>
      <w:pPr>
        <w:pStyle w:val="ListParagraph"/>
        <w:numPr>
          <w:ilvl w:val="1"/>
          <w:numId w:val="11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Сравнение эффективности различных методов очистки данных.</w:t>
      </w:r>
    </w:p>
    <w:p>
      <w:pPr>
        <w:pStyle w:val="Heading2"/>
        <w:numPr>
          <w:ilvl w:val="1"/>
          <w:numId w:val="2"/>
        </w:numPr>
        <w:rPr/>
      </w:pPr>
      <w:bookmarkStart w:id="16" w:name="_Эксплуатационное_назначение_1"/>
      <w:bookmarkEnd w:id="16"/>
      <w:r>
        <w:rPr/>
        <w:t>Возможности программы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"MSnOutliers" реализует следующие возможности:</w:t>
      </w:r>
    </w:p>
    <w:p>
      <w:pPr>
        <w:pStyle w:val="Normal"/>
        <w:numPr>
          <w:ilvl w:val="0"/>
          <w:numId w:val="12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различных типов регрессионных моделей через удобный графический интерфейс.</w:t>
      </w:r>
    </w:p>
    <w:p>
      <w:pPr>
        <w:pStyle w:val="Normal"/>
        <w:numPr>
          <w:ilvl w:val="0"/>
          <w:numId w:val="12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Генерация синтетических данных с контролируемым уровнем и типом аномалий.</w:t>
      </w:r>
    </w:p>
    <w:p>
      <w:pPr>
        <w:pStyle w:val="Normal"/>
        <w:numPr>
          <w:ilvl w:val="0"/>
          <w:numId w:val="12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алгоритмов машинного обучения для обнаружения и удаления аномальных наблюдений.</w:t>
      </w:r>
    </w:p>
    <w:p>
      <w:pPr>
        <w:pStyle w:val="Normal"/>
        <w:numPr>
          <w:ilvl w:val="0"/>
          <w:numId w:val="12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Параллельное выполнение экспериментов для ускорения процесса анализа.</w:t>
      </w:r>
    </w:p>
    <w:p>
      <w:pPr>
        <w:pStyle w:val="Normal"/>
        <w:numPr>
          <w:ilvl w:val="0"/>
          <w:numId w:val="12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Визуализация результатов в виде информативных графиков.</w:t>
      </w:r>
    </w:p>
    <w:p>
      <w:pPr>
        <w:pStyle w:val="Normal"/>
        <w:numPr>
          <w:ilvl w:val="0"/>
          <w:numId w:val="12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Сохранение конфигураций моделей и результатов анализа для последующего использования.</w:t>
      </w:r>
    </w:p>
    <w:p>
      <w:pPr>
        <w:pStyle w:val="Heading2"/>
        <w:numPr>
          <w:ilvl w:val="1"/>
          <w:numId w:val="2"/>
        </w:numPr>
        <w:rPr>
          <w:bCs/>
          <w:lang w:val="en-RU"/>
        </w:rPr>
      </w:pPr>
      <w:r>
        <w:rPr>
          <w:bCs/>
          <w:lang w:val="en-RU"/>
        </w:rPr>
        <w:t>Целевая аудитория и область применения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"MSnOutliers" предназначен для школьников и студентов, проходящих подготовку по дисциплине “Математическая статистика” или каким-либо смежным с ней, а также преподавателей, читающих вышеупомянутые курсы.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Комплекс может использоваться как для образовательных целей, так и для практического применения при выборе наиболее подходящих методов регрессии и очистки данных для конкретных задач анализа.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7" w:name="_УСЛОВИЯ_ВЫПОЛНЕНИЯ_ПРОГРАММЫ"/>
      <w:bookmarkStart w:id="18" w:name="_НАЗНАЧЕНИЕ_И_ОБЛАСТЬ"/>
      <w:bookmarkStart w:id="19" w:name="_heading=h.3dy6vkm"/>
      <w:bookmarkEnd w:id="17"/>
      <w:bookmarkEnd w:id="18"/>
      <w:bookmarkEnd w:id="19"/>
      <w:r>
        <w:rPr/>
        <w:t>УСЛОВИЯ ВЫПОЛНЕНИЯ ПРОГРАММЫ</w:t>
      </w:r>
    </w:p>
    <w:p>
      <w:pPr>
        <w:pStyle w:val="Heading2"/>
        <w:numPr>
          <w:ilvl w:val="1"/>
          <w:numId w:val="2"/>
        </w:numPr>
        <w:rPr>
          <w:bCs/>
          <w:lang w:val="en-RU"/>
        </w:rPr>
      </w:pPr>
      <w:bookmarkStart w:id="20" w:name="_Требования_к_составу"/>
      <w:bookmarkStart w:id="21" w:name="_Функциональное_назначение"/>
      <w:bookmarkStart w:id="22" w:name="_heading=h.1t3h5sf"/>
      <w:bookmarkEnd w:id="20"/>
      <w:bookmarkEnd w:id="21"/>
      <w:bookmarkEnd w:id="22"/>
      <w:r>
        <w:rPr>
          <w:bCs/>
          <w:lang w:val="en-RU"/>
        </w:rPr>
        <w:t>Аппаратные средства, необходимые для функционирования программы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Для эксплуатации программного комплекса "MSnOutliers" должны использоваться следующие средства вычислительной техники (СВТ):</w:t>
      </w:r>
    </w:p>
    <w:p>
      <w:pPr>
        <w:pStyle w:val="Normal"/>
        <w:numPr>
          <w:ilvl w:val="0"/>
          <w:numId w:val="15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СВТ индивидуального пользования - АРМ оператора, представляющее собой ПЭВМ со следующими минимальными характеристиками:</w:t>
      </w:r>
    </w:p>
    <w:p>
      <w:pPr>
        <w:pStyle w:val="ListParagraph"/>
        <w:numPr>
          <w:ilvl w:val="1"/>
          <w:numId w:val="13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Процессор: Intel Core i5 6-го поколения / AMD Ryzen 5 1-го поколения / Apple Silicon (M1/M2/M3) или аналогичный.</w:t>
      </w:r>
    </w:p>
    <w:p>
      <w:pPr>
        <w:pStyle w:val="ListParagraph"/>
        <w:numPr>
          <w:ilvl w:val="1"/>
          <w:numId w:val="13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Оперативная память: не менее 8 ГБ.</w:t>
      </w:r>
    </w:p>
    <w:p>
      <w:pPr>
        <w:pStyle w:val="ListParagraph"/>
        <w:numPr>
          <w:ilvl w:val="1"/>
          <w:numId w:val="13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Свободное дисковое пространство: не менее 500 МБ.</w:t>
      </w:r>
    </w:p>
    <w:p>
      <w:pPr>
        <w:pStyle w:val="ListParagraph"/>
        <w:numPr>
          <w:ilvl w:val="1"/>
          <w:numId w:val="13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Видеоадаптер: с поддержкой разрешения не менее 1280x720.</w:t>
      </w:r>
    </w:p>
    <w:p>
      <w:pPr>
        <w:pStyle w:val="Normal"/>
        <w:numPr>
          <w:ilvl w:val="0"/>
          <w:numId w:val="15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Рекомендуемые характеристики для комфортной работы при обработке больших наборов данных:</w:t>
      </w:r>
    </w:p>
    <w:p>
      <w:pPr>
        <w:pStyle w:val="ListParagraph"/>
        <w:numPr>
          <w:ilvl w:val="1"/>
          <w:numId w:val="14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Процессор с поддержкой многопоточности (4+ ядер).</w:t>
      </w:r>
    </w:p>
    <w:p>
      <w:pPr>
        <w:pStyle w:val="ListParagraph"/>
        <w:numPr>
          <w:ilvl w:val="1"/>
          <w:numId w:val="14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Оперативная память: 16 ГБ и выше.</w:t>
      </w:r>
    </w:p>
    <w:p>
      <w:pPr>
        <w:pStyle w:val="ListParagraph"/>
        <w:numPr>
          <w:ilvl w:val="1"/>
          <w:numId w:val="14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SSD-накопитель для ускорения операций чтения/записи файлов.</w:t>
      </w:r>
    </w:p>
    <w:p>
      <w:pPr>
        <w:pStyle w:val="Heading2"/>
        <w:numPr>
          <w:ilvl w:val="1"/>
          <w:numId w:val="2"/>
        </w:numPr>
        <w:rPr/>
      </w:pPr>
      <w:bookmarkStart w:id="23" w:name="_Требования_к_пользователю"/>
      <w:bookmarkStart w:id="24" w:name="_Эксплуатационное_назначение"/>
      <w:bookmarkStart w:id="25" w:name="_heading=h.4d34og8"/>
      <w:bookmarkEnd w:id="23"/>
      <w:bookmarkEnd w:id="24"/>
      <w:bookmarkEnd w:id="25"/>
      <w:r>
        <w:rPr/>
        <w:t>Программное обеспечение, необходимое для функционирования программы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Для эксплуатации программного комплекса "MSnOutliers" необходимо следующее программное обеспечение, устанавливаемое на АРМ оператора:</w:t>
      </w:r>
    </w:p>
    <w:p>
      <w:pPr>
        <w:pStyle w:val="Normal"/>
        <w:numPr>
          <w:ilvl w:val="0"/>
          <w:numId w:val="17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Операционные системы (один из вариантов)</w:t>
      </w:r>
    </w:p>
    <w:p>
      <w:pPr>
        <w:pStyle w:val="ListParagraph"/>
        <w:numPr>
          <w:ilvl w:val="1"/>
          <w:numId w:val="18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Microsoft Windows версии не ниже 10.</w:t>
      </w:r>
    </w:p>
    <w:p>
      <w:pPr>
        <w:pStyle w:val="ListParagraph"/>
        <w:numPr>
          <w:ilvl w:val="1"/>
          <w:numId w:val="18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Apple macOS версии не ниже 11 "Big Sur".</w:t>
      </w:r>
    </w:p>
    <w:p>
      <w:pPr>
        <w:pStyle w:val="ListParagraph"/>
        <w:numPr>
          <w:ilvl w:val="1"/>
          <w:numId w:val="18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Linux (дистрибутивы Ubuntu 20.04 LTS и выше, Fedora 34 и выше, или другие с поддержкой Qt 6.x).</w:t>
      </w:r>
    </w:p>
    <w:p>
      <w:pPr>
        <w:pStyle w:val="ListParagraph"/>
        <w:numPr>
          <w:ilvl w:val="0"/>
          <w:numId w:val="17"/>
        </w:numPr>
        <w:pBdr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Библиотеки и зависимости:</w:t>
      </w:r>
    </w:p>
    <w:p>
      <w:pPr>
        <w:pStyle w:val="ListParagraph"/>
        <w:numPr>
          <w:ilvl w:val="1"/>
          <w:numId w:val="19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Qt версии 6.2.3 или выше.</w:t>
      </w:r>
    </w:p>
    <w:p>
      <w:pPr>
        <w:pStyle w:val="ListParagraph"/>
        <w:numPr>
          <w:ilvl w:val="1"/>
          <w:numId w:val="19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Библиотека Eigen версии 3.4.0 или выше.</w:t>
      </w:r>
    </w:p>
    <w:p>
      <w:pPr>
        <w:pStyle w:val="ListParagraph"/>
        <w:numPr>
          <w:ilvl w:val="1"/>
          <w:numId w:val="19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Библиотека nlohmann/json версии 3.11.2 или выше.</w:t>
      </w:r>
    </w:p>
    <w:p>
      <w:pPr>
        <w:pStyle w:val="ListParagraph"/>
        <w:numPr>
          <w:ilvl w:val="1"/>
          <w:numId w:val="19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Python версии 3.9 или выше с библиотеками matplotlib версии 3.5.1 или выше и numpy версии 1.22.3 или выше.</w:t>
      </w:r>
    </w:p>
    <w:p>
      <w:pPr>
        <w:pStyle w:val="ListParagraph"/>
        <w:numPr>
          <w:ilvl w:val="0"/>
          <w:numId w:val="17"/>
        </w:numPr>
        <w:pBdr/>
        <w:spacing w:lineRule="auto" w:line="360" w:before="0" w:after="0"/>
        <w:ind w:left="709" w:hanging="283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Инструменты сборки (для установки из исходного кода):</w:t>
      </w:r>
    </w:p>
    <w:p>
      <w:pPr>
        <w:pStyle w:val="ListParagraph"/>
        <w:numPr>
          <w:ilvl w:val="1"/>
          <w:numId w:val="20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CMake версии 3.14 или выше.</w:t>
      </w:r>
    </w:p>
    <w:p>
      <w:pPr>
        <w:pStyle w:val="ListParagraph"/>
        <w:numPr>
          <w:ilvl w:val="1"/>
          <w:numId w:val="20"/>
        </w:numPr>
        <w:pBdr/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Компилятор с поддержкой C++17 (в зависимости от операционной системы)</w:t>
      </w:r>
    </w:p>
    <w:p>
      <w:pPr>
        <w:pStyle w:val="ListParagraph"/>
        <w:numPr>
          <w:ilvl w:val="2"/>
          <w:numId w:val="21"/>
        </w:numPr>
        <w:pBdr/>
        <w:spacing w:lineRule="auto" w:line="360" w:before="0" w:after="0"/>
        <w:ind w:left="1985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GCC 9.0 или выше (для Linux).</w:t>
      </w:r>
    </w:p>
    <w:p>
      <w:pPr>
        <w:pStyle w:val="ListParagraph"/>
        <w:numPr>
          <w:ilvl w:val="2"/>
          <w:numId w:val="21"/>
        </w:numPr>
        <w:pBdr/>
        <w:spacing w:lineRule="auto" w:line="360" w:before="0" w:after="0"/>
        <w:ind w:left="1985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Clang 13.0.0 или выше (для macOS).</w:t>
      </w:r>
    </w:p>
    <w:p>
      <w:pPr>
        <w:pStyle w:val="ListParagraph"/>
        <w:numPr>
          <w:ilvl w:val="2"/>
          <w:numId w:val="21"/>
        </w:numPr>
        <w:pBdr/>
        <w:spacing w:lineRule="auto" w:line="360" w:before="0" w:after="0"/>
        <w:ind w:left="1985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MSVC 2019 или выше (для Windows).</w:t>
      </w:r>
    </w:p>
    <w:p>
      <w:pPr>
        <w:pStyle w:val="Heading2"/>
        <w:numPr>
          <w:ilvl w:val="1"/>
          <w:numId w:val="2"/>
        </w:numPr>
        <w:rPr/>
      </w:pPr>
      <w:r>
        <w:rPr/>
        <w:t>Требования к персоналу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К эксплуатации программного комплекса "MSnOutliers" допускаются операторы:</w:t>
      </w:r>
    </w:p>
    <w:p>
      <w:pPr>
        <w:pStyle w:val="Normal"/>
        <w:numPr>
          <w:ilvl w:val="0"/>
          <w:numId w:val="16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Имеющие навыки работы с ПЭВМ и полностью освоившие графический пользовательский интерфейс операционной системы Microsoft Windows, macOS или Linux.</w:t>
      </w:r>
    </w:p>
    <w:p>
      <w:pPr>
        <w:pStyle w:val="Normal"/>
        <w:numPr>
          <w:ilvl w:val="0"/>
          <w:numId w:val="16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Обладающие базовыми знаниями в области регрессионного анализа данных и понимающие принципы работы с различными регрессионными моделями.</w:t>
      </w:r>
    </w:p>
    <w:p>
      <w:pPr>
        <w:pStyle w:val="Normal"/>
        <w:numPr>
          <w:ilvl w:val="0"/>
          <w:numId w:val="16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Ознакомленные с документацией программного комплекса "MSnOutliers" и принципами его функционирования.</w:t>
      </w:r>
    </w:p>
    <w:p>
      <w:pPr>
        <w:pStyle w:val="Normal"/>
        <w:numPr>
          <w:ilvl w:val="0"/>
          <w:numId w:val="16"/>
        </w:numPr>
        <w:pBdr/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Понимающие базовые концепции обнаружения аномалий в данных и методы устойчивой регрессии.</w:t>
      </w:r>
    </w:p>
    <w:p>
      <w:pPr>
        <w:pStyle w:val="Normal"/>
        <w:pBdr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6" w:name="_ВЫПОЛНЕНИЕ_ПРОГРАММЫ"/>
      <w:bookmarkStart w:id="27" w:name="_ТЕХНИЧЕСКИЕ_ХАРАКТЕРИСТИКИ"/>
      <w:bookmarkStart w:id="28" w:name="_heading=h.2s8eyo1"/>
      <w:bookmarkEnd w:id="26"/>
      <w:bookmarkEnd w:id="27"/>
      <w:bookmarkEnd w:id="28"/>
      <w:r>
        <w:rPr/>
        <w:t>ВЫПОЛНЕНИЕ ПРОГРАММЫ</w:t>
      </w:r>
    </w:p>
    <w:p>
      <w:pPr>
        <w:pStyle w:val="Heading2"/>
        <w:numPr>
          <w:ilvl w:val="1"/>
          <w:numId w:val="2"/>
        </w:numPr>
        <w:rPr/>
      </w:pPr>
      <w:bookmarkStart w:id="29" w:name="_Установка_продукта"/>
      <w:bookmarkStart w:id="30" w:name="_heading=h.17dp8vu"/>
      <w:bookmarkEnd w:id="29"/>
      <w:bookmarkEnd w:id="30"/>
      <w:r>
        <w:rPr/>
        <w:t>Установка продукта</w:t>
      </w:r>
    </w:p>
    <w:p>
      <w:pPr>
        <w:pStyle w:val="Normal"/>
        <w:widowControl w:val="false"/>
        <w:spacing w:lineRule="auto" w:line="360" w:before="0" w:after="12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запуска разработанных программ, необходимо их загрузить по ссылке на репозиторий:</w:t>
      </w:r>
      <w:r>
        <w:rPr/>
        <w:t xml:space="preserve"> </w:t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https://github.com/Octopupu5/MSnOutliers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0" w:after="12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Основное взаимодействие с программным комплексом происходит через пользовательский интерфейс. В процессе работы комплекса генерируются файлы типа .json, при работе с комплексом нужно убедиться, что файлы генерируются внутри каталога с исходным кодом программного комплекса.</w:t>
      </w:r>
    </w:p>
    <w:p>
      <w:pPr>
        <w:pStyle w:val="Heading2"/>
        <w:numPr>
          <w:ilvl w:val="1"/>
          <w:numId w:val="2"/>
        </w:numPr>
        <w:rPr/>
      </w:pPr>
      <w:r>
        <w:rPr/>
        <w:t>Процесс сбор</w:t>
      </w:r>
      <w:r>
        <w:rPr/>
        <w:t>ки</w:t>
      </w:r>
      <w:r>
        <w:rPr/>
        <w:t xml:space="preserve"> программного комплекса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сборки проекта используется система CMake. </w:t>
      </w:r>
      <w:r>
        <w:rPr>
          <w:rFonts w:cs="Times New Roman" w:ascii="Times New Roman" w:hAnsi="Times New Roman"/>
          <w:sz w:val="24"/>
          <w:szCs w:val="24"/>
        </w:rPr>
        <w:t>Подробная инструкция к тому, как именно собирать программный комплекс, содержится в файле README.md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Heading2"/>
        <w:numPr>
          <w:ilvl w:val="1"/>
          <w:numId w:val="2"/>
        </w:numPr>
        <w:ind w:left="851" w:hanging="567"/>
        <w:rPr/>
      </w:pPr>
      <w:bookmarkStart w:id="31" w:name="_Процесс_предобработки_данных"/>
      <w:bookmarkEnd w:id="31"/>
      <w:r>
        <w:rPr>
          <w:lang w:val="en-US"/>
        </w:rPr>
        <w:t>“</w:t>
      </w:r>
      <w:r>
        <w:rPr/>
        <w:t>Препроцессинг</w:t>
      </w:r>
      <w:r>
        <w:rPr>
          <w:lang w:val="en-US"/>
        </w:rPr>
        <w:t>”</w:t>
      </w:r>
      <w:r>
        <w:rPr/>
        <w:t xml:space="preserve"> данных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Шаги запуска процесса предобработки данных описаны в ноутбуке "Preprocessing.ipynb" следующим образом: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Начинается с импорта необходимых библиотек: pandas, datetime, relativedelta, numpy, ast, re, seaborn.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Происходит предварительная обработка данных, полученных на предыдущем этапе. Включает в себя замену пропущенных значений и преобразование признаков.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завершении всех предобработок, данные автоматически сохраняются в формате .xlsx.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Инструкции для запуска процесса: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Нажмите кнопку "Run All Cells" в верхней панели для запуска процесса.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Дождитесь завершения предварительной обработки данных. Время выполнения зависит от объема данных.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завершении предобработки, файл данных будет автоматически сохранен в формате ".xlsx".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Проверьте наличие сохраненного файла в директории вашего проекта.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лучшего понимания кода и его компонентов рекомендуется ознакомиться с документацией по соответствующим библиотекам: pandas, datetime, numpy, seaborn.</w:t>
      </w:r>
    </w:p>
    <w:p>
      <w:pPr>
        <w:pStyle w:val="Heading2"/>
        <w:numPr>
          <w:ilvl w:val="1"/>
          <w:numId w:val="2"/>
        </w:numPr>
        <w:ind w:left="851" w:hanging="567"/>
        <w:rPr/>
      </w:pPr>
      <w:bookmarkStart w:id="32" w:name="_Процесс_обучения_моделей"/>
      <w:bookmarkEnd w:id="32"/>
      <w:r>
        <w:rPr/>
        <w:t>Процесс обучения моделей регрессии и визуализации результатов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Шаги запуска процесса обучения моделей можно пронаблюдать в ноутбуке "</w:t>
      </w:r>
      <w:r>
        <w:rPr>
          <w:rFonts w:cs="Times New Roman" w:ascii="Times New Roman" w:hAnsi="Times New Roman"/>
          <w:sz w:val="24"/>
          <w:szCs w:val="24"/>
          <w:lang w:val="en-US"/>
        </w:rPr>
        <w:t>ModelsLoader</w:t>
      </w:r>
      <w:r>
        <w:rPr>
          <w:rFonts w:cs="Times New Roman" w:ascii="Times New Roman" w:hAnsi="Times New Roman"/>
          <w:sz w:val="24"/>
          <w:szCs w:val="24"/>
        </w:rPr>
        <w:t>.ipynb" следующим образом: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Начинается с импорта необходимой библиотеки: </w:t>
      </w:r>
      <w:r>
        <w:rPr>
          <w:rFonts w:cs="Times New Roman" w:ascii="Times New Roman" w:hAnsi="Times New Roman"/>
          <w:sz w:val="24"/>
          <w:szCs w:val="24"/>
          <w:lang w:val="en-US"/>
        </w:rPr>
        <w:t>models</w:t>
      </w:r>
      <w:r>
        <w:rPr>
          <w:rFonts w:cs="Times New Roman" w:ascii="Times New Roman" w:hAnsi="Times New Roman"/>
          <w:sz w:val="24"/>
          <w:szCs w:val="24"/>
        </w:rPr>
        <w:t>. В ней содержатся функции для обучения моделей и их записи в директорию.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необходимости обучении моделей необходимо раскоментировать указанный код и запустить первую ячейку с кодом.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Следующие ячейки используются с полученными обученными моделями и демонстрируют их все метрики качества и визуализируют полученные результаты.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лучшего понимания кода и его компонентов рекомендуется ознакомиться со следующей библиотекой: </w:t>
      </w:r>
      <w:r>
        <w:rPr>
          <w:rFonts w:cs="Times New Roman" w:ascii="Times New Roman" w:hAnsi="Times New Roman"/>
          <w:sz w:val="24"/>
          <w:szCs w:val="24"/>
          <w:lang w:val="en-US"/>
        </w:rPr>
        <w:t>models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Heading2"/>
        <w:numPr>
          <w:ilvl w:val="1"/>
          <w:numId w:val="2"/>
        </w:numPr>
        <w:ind w:left="851" w:hanging="567"/>
        <w:rPr/>
      </w:pPr>
      <w:bookmarkStart w:id="33" w:name="_Процесс_обучения_моделей_1"/>
      <w:bookmarkEnd w:id="33"/>
      <w:r>
        <w:rPr/>
        <w:t>Процесс обучения моделей кластеризации и визуализации результатов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Шаги запуска процесса обучения моделей кластеризации можно пронаблюдать в ноутбуке "</w:t>
      </w:r>
      <w:r>
        <w:rPr>
          <w:rFonts w:cs="Times New Roman" w:ascii="Times New Roman" w:hAnsi="Times New Roman"/>
          <w:sz w:val="24"/>
          <w:szCs w:val="24"/>
          <w:lang w:val="en-US"/>
        </w:rPr>
        <w:t>Clusterization</w:t>
      </w:r>
      <w:r>
        <w:rPr>
          <w:rFonts w:cs="Times New Roman" w:ascii="Times New Roman" w:hAnsi="Times New Roman"/>
          <w:sz w:val="24"/>
          <w:szCs w:val="24"/>
        </w:rPr>
        <w:t>.ipynb" следующим образом: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Начинается с импорта необходимых библиотек: pandas, </w:t>
      </w:r>
      <w:r>
        <w:rPr>
          <w:rFonts w:cs="Times New Roman" w:ascii="Times New Roman" w:hAnsi="Times New Roman"/>
          <w:sz w:val="24"/>
          <w:szCs w:val="24"/>
          <w:lang w:val="en-US"/>
        </w:rPr>
        <w:t>yellowbrick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sklearn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matplotlib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plotly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left="1134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Следующие ячейки используются для обучений моделей кластеризации и визуализации полученных результатов.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лучшего понимания кода и его компонентов рекомендуется ознакомиться со следующей библиотекой: pandas, </w:t>
      </w:r>
      <w:r>
        <w:rPr>
          <w:rFonts w:cs="Times New Roman" w:ascii="Times New Roman" w:hAnsi="Times New Roman"/>
          <w:sz w:val="24"/>
          <w:szCs w:val="24"/>
          <w:lang w:val="en-US"/>
        </w:rPr>
        <w:t>yellowbrick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sklearn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matplotlib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plotly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СООБЩЕНИЯ ОПЕРАТОРУ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ind w:left="720" w:firstLine="284"/>
        <w:jc w:val="center"/>
        <w:rPr/>
      </w:pPr>
      <w:bookmarkStart w:id="34" w:name="_СПИСОК_ИСПОЛЬЗУЕМОЙ_ЛИТЕРАТУРЫ"/>
      <w:bookmarkStart w:id="35" w:name="_heading=h.1hmsyys"/>
      <w:bookmarkStart w:id="36" w:name="_heading=h.sxmqvqntczix"/>
      <w:bookmarkStart w:id="37" w:name="_heading=h.2p2csry"/>
      <w:bookmarkStart w:id="38" w:name="_heading=h.3as4poj"/>
      <w:bookmarkStart w:id="39" w:name="_heading=h.26in1rg"/>
      <w:bookmarkEnd w:id="34"/>
      <w:bookmarkEnd w:id="35"/>
      <w:bookmarkEnd w:id="36"/>
      <w:bookmarkEnd w:id="37"/>
      <w:bookmarkEnd w:id="38"/>
      <w:bookmarkEnd w:id="39"/>
      <w:r>
        <w:rPr/>
        <w:t>СПИСОК ИСПОЛЬЗУЕМОЙ ЛИТЕРАТУРЫ</w:t>
      </w:r>
    </w:p>
    <w:p>
      <w:pPr>
        <w:pStyle w:val="Normal"/>
        <w:numPr>
          <w:ilvl w:val="0"/>
          <w:numId w:val="1"/>
        </w:numPr>
        <w:pBdr/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bookmarkStart w:id="40" w:name="_heading=h.41mghml"/>
      <w:bookmarkEnd w:id="40"/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"Qt" [Электронный ресурс] / The Qt Company – Режим доступа: </w:t>
      </w:r>
      <w:hyperlink r:id="rId9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https://www.qt.io/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pBdr/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"Eigen" [Электронный ресурс] / Eigen Development Team – Режим доступа: </w:t>
      </w:r>
      <w:hyperlink r:id="rId10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https://eigen.tuxfamily.org/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pBdr/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"nlohmann/json" [Электронный ресурс] / Niels Lohmann – Режим доступа: </w:t>
      </w:r>
      <w:hyperlink r:id="rId11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https://github.com/nlohmann/json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pBdr/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"matplotlib" [Электронный ресурс] / Matplotlib Development Team – Режим доступа: </w:t>
      </w:r>
      <w:hyperlink r:id="rId1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https://matplotlib.org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pBdr/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"numpy" [Электронный ресурс] / NumPy Development Team – Режим доступа: </w:t>
      </w:r>
      <w:hyperlink r:id="rId1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https://numpy.org/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1134" w:right="567" w:gutter="0" w:header="703" w:top="1418" w:footer="709" w:bottom="851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"/>
        </w:numPr>
        <w:pBdr/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Система сборки "CMake" [Электронный ресурс] / Kitware Inc. – Режим доступа: </w:t>
      </w:r>
      <w:hyperlink r:id="rId1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https://cmake.org/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Heading1"/>
        <w:ind w:left="284" w:firstLine="284"/>
        <w:rPr/>
      </w:pPr>
      <w:bookmarkStart w:id="41" w:name="_ЛИСТ_РЕГИСТРАЦИИ_ИЗМЕНЕНИЙ"/>
      <w:bookmarkStart w:id="42" w:name="_heading=h.2grqrue"/>
      <w:bookmarkEnd w:id="41"/>
      <w:bookmarkEnd w:id="42"/>
      <w:r>
        <w:rPr/>
        <w:t>ЛИСТ РЕГИСТРАЦИИ ИЗМЕНЕНИЙ</w:t>
      </w:r>
    </w:p>
    <w:tbl>
      <w:tblPr>
        <w:tblStyle w:val="a2"/>
        <w:tblW w:w="99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51"/>
        <w:gridCol w:w="1123"/>
        <w:gridCol w:w="1124"/>
        <w:gridCol w:w="1125"/>
        <w:gridCol w:w="1124"/>
        <w:gridCol w:w="1130"/>
        <w:gridCol w:w="1124"/>
        <w:gridCol w:w="1406"/>
        <w:gridCol w:w="843"/>
        <w:gridCol w:w="676"/>
      </w:tblGrid>
      <w:tr>
        <w:trPr>
          <w:tblHeader w:val="true"/>
          <w:trHeight w:val="566" w:hRule="atLeast"/>
        </w:trPr>
        <w:tc>
          <w:tcPr>
            <w:tcW w:w="992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>
        <w:trPr>
          <w:trHeight w:val="283" w:hRule="atLeast"/>
          <w:cantSplit w:val="true"/>
        </w:trPr>
        <w:tc>
          <w:tcPr>
            <w:tcW w:w="4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113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документа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>
        <w:trPr>
          <w:trHeight w:val="1417" w:hRule="atLeast"/>
          <w:cantSplit w:val="true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right="113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keepNext w:val="true"/>
        <w:keepLines/>
        <w:pBdr/>
        <w:spacing w:lineRule="auto" w:line="360" w:before="12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133" w:right="566" w:gutter="0" w:header="703" w:top="1417" w:footer="709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b/>
        <w:sz w:val="24"/>
        <w:szCs w:val="24"/>
      </w:rPr>
      <w:t>Москва 2025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b/>
        <w:sz w:val="24"/>
        <w:szCs w:val="24"/>
      </w:rPr>
      <w:t>Москва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3"/>
      <w:tblW w:w="1026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55"/>
      <w:gridCol w:w="1664"/>
      <w:gridCol w:w="1711"/>
      <w:gridCol w:w="1620"/>
      <w:gridCol w:w="2010"/>
    </w:tblGrid>
    <w:tr>
      <w:trPr>
        <w:tblHeader w:val="true"/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160"/>
            <w:ind w:hanging="0"/>
            <w:rPr/>
          </w:pPr>
          <w:r>
            <w:rPr/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blHeader w:val="true"/>
        <w:trHeight w:val="338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Изм.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Лист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Дата</w:t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rPr>
              <w:color w:val="000000"/>
            </w:rPr>
          </w:pPr>
          <w:r>
            <w:rPr>
              <w:color w:val="000000"/>
            </w:rPr>
            <w:t>RU.17701729.11.04-01 РП 03-1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подл.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Взам. инв. №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дубл.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</w:tr>
  </w:tbl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3"/>
      <w:tblW w:w="1026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55"/>
      <w:gridCol w:w="1664"/>
      <w:gridCol w:w="1711"/>
      <w:gridCol w:w="1620"/>
      <w:gridCol w:w="2010"/>
    </w:tblGrid>
    <w:tr>
      <w:trPr>
        <w:tblHeader w:val="true"/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160"/>
            <w:ind w:hanging="0"/>
            <w:rPr/>
          </w:pPr>
          <w:r>
            <w:rPr/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blHeader w:val="true"/>
        <w:trHeight w:val="338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Изм.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Лист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Дата</w:t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rPr>
              <w:color w:val="000000"/>
            </w:rPr>
          </w:pPr>
          <w:r>
            <w:rPr>
              <w:color w:val="000000"/>
            </w:rPr>
            <w:t>RU.17701729.11.04-01 РП 03-1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подл.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Взам. инв. №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дубл.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</w:tr>
  </w:tbl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0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0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color w:val="00000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  <w:t>RU.17701729.11.04-01 РО 01-</w:t>
    </w:r>
    <w:r>
      <w:rPr>
        <w:rFonts w:eastAsia="Times New Roman" w:cs="Times New Roman" w:ascii="Times New Roman" w:hAnsi="Times New Roman"/>
        <w:b/>
        <w:sz w:val="24"/>
        <w:szCs w:val="24"/>
      </w:rPr>
      <w:t>1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color w:val="00000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  <w:t>RU.17701729.11.04-01 РО 01-</w:t>
    </w:r>
    <w:r>
      <w:rPr>
        <w:rFonts w:eastAsia="Times New Roman" w:cs="Times New Roman" w:ascii="Times New Roman" w:hAnsi="Times New Roman"/>
        <w:b/>
        <w:sz w:val="24"/>
        <w:szCs w:val="24"/>
      </w:rPr>
      <w:t>1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color w:val="00000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  <w:t>RU.17701729.11.04-01 РО 01-</w:t>
    </w:r>
    <w:r>
      <w:rPr>
        <w:rFonts w:eastAsia="Times New Roman" w:cs="Times New Roman" w:ascii="Times New Roman" w:hAnsi="Times New Roman"/>
        <w:b/>
        <w:sz w:val="24"/>
        <w:szCs w:val="24"/>
      </w:rPr>
      <w:t>1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3" w:hanging="719"/>
      </w:pPr>
      <w:rPr>
        <w:sz w:val="24"/>
        <w:b w:val="false"/>
        <w:szCs w:val="24"/>
        <w:rFonts w:ascii="Times New Roman" w:hAnsi="Times New Roman" w:eastAsia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949"/>
      </w:pPr>
      <w:rPr>
        <w:sz w:val="24"/>
        <w:b w:val="false"/>
        <w:szCs w:val="24"/>
        <w:rFonts w:ascii="Times New Roman" w:hAnsi="Times New Roman" w:eastAsia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2149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3578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5367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6796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8585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0014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1803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3232" w:hanging="1800"/>
      </w:pPr>
      <w:rPr/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2509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4298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6447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8236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10385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2174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4323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6112" w:hanging="180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2149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3578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5367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6796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8585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0014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1803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3232" w:hanging="1800"/>
      </w:pPr>
      <w:rPr/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20">
    <w:lvl w:ilvl="0">
      <w:start w:val="3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0"/>
        </w:tabs>
        <w:ind w:left="560" w:hanging="5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640" w:hanging="560"/>
      </w:pPr>
      <w:rPr/>
    </w:lvl>
    <w:lvl w:ilvl="2">
      <w:start w:val="1"/>
      <w:numFmt w:val="decimal"/>
      <w:lvlText w:val="%1.%2.%3)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.%3)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.%3)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.%3)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.%3)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.%3)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.%3)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361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60" w:before="120" w:after="0"/>
      <w:ind w:left="1080" w:hanging="360"/>
      <w:jc w:val="center"/>
      <w:outlineLvl w:val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lineRule="auto" w:line="360" w:before="120" w:after="0"/>
      <w:ind w:left="850" w:hanging="566"/>
      <w:outlineLvl w:val="1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pBdr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pBdr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pBdr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pBdr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4cd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cd8"/>
    <w:rPr/>
  </w:style>
  <w:style w:type="character" w:styleId="Internet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7fbf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2ec4"/>
    <w:rPr>
      <w:rFonts w:ascii="Times New Roman" w:hAnsi="Times New Roman" w:eastAsia="Times New Roman" w:cs="Times New Roman"/>
      <w:b/>
      <w:sz w:val="24"/>
      <w:szCs w:val="24"/>
    </w:rPr>
  </w:style>
  <w:style w:type="character" w:styleId="BodyTextChar" w:customStyle="1">
    <w:name w:val="Body Text Char"/>
    <w:basedOn w:val="DefaultParagraphFont"/>
    <w:uiPriority w:val="1"/>
    <w:qFormat/>
    <w:rsid w:val="009729a7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729a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pBdr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8606b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9729a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b4905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729a7"/>
    <w:pPr>
      <w:spacing w:after="0" w:line="240" w:lineRule="auto"/>
    </w:pPr>
    <w:rPr>
      <w:lang w:val="en-RU" w:eastAsia="en-GB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yperlink" Target="https://www.qt.io/" TargetMode="External"/><Relationship Id="rId10" Type="http://schemas.openxmlformats.org/officeDocument/2006/relationships/hyperlink" Target="https://eigen.tuxfamily.org/" TargetMode="External"/><Relationship Id="rId11" Type="http://schemas.openxmlformats.org/officeDocument/2006/relationships/hyperlink" Target="https://github.com/nlohmann/json" TargetMode="External"/><Relationship Id="rId12" Type="http://schemas.openxmlformats.org/officeDocument/2006/relationships/hyperlink" Target="https://matplotlib.org/" TargetMode="External"/><Relationship Id="rId13" Type="http://schemas.openxmlformats.org/officeDocument/2006/relationships/hyperlink" Target="https://numpy.org/" TargetMode="External"/><Relationship Id="rId14" Type="http://schemas.openxmlformats.org/officeDocument/2006/relationships/hyperlink" Target="https://cmake.org/" TargetMode="Externa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Props1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Application>LibreOffice/7.3.7.2$Linux_X86_64 LibreOffice_project/30$Build-2</Application>
  <AppVersion>15.0000</AppVersion>
  <Pages>15</Pages>
  <Words>1562</Words>
  <Characters>11157</Characters>
  <CharactersWithSpaces>12438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2024-03-30T13:00:00Z</dcterms:created>
  <dc:creator/>
  <dc:description/>
  <dc:language>en-US</dc:language>
  <cp:lastModifiedBy/>
  <dcterms:modified xsi:type="dcterms:W3CDTF">2025-05-11T11:41:57Z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