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ПЗ 02-</w:t>
      </w:r>
      <w:r>
        <w:rPr>
          <w:b/>
        </w:rPr>
        <w:t>1-ЛУ</w:t>
      </w:r>
    </w:p>
    <w:p>
      <w:pPr>
        <w:pStyle w:val="Normal"/>
        <w:rPr/>
      </w:pPr>
      <w:r>
        <w:rPr/>
      </w:r>
    </w:p>
    <w:p>
      <w:pPr>
        <w:pStyle w:val="Normal"/>
        <w:jc w:val="right"/>
        <w:rPr>
          <w:b/>
          <w:b/>
        </w:rPr>
      </w:pPr>
      <w:r>
        <w:rPr>
          <w:b/>
        </w:rPr>
        <w:t>Исполнители:</w:t>
      </w:r>
    </w:p>
    <w:p>
      <w:pPr>
        <w:pStyle w:val="Normal"/>
        <w:jc w:val="right"/>
        <w:rPr/>
      </w:pPr>
      <w:r>
        <w:drawing>
          <wp:anchor behindDoc="0" distT="0" distB="0" distL="0" distR="0" simplePos="0" locked="0" layoutInCell="0" allowOverlap="1" relativeHeight="19">
            <wp:simplePos x="0" y="0"/>
            <wp:positionH relativeFrom="column">
              <wp:posOffset>5305425</wp:posOffset>
            </wp:positionH>
            <wp:positionV relativeFrom="paragraph">
              <wp:posOffset>609600</wp:posOffset>
            </wp:positionV>
            <wp:extent cx="647065" cy="367665"/>
            <wp:effectExtent l="0" t="0" r="0" b="0"/>
            <wp:wrapSquare wrapText="largest"/>
            <wp:docPr id="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 descr=""/>
                    <pic:cNvPicPr>
                      <a:picLocks noChangeAspect="1" noChangeArrowheads="1"/>
                    </pic:cNvPicPr>
                  </pic:nvPicPr>
                  <pic:blipFill>
                    <a:blip r:embed="rId3"/>
                    <a:stretch>
                      <a:fillRect/>
                    </a:stretch>
                  </pic:blipFill>
                  <pic:spPr bwMode="auto">
                    <a:xfrm>
                      <a:off x="0" y="0"/>
                      <a:ext cx="647065" cy="367665"/>
                    </a:xfrm>
                    <a:prstGeom prst="rect">
                      <a:avLst/>
                    </a:prstGeom>
                  </pic:spPr>
                </pic:pic>
              </a:graphicData>
            </a:graphic>
          </wp:anchor>
        </w:drawing>
      </w:r>
      <w:r>
        <w:rPr/>
        <w:t>студент группы БПИ221</w:t>
        <w:br/>
        <w:t>/ Знатнов Е. П. /</w:t>
        <w:br/>
      </w:r>
    </w:p>
    <w:p>
      <w:pPr>
        <w:pStyle w:val="Normal"/>
        <w:jc w:val="right"/>
        <w:rPr/>
      </w:pPr>
      <w:r>
        <w:rPr/>
      </w:r>
    </w:p>
    <w:p>
      <w:pPr>
        <w:pStyle w:val="Normal"/>
        <w:jc w:val="right"/>
        <w:rPr/>
      </w:pPr>
      <w:r>
        <w:rPr/>
        <w:t>«__» _____________ 2025 г</w:t>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ПЗ 02-1-ЛУ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ПЗ 02-</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405" cy="6108065"/>
                    </a:xfrm>
                    <a:prstGeom prst="rect">
                      <a:avLst/>
                    </a:prstGeom>
                  </pic:spPr>
                </pic:pic>
              </a:graphicData>
            </a:graphic>
          </wp:anchor>
        </w:drawing>
      </w:r>
      <w:r>
        <w:rPr>
          <w:b/>
        </w:rPr>
        <w:t>Листов 38</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5"/>
          <w:headerReference w:type="default" r:id="rId6"/>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ba0qhgj0164z"/>
      <w:bookmarkStart w:id="2" w:name="_heading=h.rfkk783hkwwj"/>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класса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содержащие реализацию класса GenerateDialog (</w:t>
      </w:r>
      <w:r>
        <w:rPr/>
        <w:t>реализация</w:t>
      </w:r>
      <w:r>
        <w:rPr>
          <w:lang w:val="en-US"/>
        </w:rPr>
        <w:t xml:space="preserve"> – </w:t>
      </w:r>
      <w:r>
        <w:rPr/>
        <w:t>см</w:t>
      </w:r>
      <w:r>
        <w:rPr>
          <w:lang w:val="en-US"/>
        </w:rPr>
        <w:t>. 3.2.5.3).</w:t>
      </w:r>
    </w:p>
    <w:p>
      <w:pPr>
        <w:pStyle w:val="ListParagraph"/>
        <w:numPr>
          <w:ilvl w:val="5"/>
          <w:numId w:val="1"/>
        </w:numPr>
        <w:rPr>
          <w:lang w:val="en-US"/>
        </w:rPr>
      </w:pPr>
      <w:r>
        <w:rPr/>
        <w:t>basicstatdialog.h/basicstatdialog.cpp — файлы, содержащие реализацию класса BasicStatDialog. Это класс является дочерним от ModelTemplate и описывает окно, куда вводится путь для данных, для которых пользователь хочет получить базовую статистику (реализация — см. 3.2.5.16.)</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 (реализация — см. 3.2.5.12).</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3.2.5.13).</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4"/>
          <w:numId w:val="1"/>
        </w:numPr>
        <w:rPr/>
      </w:pPr>
      <w:r>
        <w:rPr/>
        <w:t>Файл src/main.cpp является точкой входа в блок Main. В этом файле происходит запуск модуля обсчета моделей. На вход модулю Main поступает JSON-файл, описываюший выбранные пользователем модели. Структура входного JSON-файла описана в Приложении 5.</w:t>
      </w:r>
    </w:p>
    <w:p>
      <w:pPr>
        <w:pStyle w:val="ListParagraph"/>
        <w:numPr>
          <w:ilvl w:val="4"/>
          <w:numId w:val="1"/>
        </w:numPr>
        <w:rPr/>
      </w:pPr>
      <w:r>
        <w:rPr/>
        <w:t>Файл src/utils.h описывает вспомогательные функции, которые используются при запуске модуля Main. В состав этих функций входят:</w:t>
      </w:r>
    </w:p>
    <w:p>
      <w:pPr>
        <w:pStyle w:val="ListParagraph"/>
        <w:numPr>
          <w:ilvl w:val="5"/>
          <w:numId w:val="1"/>
        </w:numPr>
        <w:rPr/>
      </w:pPr>
      <w:r>
        <w:rPr/>
        <w:t>runOnMethods() — метод, принимающий на вход параметры модели, данные, на которых модель нужно запустить и производит запуск и замеры модели на этих данных. Данные, попадающие в этот метод, могут быть замусорены, если пользователь указал такое желание. В случае, если запуск комплекса происходит в режиме dryRun, результаты работы моделей помещаются в файл report.txt.</w:t>
      </w:r>
    </w:p>
    <w:p>
      <w:pPr>
        <w:pStyle w:val="ListParagraph"/>
        <w:numPr>
          <w:ilvl w:val="5"/>
          <w:numId w:val="1"/>
        </w:numPr>
        <w:rPr/>
      </w:pPr>
      <w:r>
        <w:rPr/>
        <w:t xml:space="preserve">parseTarget() - метод, преобразующий параметр Target, который приходит на вход модулю Main из строки в массив коэффициентов. </w:t>
      </w:r>
    </w:p>
    <w:p>
      <w:pPr>
        <w:pStyle w:val="ListParagraph"/>
        <w:numPr>
          <w:ilvl w:val="5"/>
          <w:numId w:val="1"/>
        </w:numPr>
        <w:rPr/>
      </w:pPr>
      <w:r>
        <w:rPr/>
        <w:t>сalculateAverage () - метод, подсчитывающий среднее значение в приходящем на вход методу векторе.</w:t>
      </w:r>
    </w:p>
    <w:p>
      <w:pPr>
        <w:pStyle w:val="ListParagraph"/>
        <w:numPr>
          <w:ilvl w:val="5"/>
          <w:numId w:val="1"/>
        </w:numPr>
        <w:rPr/>
      </w:pPr>
      <w:r>
        <w:rPr/>
        <w:t>validateJson() - метод, производящий анализ содержимого входного JSON-файла. Валидация происходт следующим образом — функция проходится по файлу и проверяет, что в файле есть все поля из Приложения 5. При этом, если в файле есть какие-то другие поля — они будут проигнорированы.</w:t>
      </w:r>
    </w:p>
    <w:p>
      <w:pPr>
        <w:pStyle w:val="ListParagraph"/>
        <w:numPr>
          <w:ilvl w:val="5"/>
          <w:numId w:val="1"/>
        </w:numPr>
        <w:rPr/>
      </w:pPr>
      <w:r>
        <w:rPr/>
        <w:t xml:space="preserve"> </w:t>
      </w:r>
      <w:r>
        <w:rPr/>
        <w:t>fromEigenVec() - метод, преобразующий Eigen::VectorXd во внутреннюю структуру для хранения объектов выборки.</w:t>
      </w:r>
    </w:p>
    <w:p>
      <w:pPr>
        <w:pStyle w:val="ListParagraph"/>
        <w:numPr>
          <w:ilvl w:val="5"/>
          <w:numId w:val="1"/>
        </w:numPr>
        <w:rPr/>
      </w:pPr>
      <w:r>
        <w:rPr/>
        <w:t xml:space="preserve"> </w:t>
      </w:r>
      <w:r>
        <w:rPr/>
        <w:t>saveMetricsToJson() - метод, сохраняющий результат работы модуля Main (метрики качества) в JSON-файл.</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validator, integer_validator, coeffs_validator — объекты типа QValidator. Используются для валидации текста, вводимого в текстовые поля окна. Каждый из валидаторов валидирует отдельный тип строк:</w:t>
      </w:r>
    </w:p>
    <w:p>
      <w:pPr>
        <w:pStyle w:val="ListParagraph"/>
        <w:numPr>
          <w:ilvl w:val="0"/>
          <w:numId w:val="0"/>
        </w:numPr>
        <w:ind w:left="1800" w:hanging="0"/>
        <w:rPr/>
      </w:pPr>
      <w:r>
        <w:rPr/>
        <w:t>1. validator — корректное действительное число с разделителем «точка» («.»)</w:t>
      </w:r>
    </w:p>
    <w:p>
      <w:pPr>
        <w:pStyle w:val="ListParagraph"/>
        <w:numPr>
          <w:ilvl w:val="0"/>
          <w:numId w:val="0"/>
        </w:numPr>
        <w:ind w:left="1800" w:hanging="0"/>
        <w:rPr/>
      </w:pPr>
      <w:r>
        <w:rPr/>
        <w:t>2. integer_validator — корретное целое число</w:t>
      </w:r>
    </w:p>
    <w:p>
      <w:pPr>
        <w:pStyle w:val="ListParagraph"/>
        <w:numPr>
          <w:ilvl w:val="0"/>
          <w:numId w:val="0"/>
        </w:numPr>
        <w:ind w:left="1800" w:hanging="0"/>
        <w:rPr/>
      </w:pPr>
      <w:r>
        <w:rPr/>
        <w:t>3. coeffs_validator — строка, состоящая из действительных чисел с разделителем точкой. Числа в строке разделены точкой с запятой («;»)</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ind w:left="1800" w:hanging="0"/>
        <w:rPr/>
      </w:pPr>
      <w:r>
        <w:rPr/>
        <w:t>7. Target — целевая зависимость. Используется для замера качества работы методов при зашумлении данных. Предполагается, что пользователь знает искомую зависимость, описывающую данные и хочет узнать, как сильно зашумление данных повлияет на ответ разных моделей. Если поле Target остается пустым, предполагается, что запуск происходит в режиме dryRun, т. е. экспериментов и замеров метрик не происходит. Выбранная модель применяется ровно один раз, никаких шумов к данным, которые передает пользователь, также не применяется. На выход в таком случае поступает файл report.txt, в котором описаны веса, сгенерированные каждым методом, запущенным в формате dryRun.</w:t>
      </w:r>
    </w:p>
    <w:p>
      <w:pPr>
        <w:pStyle w:val="ListParagraph"/>
        <w:ind w:left="1800" w:hanging="0"/>
        <w:rPr/>
      </w:pPr>
      <w:r>
        <w:rPr/>
        <w:t>8. minNoise и maxNoise — поля для передачи минимального числа загрязненных данных и максимального. Инынми слоавми, в процессе работы комплекса будут произведены замеры метрик качества на данных, в которых загрязнено от minNoise до maxNoise объектов. Значения по умолчанию — 35 и 50 соответственно.</w:t>
      </w:r>
    </w:p>
    <w:p>
      <w:pPr>
        <w:pStyle w:val="ListParagraph"/>
        <w:ind w:left="1800" w:hanging="0"/>
        <w:rPr/>
      </w:pPr>
      <w:r>
        <w:rPr/>
        <w:t>9. ML Parameter 1 и ML Parameter 2 — параметры методов детекции аномалий, значения по умолчанию — 0.0 и 0.0 соответственно.</w:t>
      </w:r>
    </w:p>
    <w:p>
      <w:pPr>
        <w:pStyle w:val="ListParagraph"/>
        <w:ind w:left="1800" w:hanging="0"/>
        <w:rPr/>
      </w:pPr>
      <w:r>
        <w:rPr/>
        <w:t>10. Num. experiments — количество экспериментов на каждом из шумов, значение по умолчанию — 10.</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ind w:left="1800" w:hanging="0"/>
        <w:rPr/>
      </w:pPr>
      <w:r>
        <w:rPr/>
        <w:t>5. Scale — не является распределением, шум применяется путем умножения значения целевой переменной на 100.</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ind w:left="1800" w:hanging="0"/>
        <w:rPr/>
      </w:pPr>
      <w:r>
        <w:rPr/>
        <w:t>3. Minimun — левая граница диапозона генерации, значение по умолчанию — 1.</w:t>
      </w:r>
    </w:p>
    <w:p>
      <w:pPr>
        <w:pStyle w:val="ListParagraph"/>
        <w:ind w:left="1800" w:hanging="0"/>
        <w:rPr/>
      </w:pPr>
      <w:r>
        <w:rPr/>
        <w:t>4. Maximun — правая граница диапозона генерации, значение по умолчанию — 100.</w:t>
      </w:r>
    </w:p>
    <w:p>
      <w:pPr>
        <w:pStyle w:val="ListParagraph"/>
        <w:ind w:left="1800" w:hanging="0"/>
        <w:rPr/>
      </w:pPr>
      <w:r>
        <w:rPr/>
        <w:t>5. Coefficients — поле для ввода желаемой зависимости. В процессе генерации данных для каждого объекта создается Num. features признаков. Скалярное произведение вектора объектов на вектор коэффициентов дает в результате значние целевой переменной.  Коэффициенты передаются в формате строки, каждый коэффициент — действительное число с разделителем точкой, сами числа разделены точкой с запятой.</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getBasicStatistics() — метод, связывающийся с кнопкой «Calculate Statistics».  По нажатии на эту кнопку создается объект типа BasicStatDialog для анализа данных по переданному пользователем пути. В случае, если распарсить данные не вышло (или файл не было найден), пользователь получит сообщение об ошибке.</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numPr>
          <w:ilvl w:val="3"/>
          <w:numId w:val="1"/>
        </w:numPr>
        <w:ind w:left="1800" w:hanging="666"/>
        <w:rPr/>
      </w:pPr>
      <w:r>
        <w:rPr/>
        <w:t>Реализация класса BasicStatDialog</w:t>
      </w:r>
    </w:p>
    <w:p>
      <w:pPr>
        <w:pStyle w:val="ListParagraph"/>
        <w:numPr>
          <w:ilvl w:val="4"/>
          <w:numId w:val="1"/>
        </w:numPr>
        <w:ind w:left="1800" w:hanging="666"/>
        <w:rPr/>
      </w:pPr>
      <w:r>
        <w:rPr/>
        <w:t xml:space="preserve"> </w:t>
      </w:r>
      <w:r>
        <w:rPr/>
        <w:t>В классе BasicStatDialog отрисовывается окно с ровно одним текстовым полем (см. Приложение 15). В это поле пользователь передает путь до файла с данными, для которых он хочет получить базовую статистику. В базовую статистику входят:</w:t>
      </w:r>
    </w:p>
    <w:p>
      <w:pPr>
        <w:pStyle w:val="ListParagraph"/>
        <w:numPr>
          <w:ilvl w:val="0"/>
          <w:numId w:val="0"/>
        </w:numPr>
        <w:ind w:left="1800" w:hanging="0"/>
        <w:rPr/>
      </w:pPr>
      <w:r>
        <w:rPr/>
        <w:t>1. Минимум в данных</w:t>
      </w:r>
    </w:p>
    <w:p>
      <w:pPr>
        <w:pStyle w:val="ListParagraph"/>
        <w:numPr>
          <w:ilvl w:val="0"/>
          <w:numId w:val="0"/>
        </w:numPr>
        <w:ind w:left="1800" w:hanging="0"/>
        <w:rPr/>
      </w:pPr>
      <w:r>
        <w:rPr/>
        <w:t>2. Максимум в данных</w:t>
      </w:r>
    </w:p>
    <w:p>
      <w:pPr>
        <w:pStyle w:val="ListParagraph"/>
        <w:numPr>
          <w:ilvl w:val="0"/>
          <w:numId w:val="0"/>
        </w:numPr>
        <w:ind w:left="1800" w:hanging="0"/>
        <w:rPr/>
      </w:pPr>
      <w:r>
        <w:rPr/>
        <w:t>3. Среднее</w:t>
      </w:r>
    </w:p>
    <w:p>
      <w:pPr>
        <w:pStyle w:val="ListParagraph"/>
        <w:numPr>
          <w:ilvl w:val="0"/>
          <w:numId w:val="0"/>
        </w:numPr>
        <w:ind w:left="1800" w:hanging="0"/>
        <w:rPr/>
      </w:pPr>
      <w:r>
        <w:rPr/>
        <w:t>4. Медиана</w:t>
      </w:r>
    </w:p>
    <w:p>
      <w:pPr>
        <w:pStyle w:val="ListParagraph"/>
        <w:numPr>
          <w:ilvl w:val="0"/>
          <w:numId w:val="0"/>
        </w:numPr>
        <w:ind w:left="1800" w:hanging="0"/>
        <w:rPr/>
      </w:pPr>
      <w:r>
        <w:rPr/>
        <w:t>5. Дисперсия</w:t>
      </w:r>
    </w:p>
    <w:p>
      <w:pPr>
        <w:pStyle w:val="ListParagraph"/>
        <w:numPr>
          <w:ilvl w:val="0"/>
          <w:numId w:val="0"/>
        </w:numPr>
        <w:ind w:left="0"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  </w:t>
      </w:r>
      <w:r>
        <w:rPr>
          <w:rFonts w:cs="Times New Roman"/>
          <w:sz w:val="24"/>
          <w:szCs w:val="24"/>
        </w:rPr>
        <w:t>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 При запуске комплекса в режиме dryRun метод генерирует файл с описанием весов, полученных при проходе выбранных пользователем методов.</w:t>
      </w:r>
    </w:p>
    <w:p>
      <w:pPr>
        <w:pStyle w:val="Heading2"/>
        <w:numPr>
          <w:ilvl w:val="1"/>
          <w:numId w:val="4"/>
        </w:numPr>
        <w:ind w:left="0" w:hanging="0"/>
        <w:rPr/>
      </w:pPr>
      <w:bookmarkStart w:id="17" w:name="_Toc162976816"/>
      <w:r>
        <w:rPr/>
        <w:t>Описание выбора технических и программных средств</w:t>
      </w:r>
      <w:bookmarkEnd w:id="17"/>
    </w:p>
    <w:p>
      <w:pPr>
        <w:pStyle w:val="Normal"/>
        <w:ind w:firstLine="426"/>
        <w:rPr/>
      </w:pPr>
      <w:r>
        <w:rPr/>
        <w:t>Приложение написано на языке С++. С++ предоставляет возможность глубокого низкоуровневого взаимодействия с объектами внутри приложения. Также, этот язык дает возможность оптимизиации вычислений, что ускоряет работу вычисилительно сложных методов, опирающихся на математическую статистику и машинное обучение. Для вычисления в проекте используется библиотека Eigen, она предоставляет огромное количество средств для работы с матрицами. Использование этой библиотеки невероятно важно, так как без способа быстро расчитывать различные параметры и метрики на матрицах, весь программный комплекс работал бы долго.</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При этом визуализация результатов работы методов написана с использованием Python, а именно библиотек numpy и matplotlib. Выбор пал именно на эти технологии, так как они предоставляют возможность создания репрезентативной визуализации всех параметров и значений метрик, что важно в контексте создания программного комплекса для анализа качества статистических методов. </w:t>
      </w:r>
    </w:p>
    <w:p>
      <w:pPr>
        <w:pStyle w:val="Normal"/>
        <w:ind w:firstLine="426"/>
        <w:rPr/>
      </w:pPr>
      <w:r>
        <w:rPr/>
        <w:t xml:space="preserve">Для взаимодействия между частями приложения выбраны файлы типа JSON. Выбор именно такого вида файлов связан с простотой и понятностью формата, а так же наличием программных средств как в языке Python, так и в языке C++ (библиотека nlohmann::json) для удобной работы. </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8" w:name="_Toc162976817"/>
      <w:r>
        <w:rPr/>
        <w:t>ТЕХНИКО-ЭКОНОМИЧЕСКИЕ ПОКАЗАТЕЛИ</w:t>
      </w:r>
      <w:bookmarkEnd w:id="18"/>
    </w:p>
    <w:p>
      <w:pPr>
        <w:pStyle w:val="Heading2"/>
        <w:numPr>
          <w:ilvl w:val="1"/>
          <w:numId w:val="4"/>
        </w:numPr>
        <w:ind w:left="0" w:hanging="0"/>
        <w:rPr/>
      </w:pPr>
      <w:bookmarkStart w:id="19" w:name="_Toc162976818"/>
      <w:r>
        <w:rPr/>
        <w:t>Ориентировочная экономическая эффективность</w:t>
      </w:r>
      <w:bookmarkEnd w:id="19"/>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0" w:name="_Toc162976819"/>
      <w:r>
        <w:rPr/>
        <w:t>Предполагаемая потребность</w:t>
      </w:r>
      <w:bookmarkEnd w:id="20"/>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1" w:name="_Toc162976820"/>
      <w:r>
        <w:rPr/>
        <w:t>Экономические преимущества разработки по сравнению с отечественными и зарубежными аналогами</w:t>
      </w:r>
      <w:bookmarkEnd w:id="21"/>
    </w:p>
    <w:p>
      <w:pPr>
        <w:pStyle w:val="Normal"/>
        <w:ind w:firstLine="426"/>
        <w:rPr/>
      </w:pPr>
      <w:r>
        <w:rPr/>
        <w:t>Существующие инструменты для оценки статистических моделей на зашумлённых данных, такие как NoiseFiltersR, auditor, ELKI и другие, решают лишь отдельные аспекты проблемы — будь то фильтрация шумов, визуализация остатков или диагностика моделей. Однако они:</w:t>
      </w:r>
    </w:p>
    <w:p>
      <w:pPr>
        <w:pStyle w:val="Normal"/>
        <w:ind w:firstLine="426"/>
        <w:rPr/>
      </w:pPr>
      <w:r>
        <w:rPr/>
        <w:t>- не интегрированы в единое решение,</w:t>
      </w:r>
    </w:p>
    <w:p>
      <w:pPr>
        <w:pStyle w:val="Normal"/>
        <w:ind w:firstLine="426"/>
        <w:rPr/>
      </w:pPr>
      <w:r>
        <w:rPr/>
        <w:t>- ориентированы на не самый распространенный язык R,</w:t>
      </w:r>
    </w:p>
    <w:p>
      <w:pPr>
        <w:pStyle w:val="Normal"/>
        <w:ind w:firstLine="426"/>
        <w:rPr/>
      </w:pPr>
      <w:r>
        <w:rPr/>
        <w:t>- плохо масштабируются при работе с большими и разнородными данными,</w:t>
      </w:r>
    </w:p>
    <w:p>
      <w:pPr>
        <w:pStyle w:val="Normal"/>
        <w:ind w:firstLine="426"/>
        <w:rPr/>
      </w:pPr>
      <w:r>
        <w:rPr/>
        <w:t>- не предоставляют гибких средств для управления уровнем шума и анализа устойчивости моделей.</w:t>
      </w:r>
    </w:p>
    <w:p>
      <w:pPr>
        <w:pStyle w:val="Normal"/>
        <w:ind w:firstLine="426"/>
        <w:rPr/>
      </w:pPr>
      <w:r>
        <w:rPr/>
        <w:t>Наш программный комплекс предлагает более целостный и гибкий подход:</w:t>
      </w:r>
    </w:p>
    <w:p>
      <w:pPr>
        <w:pStyle w:val="Normal"/>
        <w:ind w:firstLine="426"/>
        <w:rPr/>
      </w:pPr>
      <w:r>
        <w:rPr/>
        <w:t>- единая среда анализа — от генерации и управления зашумлёнными данными до автоматической оценки устойчивости моделей и визуализации результатов.</w:t>
      </w:r>
    </w:p>
    <w:p>
      <w:pPr>
        <w:pStyle w:val="Normal"/>
        <w:ind w:firstLine="426"/>
        <w:rPr/>
      </w:pPr>
      <w:r>
        <w:rPr/>
        <w:t>- поддержка нескольких типов шумов — не только гауссовские, но и выбросы, шум в признаках и метках, а также комбинированные сценарии.</w:t>
      </w:r>
    </w:p>
    <w:p>
      <w:pPr>
        <w:pStyle w:val="Normal"/>
        <w:ind w:firstLine="426"/>
        <w:rPr/>
      </w:pPr>
      <w:r>
        <w:rPr/>
        <w:t>- модульная архитектура — позволяет легко подключать новые модели, метрики и методы шумоподавления.</w:t>
      </w:r>
    </w:p>
    <w:p>
      <w:pPr>
        <w:pStyle w:val="Normal"/>
        <w:ind w:firstLine="426"/>
        <w:rPr/>
      </w:pPr>
      <w:r>
        <w:rPr/>
        <w:t>- кросс-языковая интеграция — работает через API с любыми внешними системами.</w:t>
      </w:r>
    </w:p>
    <w:p>
      <w:pPr>
        <w:pStyle w:val="Normal"/>
        <w:ind w:firstLine="426"/>
        <w:rPr/>
      </w:pPr>
      <w:r>
        <w:rPr/>
        <w:t>- автоматический анализ чувствительности — позволяет сравнивать модели по устойчивости к шуму в зависимости от его уровня и типа.</w:t>
      </w:r>
    </w:p>
    <w:p>
      <w:pPr>
        <w:pStyle w:val="Normal"/>
        <w:ind w:firstLine="426"/>
        <w:rPr/>
      </w:pPr>
      <w:r>
        <w:rPr/>
        <w:t xml:space="preserve">- интерактивные отчёты и визуализация </w:t>
      </w:r>
    </w:p>
    <w:p>
      <w:pPr>
        <w:pStyle w:val="Normal"/>
        <w:ind w:firstLine="426"/>
        <w:rPr/>
      </w:pPr>
      <w:r>
        <w:rPr/>
        <w:t>Таким образом, наш комплекс не просто инструмент оценки — это полноценная платформа для разработки, тестирования и повышения устойчивости статистических моделей к реальным условиям шума.</w:t>
      </w:r>
      <w:r>
        <w:br w:type="page"/>
      </w:r>
    </w:p>
    <w:p>
      <w:pPr>
        <w:pStyle w:val="Heading1"/>
        <w:jc w:val="right"/>
        <w:rPr/>
      </w:pPr>
      <w:bookmarkStart w:id="22" w:name="_Toc162976821"/>
      <w:r>
        <w:rPr/>
        <w:t>ПРИЛОЖЕНИЕ 1</w:t>
      </w:r>
      <w:bookmarkEnd w:id="22"/>
    </w:p>
    <w:p>
      <w:pPr>
        <w:pStyle w:val="Heading1"/>
        <w:spacing w:before="40" w:after="0"/>
        <w:rPr/>
      </w:pPr>
      <w:bookmarkStart w:id="23" w:name="_Toc162976822"/>
      <w:r>
        <w:rPr/>
        <w:t>СПИСОК ИСПОЛЬЗУЕМОЙ ЛИТЕРАТУРЫ</w:t>
      </w:r>
      <w:bookmarkEnd w:id="23"/>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4" w:name="_bookmark30"/>
      <w:bookmarkEnd w:id="24"/>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5" w:name="_bookmark31"/>
      <w:bookmarkEnd w:id="25"/>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2"/>
      <w:bookmarkEnd w:id="26"/>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7" w:name="_bookmark33"/>
      <w:bookmarkEnd w:id="27"/>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8" w:name="_bookmark34"/>
      <w:bookmarkEnd w:id="28"/>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29" w:name="_bookmark35"/>
      <w:bookmarkEnd w:id="29"/>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0" w:name="_bookmark36"/>
      <w:bookmarkEnd w:id="30"/>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1" w:name="_bookmark37"/>
      <w:bookmarkEnd w:id="31"/>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2" w:name="_bookmark38"/>
      <w:bookmarkEnd w:id="32"/>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3" w:name="_bookmark39"/>
      <w:bookmarkEnd w:id="33"/>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4" w:name="_bookmark40"/>
      <w:bookmarkEnd w:id="34"/>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5" w:name="_bookmark42"/>
      <w:bookmarkEnd w:id="35"/>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14.02.2025)</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14.02.2025)</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14.02.2025)</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14.02.2025)</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10">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14.02.2025)</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1"/>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3"/>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4"/>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5"/>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920240" cy="281432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6"/>
                    <a:stretch>
                      <a:fillRect/>
                    </a:stretch>
                  </pic:blipFill>
                  <pic:spPr bwMode="auto">
                    <a:xfrm>
                      <a:off x="0" y="0"/>
                      <a:ext cx="1920240" cy="281432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173095" cy="190373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7"/>
                    <a:stretch>
                      <a:fillRect/>
                    </a:stretch>
                  </pic:blipFill>
                  <pic:spPr bwMode="auto">
                    <a:xfrm>
                      <a:off x="0" y="0"/>
                      <a:ext cx="3173095" cy="1903730"/>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21780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8"/>
                    <a:stretch>
                      <a:fillRect/>
                    </a:stretch>
                  </pic:blipFill>
                  <pic:spPr bwMode="auto">
                    <a:xfrm>
                      <a:off x="0" y="0"/>
                      <a:ext cx="6480175" cy="217805"/>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129095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9"/>
                    <a:stretch>
                      <a:fillRect/>
                    </a:stretch>
                  </pic:blipFill>
                  <pic:spPr bwMode="auto">
                    <a:xfrm>
                      <a:off x="0" y="0"/>
                      <a:ext cx="6480175" cy="129095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914650" cy="131445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0"/>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14650" cy="131445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1"/>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914650" cy="131445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2"/>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14</w:t>
      </w:r>
    </w:p>
    <w:p>
      <w:pPr>
        <w:pStyle w:val="Normal"/>
        <w:jc w:val="center"/>
        <w:rPr>
          <w:b/>
          <w:b/>
          <w:bCs/>
          <w:color w:val="00000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80175" cy="517715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3"/>
                    <a:stretch>
                      <a:fillRect/>
                    </a:stretch>
                  </pic:blipFill>
                  <pic:spPr bwMode="auto">
                    <a:xfrm>
                      <a:off x="0" y="0"/>
                      <a:ext cx="6480175" cy="5177155"/>
                    </a:xfrm>
                    <a:prstGeom prst="rect">
                      <a:avLst/>
                    </a:prstGeom>
                  </pic:spPr>
                </pic:pic>
              </a:graphicData>
            </a:graphic>
          </wp:anchor>
        </w:drawing>
      </w:r>
      <w:r>
        <w:rPr>
          <w:color w:val="000000"/>
          <w:sz w:val="18"/>
          <w:szCs w:val="18"/>
        </w:rPr>
        <w:t>Рис.13 Визуализация данны</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b/>
          <w:bCs/>
          <w:color w:val="000000"/>
          <w:sz w:val="24"/>
          <w:szCs w:val="24"/>
        </w:rPr>
        <w:t>ПРИЛОЖЕНИЕ  15</w:t>
      </w:r>
    </w:p>
    <w:p>
      <w:pPr>
        <w:pStyle w:val="Normal"/>
        <w:jc w:val="right"/>
        <w:rPr>
          <w:b/>
          <w:b/>
          <w:bCs/>
          <w:color w:val="000000"/>
        </w:rPr>
      </w:pPr>
      <w:r>
        <w:rPr>
          <w:b/>
          <w:bCs/>
          <w:color w:val="00000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52850" cy="124777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4"/>
                    <a:stretch>
                      <a:fillRect/>
                    </a:stretch>
                  </pic:blipFill>
                  <pic:spPr bwMode="auto">
                    <a:xfrm>
                      <a:off x="0" y="0"/>
                      <a:ext cx="3752850" cy="1247775"/>
                    </a:xfrm>
                    <a:prstGeom prst="rect">
                      <a:avLst/>
                    </a:prstGeom>
                  </pic:spPr>
                </pic:pic>
              </a:graphicData>
            </a:graphic>
          </wp:anchor>
        </w:drawing>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color w:val="000000"/>
          <w:sz w:val="18"/>
          <w:szCs w:val="18"/>
        </w:rPr>
        <w:t>Рис. 14 Окно первичного анализа (BasicStatDialog)</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right"/>
        <w:rPr>
          <w:b/>
          <w:b/>
          <w:bCs/>
          <w:color w:val="000000"/>
          <w:sz w:val="24"/>
          <w:szCs w:val="24"/>
        </w:rPr>
      </w:pPr>
      <w:r>
        <w:rPr>
          <w:b/>
          <w:bCs/>
          <w:color w:val="000000"/>
          <w:sz w:val="24"/>
          <w:szCs w:val="24"/>
        </w:rPr>
        <w:t>ПРИЛОЖЕНИЕ 16</w:t>
      </w:r>
    </w:p>
    <w:p>
      <w:pPr>
        <w:pStyle w:val="Normal"/>
        <w:jc w:val="center"/>
        <w:rPr>
          <w:color w:val="000000"/>
          <w:sz w:val="18"/>
          <w:szCs w:val="18"/>
        </w:rPr>
      </w:pPr>
      <w:r>
        <w:rPr>
          <w:color w:val="000000"/>
          <w:sz w:val="18"/>
          <w:szCs w:val="1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00350" cy="126682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5"/>
                    <a:stretch>
                      <a:fillRect/>
                    </a:stretch>
                  </pic:blipFill>
                  <pic:spPr bwMode="auto">
                    <a:xfrm>
                      <a:off x="0" y="0"/>
                      <a:ext cx="2800350" cy="1266825"/>
                    </a:xfrm>
                    <a:prstGeom prst="rect">
                      <a:avLst/>
                    </a:prstGeom>
                  </pic:spPr>
                </pic:pic>
              </a:graphicData>
            </a:graphic>
          </wp:anchor>
        </w:drawing>
      </w:r>
    </w:p>
    <w:p>
      <w:pPr>
        <w:pStyle w:val="Heading2"/>
        <w:ind w:left="2626" w:right="2955" w:hanging="0"/>
        <w:jc w:val="center"/>
        <w:rPr>
          <w:b w:val="false"/>
          <w:b w:val="false"/>
          <w:bCs w:val="false"/>
          <w:sz w:val="18"/>
          <w:szCs w:val="18"/>
        </w:rPr>
      </w:pPr>
      <w:r>
        <w:rPr>
          <w:b w:val="false"/>
          <w:bCs w:val="false"/>
          <w:spacing w:val="-1"/>
          <w:sz w:val="18"/>
          <w:szCs w:val="18"/>
        </w:rPr>
        <w:t>Рис. 17 Сообщение о том, что файл для первичного анализа не был найден</w:t>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left="2626" w:right="2955" w:hanging="0"/>
        <w:jc w:val="center"/>
        <w:rPr>
          <w:b/>
          <w:b/>
          <w:bCs/>
          <w:sz w:val="18"/>
          <w:szCs w:val="18"/>
        </w:rPr>
      </w:pPr>
      <w:r>
        <w:rPr>
          <w:b/>
          <w:bCs/>
          <w:sz w:val="18"/>
          <w:szCs w:val="18"/>
        </w:rPr>
      </w:r>
    </w:p>
    <w:p>
      <w:pPr>
        <w:pStyle w:val="Heading2"/>
        <w:ind w:left="2626" w:right="2955" w:hanging="0"/>
        <w:rPr/>
      </w:pPr>
      <w:bookmarkStart w:id="36" w:name="_Toc162976823"/>
      <w:bookmarkStart w:id="37" w:name="_Toc158543956"/>
      <w:r>
        <w:rPr>
          <w:spacing w:val="-1"/>
        </w:rPr>
        <w:t>ТЕРМИНЫ</w:t>
      </w:r>
      <w:r>
        <w:rPr>
          <w:spacing w:val="-14"/>
        </w:rPr>
        <w:t xml:space="preserve"> </w:t>
      </w:r>
      <w:r>
        <w:rPr>
          <w:spacing w:val="-1"/>
        </w:rPr>
        <w:t>И</w:t>
      </w:r>
      <w:r>
        <w:rPr>
          <w:spacing w:val="-14"/>
        </w:rPr>
        <w:t xml:space="preserve"> </w:t>
      </w:r>
      <w:r>
        <w:rPr/>
        <w:t>СОКРАЩЕНИЯ</w:t>
      </w:r>
      <w:bookmarkEnd w:id="36"/>
      <w:bookmarkEnd w:id="37"/>
    </w:p>
    <w:p>
      <w:pPr>
        <w:pStyle w:val="TextBody"/>
        <w:spacing w:before="4" w:after="0"/>
        <w:jc w:val="both"/>
        <w:rPr>
          <w:b/>
          <w:b/>
          <w:sz w:val="29"/>
        </w:rPr>
      </w:pPr>
      <w:r>
        <w:rPr>
          <w:b/>
          <w:sz w:val="29"/>
        </w:rPr>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Регрессионная модель – математический метод прогнозирования, устанавливающий зависимость между целевой переменной и одним или несколькими признаками.</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Аномальные наблюдения – точки данных, которые значительно отклоняются от остальных наблюдений в наборе данных и могут негативно влиять на точность прогнозирования.</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JSON – легкий формат обмена данными, используемый для хранения конфигураций моделей и параметров экспериментов.</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Асинхронные вычисления - метод параллельного выполнения задач для повышения производительности, особенно при проведении множества экспериментов.</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Целевая переменная - поле в наборе данных, значение которого модель стремится предсказать на основе признаков.</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Признак - поле в наборе данных, которое используется как для предсказания величины-цели.</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Метрики качества - показатели, используемые для оценки точности регрессионных моделей или обнаружения аномальных наблюдений.</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 xml:space="preserve">Формат </w:t>
      </w:r>
      <w:r>
        <w:rPr>
          <w:rFonts w:eastAsia="Times New Roman" w:cs="Times New Roman"/>
          <w:sz w:val="24"/>
          <w:szCs w:val="24"/>
          <w:lang w:val="en-US"/>
        </w:rPr>
        <w:t>CSV</w:t>
      </w:r>
      <w:r>
        <w:rPr>
          <w:rFonts w:eastAsia="Times New Roman" w:cs="Times New Roman"/>
          <w:sz w:val="24"/>
          <w:szCs w:val="24"/>
        </w:rPr>
        <w:t xml:space="preserve"> – текстовый формат для представления табличных данных, где значения разделены специальным символом.</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Шум – случайные отклонения в данных, которые не отражают истинную закономерность и могут возникать из-за ошибок измерения.</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Хвост распределения – область распределения вероятностей, удаленная от его центральной части.</w:t>
      </w:r>
    </w:p>
    <w:p>
      <w:pPr>
        <w:sectPr>
          <w:headerReference w:type="default" r:id="rId26"/>
          <w:footerReference w:type="default" r:id="rId27"/>
          <w:type w:val="nextPage"/>
          <w:pgSz w:w="11906" w:h="16838"/>
          <w:pgMar w:left="1134" w:right="567" w:gutter="0" w:header="703" w:top="1418" w:footer="709" w:bottom="851"/>
          <w:pgNumType w:start="2" w:fmt="decimal"/>
          <w:formProt w:val="false"/>
          <w:textDirection w:val="lrTb"/>
          <w:docGrid w:type="default" w:linePitch="100" w:charSpace="0"/>
        </w:sect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Гиперпараметр – параметр алгоритма машинного обучения, который устанавливается перед началом обучения и не изменяется в процессе его обучения.</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23"/>
        <w:gridCol w:w="830"/>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2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28"/>
      <w:footerReference w:type="default" r:id="rId29"/>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5"/>
      <w:gridCol w:w="1718"/>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02-1</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ПЗ 02-</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37</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02-1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s://cmake.org/" TargetMode="External"/><Relationship Id="rId8" Type="http://schemas.openxmlformats.org/officeDocument/2006/relationships/hyperlink" Target="https://gcc.gnu.org/" TargetMode="External"/><Relationship Id="rId9" Type="http://schemas.openxmlformats.org/officeDocument/2006/relationships/hyperlink" Target="https://releases.llvm.org/17.0.1/tools/clang/docs/ClangFormat.html" TargetMode="External"/><Relationship Id="rId10" Type="http://schemas.openxmlformats.org/officeDocument/2006/relationships/hyperlink" Target="https://releases.llvm.org/17.0.1/tools/clang/tools/extra/docs/clang-tidy/index.htm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3.xml"/><Relationship Id="rId27" Type="http://schemas.openxmlformats.org/officeDocument/2006/relationships/footer" Target="footer1.xml"/><Relationship Id="rId28" Type="http://schemas.openxmlformats.org/officeDocument/2006/relationships/header" Target="header4.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Application>LibreOffice/7.3.7.2$Linux_X86_64 LibreOffice_project/30$Build-2</Application>
  <AppVersion>15.0000</AppVersion>
  <Pages>39</Pages>
  <Words>5768</Words>
  <Characters>40211</Characters>
  <CharactersWithSpaces>45720</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2025-05-13T12:53:14Z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