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Administrator judiciar al «DebtorName»</w:t>
      </w:r>
    </w:p>
    <w:p/>
    <w:p>
      <w:pPr>
        <w:pStyle w:val="Heading1"/>
        <w:jc w:val="center"/>
      </w:pPr>
      <w:r>
        <w:t>NOTIFICARE PRIVIND DESCHIDEREA PROCEDURII «ProcedureType»</w:t>
      </w:r>
    </w:p>
    <w:p>
      <w:r>
        <w:t>Nr. «NotificationNumber»/«NotificationDate»</w:t>
      </w:r>
    </w:p>
    <w:p/>
    <w:p>
      <w:r>
        <w:t>1. Date privind dosarul: Număr dosar «CaseNumber»; «CourtName» - «CourtSection»; Judecător sindic: «JudgeName».</w:t>
      </w:r>
    </w:p>
    <w:p/>
    <w:p>
      <w:r>
        <w:t>2. Arhiva/registratura instanţei: adresa «CourtAddress», număr de telefon «CourtPhone», programul arhivei/registraturii instanţei: «CourtSchedule».</w:t>
      </w:r>
    </w:p>
    <w:p/>
    <w:p>
      <w:r>
        <w:t>3.1. Debitor: «DebtorName» «DebtorLegalForm»; Cod de identificare fiscală «DebtorCUI»; Sediul social: «DebtorRegisteredAddress», «DebtorCity», judeţul «DebtorCounty»; Număr de ordine în registrul comerţului «DebtorRCNumber».</w:t>
      </w:r>
    </w:p>
    <w:p/>
    <w:p>
      <w:r>
        <w:t>3.2. Administrator: «DebtorAdministratorName».</w:t>
      </w:r>
    </w:p>
    <w:p/>
    <w:p>
      <w:r>
        <w:t>4. Creditor: toţi creditorii cunoscuţi şi necunoscuţi.</w:t>
      </w:r>
    </w:p>
    <w:p/>
    <w:p>
      <w:r>
        <w:t>5. Lichidator judiciar: «PractitionerName» «PractitionerLegalForm», Cod de identificare fiscală «PractitionerCUI», Sediul social: «PractitionerHeadOffice»; Număr de înscriere în tabloul practicienilor în insolvenţă «PractitionerUNPIRNumber», Tel «PractitionerPhone», Fax «PractitionerFax», E-mail «PractitionerEmail», Nume şi prenume reprezentant lichidator judiciar persoană juridică «PractitionerRepresentative».</w:t>
      </w:r>
    </w:p>
    <w:p/>
    <w:p>
      <w:r>
        <w:t>6. Subscrisa «PractitionerName» «PractitionerLegalForm», în calitate de lichidator judiciar al debitorului «DebtorName», conform încheierii de şedinţă civilă din data de «OpeningDecisionDate», pronunţată de «CourtName» - «CourtSection» în dosarul «CaseNumber», în temeiul art. 73 din Legea nr. 85/2014.</w:t>
      </w:r>
    </w:p>
    <w:p>
      <w:r>
        <w:t>NOTIFICĂ</w:t>
      </w:r>
    </w:p>
    <w:p/>
    <w:p>
      <w:r>
        <w:t>7. Deschiderea procedurii «ProcedureType» împotriva debitorului «DebtorName», prin încheierea de şedinţă civilă din data de «OpeningDecisionDate», pronunţată de «CourtName» - «CourtSection» în dosarul «CaseNumber».</w:t>
      </w:r>
    </w:p>
    <w:p/>
    <w:p>
      <w:r>
        <w:t>7.1. Deschiderea procedurii ridică debitoarei dreptul de administrare conform art. 85 din lege.</w:t>
      </w:r>
    </w:p>
    <w:p/>
    <w:p>
      <w:r>
        <w:t>7.2. Creditorii debitorului «DebtorName» trebuie să procedeze la înscrierea la masa credală prin depunerea cererii de admitere a creanţei în condiţiile următoare:</w:t>
      </w:r>
    </w:p>
    <w:p/>
    <w:p>
      <w:r>
        <w:t>7.2.1. Termenul limită pentru înregistrarea cererii de admitere a creanţelor este «ClaimsDeadline». În temeiul art. 114 alin. (1) din Legea nr. 85/2014, nedepunerea cererii până la termenul menţionat atrage decăderea din drepturi.</w:t>
      </w:r>
    </w:p>
    <w:p/>
    <w:p>
      <w:r>
        <w:t>7.2.2. Alte termene stabilite prin hotărârea de deschidere a procedurii: Termenul limită pentru verificarea creanţelor, întocmirea, afişarea şi publicarea tabelului preliminar este «PreliminaryTableDate»; Termenul pentru întocmirea şi afişarea tabelului definitiv este «FinalTableDate».</w:t>
      </w:r>
    </w:p>
    <w:p/>
    <w:p>
      <w:r>
        <w:t>8. Adunarea creditorilor: Prima Adunare a creditorilor va avea loc la adresa «CreditorsMeetingAddress» în data «CreditorsMeetingDate» cu începere de la ora «CreditorsMeetingTime» având ca ordine de zi: desemnarea Comitetului creditorilor; confirmarea lichidatorului judiciar desemnat provizoriu; negocierea şi fixarea remuneraţiei acestuia.</w:t>
      </w:r>
    </w:p>
    <w:p/>
    <w:p>
      <w:r>
        <w:t>9. Deschiderea procedurii se notifică Oficiului Registrului Comerţului pentru efectuarea menţiunii.</w:t>
      </w:r>
    </w:p>
    <w:p/>
    <w:p>
      <w:r>
        <w:t>INFORMAŢII SUPLIMENTARE:</w:t>
      </w:r>
    </w:p>
    <w:p>
      <w:r>
        <w:t>1. Cererea de înscriere a creanţei se va depune cu respectarea dispoziţiilor art. 99 alin. (1) din Legea nr. 85/2014.</w:t>
      </w:r>
    </w:p>
    <w:p>
      <w:r>
        <w:t>2. Cererea va fi însoţită de documentele justificative ale creanţei şi actele de garanţie, în copii certificate.</w:t>
      </w:r>
    </w:p>
    <w:p>
      <w:r>
        <w:t>3. Cererea şi documentele se vor depune la dosar sau transmite prin poştă în dublu exemplar.</w:t>
      </w:r>
    </w:p>
    <w:p>
      <w:r>
        <w:t>4. Înscrisurile depuse la dosar pot fi consultate la arhiva instanţei.</w:t>
      </w:r>
    </w:p>
    <w:p>
      <w:r>
        <w:t>5. Cererea va fi însoţită de dovada plăţii taxei judiciare de timbru în sumă de 200,00 lei.</w:t>
      </w:r>
    </w:p>
    <w:p>
      <w:r>
        <w:t>6. De la data deschiderii procedurii se suspendă acţiunile individuale pentru realizarea creanţelor conform art. 75 din Legea nr. 85/2014.</w:t>
      </w:r>
    </w:p>
    <w:p/>
    <w:p>
      <w:r>
        <w:t>«PractitionerLegalForm»</w:t>
      </w:r>
    </w:p>
    <w:p>
      <w:r>
        <w:t>«PractitionerName»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