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ROMÂNIA</w:t>
      </w:r>
    </w:p>
    <w:p>
      <w:pPr>
        <w:jc w:val="center"/>
      </w:pPr>
      <w:r>
        <w:t>«CourtName»</w:t>
      </w:r>
    </w:p>
    <w:p>
      <w:pPr>
        <w:jc w:val="center"/>
      </w:pPr>
      <w:r>
        <w:t>«CourtSection»</w:t>
      </w:r>
    </w:p>
    <w:p/>
    <w:p>
      <w:pPr>
        <w:jc w:val="right"/>
      </w:pPr>
      <w:r>
        <w:t>Dosar nr. «CaseNumber»</w:t>
      </w:r>
    </w:p>
    <w:p/>
    <w:p>
      <w:pPr>
        <w:pStyle w:val="Heading1"/>
        <w:jc w:val="center"/>
      </w:pPr>
      <w:r>
        <w:t>ÎNCHEIERE</w:t>
      </w:r>
    </w:p>
    <w:p>
      <w:r>
        <w:t>Ședința în camera de consiliu din data de «OpeningDecisionDate»</w:t>
      </w:r>
    </w:p>
    <w:p/>
    <w:p>
      <w:r>
        <w:t>Instanța constituită din:</w:t>
      </w:r>
    </w:p>
    <w:p>
      <w:r>
        <w:t>JUDECĂTOR SINDIC: «JudgeName»</w:t>
      </w:r>
    </w:p>
    <w:p>
      <w:r>
        <w:t>GREFIER: «ClerkName»</w:t>
      </w:r>
    </w:p>
    <w:p/>
    <w:p>
      <w:r>
        <w:t>Pe rol se află soluționarea cererii de deschidere a procedurii «ProcedureType» formulată de debitoarea «DebtorName» «DebtorLegalForm», cu sediul în «DebtorRegisteredAddress», «DebtorCity», jud. «DebtorCounty», înregistrată la Registrul Comerțului sub nr. «DebtorRCNumber», CUI «DebtorCUI».</w:t>
      </w:r>
    </w:p>
    <w:p/>
    <w:p>
      <w:r>
        <w:t>Constată că prin cererea înregistrată la data de «FilingDate», debitorul a solicitat deschiderea procedurii în temeiul Legii nr. 85/2014.</w:t>
      </w:r>
    </w:p>
    <w:p/>
    <w:p>
      <w:r>
        <w:t>Din analiza actelor și lucrărilor dosarului, instanța reține că sunt îndeplinite condițiile prevăzute de lege pentru deschiderea procedurii «ProcedureType».</w:t>
      </w:r>
    </w:p>
    <w:p/>
    <w:p>
      <w:r>
        <w:t>PENTRU ACESTE MOTIVE</w:t>
      </w:r>
    </w:p>
    <w:p>
      <w:r>
        <w:t>ÎN NUMELE LEGII</w:t>
      </w:r>
    </w:p>
    <w:p>
      <w:r>
        <w:t>DISPUNE:</w:t>
      </w:r>
    </w:p>
    <w:p/>
    <w:p>
      <w:r>
        <w:t>Admite cererea formulată de debitoarea «DebtorName» «DebtorLegalForm».</w:t>
      </w:r>
    </w:p>
    <w:p>
      <w:r>
        <w:t>Dispune deschiderea procedurii «ProcedureType» împotriva debitoarei.</w:t>
      </w:r>
    </w:p>
    <w:p>
      <w:r>
        <w:t>Desemnează în calitate de lichidator judiciar provizoriu «PractitionerName» «PractitionerLegalForm», cu sediul în «PractitionerHeadOffice», înregistrat în UNPIR sub nr. «PractitionerUNPIRNumber».</w:t>
      </w:r>
    </w:p>
    <w:p>
      <w:r>
        <w:t>Fixează termen limită pentru înregistrarea cererilor de admitere a creanțelor la data de «ClaimsDeadline».</w:t>
      </w:r>
    </w:p>
    <w:p>
      <w:r>
        <w:t>Fixează termen pentru verificarea creanțelor și publicarea tabelului preliminar la data de «PreliminaryTableDate».</w:t>
      </w:r>
    </w:p>
    <w:p>
      <w:r>
        <w:t>Fixează termen pentru afișarea tabelului definitiv la data de «FinalTableDate».</w:t>
      </w:r>
    </w:p>
    <w:p>
      <w:r>
        <w:t>Fixează termen pentru continuarea procedurii la data de «NextHearingDate», ora «NextHearingTime».</w:t>
      </w:r>
    </w:p>
    <w:p/>
    <w:p>
      <w:r>
        <w:t>Cu drept de apel în termen de 7 zile de la comunicare.</w:t>
      </w:r>
    </w:p>
    <w:p/>
    <w:p>
      <w:r>
        <w:t>Pronunțată în ședință publică la data de «OpeningDecisionDate».</w:t>
      </w:r>
    </w:p>
    <w:p/>
    <w:p>
      <w:pPr>
        <w:jc w:val="left"/>
      </w:pPr>
      <w:r>
        <w:t>JUDECĂTOR SINDIC</w:t>
      </w:r>
    </w:p>
    <w:p>
      <w:r>
        <w:t>«JudgeName»</w:t>
      </w:r>
    </w:p>
    <w:p/>
    <w:p>
      <w:pPr>
        <w:jc w:val="left"/>
      </w:pPr>
      <w:r>
        <w:t>GREFIER</w:t>
      </w:r>
    </w:p>
    <w:p>
      <w:r>
        <w:t>«ClerkName»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