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F169" w14:textId="15F8298C" w:rsidR="00EF64E3" w:rsidRPr="000F0064" w:rsidRDefault="00E82833" w:rsidP="00D20677">
      <w:pPr>
        <w:pStyle w:val="Title"/>
        <w:rPr>
          <w:rFonts w:cstheme="minorHAnsi"/>
          <w:sz w:val="36"/>
          <w:szCs w:val="36"/>
        </w:rPr>
      </w:pPr>
      <w:r w:rsidRPr="000F0064">
        <w:rPr>
          <w:rFonts w:cstheme="minorHAnsi"/>
          <w:sz w:val="36"/>
          <w:szCs w:val="36"/>
        </w:rPr>
        <w:t>Association of Boys' Schools of New Zealand</w:t>
      </w:r>
    </w:p>
    <w:p w14:paraId="1D1BDC57" w14:textId="77777777" w:rsidR="000673A7" w:rsidRDefault="000673A7" w:rsidP="00D20677">
      <w:pPr>
        <w:jc w:val="center"/>
      </w:pPr>
    </w:p>
    <w:p w14:paraId="3258E0FC" w14:textId="77777777" w:rsidR="00D20677" w:rsidRDefault="00D20677" w:rsidP="00D20677">
      <w:pPr>
        <w:jc w:val="center"/>
      </w:pPr>
    </w:p>
    <w:p w14:paraId="35D369AC" w14:textId="77777777" w:rsidR="00D20677" w:rsidRDefault="00D20677" w:rsidP="00D20677">
      <w:pPr>
        <w:jc w:val="center"/>
      </w:pPr>
    </w:p>
    <w:p w14:paraId="634408BC" w14:textId="77777777" w:rsidR="00D20677" w:rsidRDefault="00D20677" w:rsidP="00D20677">
      <w:pPr>
        <w:jc w:val="center"/>
      </w:pPr>
    </w:p>
    <w:p w14:paraId="35B05E0A" w14:textId="77777777" w:rsidR="00D20677" w:rsidRDefault="00D20677" w:rsidP="00D20677">
      <w:pPr>
        <w:jc w:val="center"/>
      </w:pPr>
    </w:p>
    <w:p w14:paraId="0C62F98D" w14:textId="77777777" w:rsidR="00D20677" w:rsidRPr="000673A7" w:rsidRDefault="00D20677" w:rsidP="00D20677">
      <w:pPr>
        <w:jc w:val="center"/>
      </w:pPr>
    </w:p>
    <w:p w14:paraId="19E2816B" w14:textId="7BA97BE5" w:rsidR="00EB3F4F" w:rsidRPr="00D20677" w:rsidRDefault="005B31C3" w:rsidP="00D20677">
      <w:pPr>
        <w:pStyle w:val="Title"/>
        <w:rPr>
          <w:rFonts w:cstheme="minorHAnsi"/>
          <w:sz w:val="44"/>
          <w:szCs w:val="44"/>
        </w:rPr>
      </w:pPr>
      <w:r w:rsidRPr="00D20677">
        <w:rPr>
          <w:rFonts w:cstheme="minorHAnsi"/>
          <w:sz w:val="44"/>
          <w:szCs w:val="44"/>
        </w:rPr>
        <w:t>ACHIEVEMENT IN</w:t>
      </w:r>
      <w:r w:rsidR="00D07C17" w:rsidRPr="00D20677">
        <w:rPr>
          <w:rFonts w:cstheme="minorHAnsi"/>
          <w:sz w:val="44"/>
          <w:szCs w:val="44"/>
        </w:rPr>
        <w:t xml:space="preserve"> </w:t>
      </w:r>
      <w:r w:rsidRPr="00D20677">
        <w:rPr>
          <w:rFonts w:cstheme="minorHAnsi"/>
          <w:sz w:val="44"/>
          <w:szCs w:val="44"/>
        </w:rPr>
        <w:t>BOYS’ SCHOOLS</w:t>
      </w:r>
    </w:p>
    <w:p w14:paraId="480D282A" w14:textId="78B34236" w:rsidR="000673A7" w:rsidRPr="000673A7" w:rsidRDefault="008C5D34" w:rsidP="00D20677">
      <w:pPr>
        <w:spacing w:after="0"/>
        <w:jc w:val="center"/>
      </w:pPr>
      <w:r>
        <w:rPr>
          <w:noProof/>
          <w:sz w:val="12"/>
          <w:szCs w:val="12"/>
        </w:rPr>
        <w:pict w14:anchorId="7519C54E">
          <v:rect id="_x0000_i1025" style="width:451.3pt;height:1.5pt" o:hralign="center" o:hrstd="t" o:hr="t" fillcolor="#a0a0a0" stroked="f"/>
        </w:pict>
      </w:r>
    </w:p>
    <w:p w14:paraId="26828FFE" w14:textId="117F4CD9" w:rsidR="002C5A74" w:rsidRPr="000F0064" w:rsidRDefault="005B31C3" w:rsidP="00D20677">
      <w:pPr>
        <w:pStyle w:val="Title"/>
        <w:rPr>
          <w:sz w:val="36"/>
          <w:szCs w:val="36"/>
        </w:rPr>
      </w:pPr>
      <w:r w:rsidRPr="000F0064">
        <w:rPr>
          <w:sz w:val="36"/>
          <w:szCs w:val="36"/>
        </w:rPr>
        <w:t>2017 - 2021</w:t>
      </w:r>
    </w:p>
    <w:p w14:paraId="67AE888F" w14:textId="77777777" w:rsidR="00D20677" w:rsidRDefault="00D20677" w:rsidP="00D20677">
      <w:pPr>
        <w:spacing w:line="259" w:lineRule="auto"/>
        <w:jc w:val="center"/>
      </w:pPr>
    </w:p>
    <w:p w14:paraId="49A7B263" w14:textId="77777777" w:rsidR="00D20677" w:rsidRDefault="00D20677" w:rsidP="00D20677">
      <w:pPr>
        <w:spacing w:line="259" w:lineRule="auto"/>
        <w:jc w:val="center"/>
      </w:pPr>
    </w:p>
    <w:p w14:paraId="032ECFA8" w14:textId="77777777" w:rsidR="00D20677" w:rsidRDefault="00D20677" w:rsidP="00D20677">
      <w:pPr>
        <w:spacing w:line="259" w:lineRule="auto"/>
        <w:jc w:val="center"/>
      </w:pPr>
    </w:p>
    <w:p w14:paraId="52120433" w14:textId="77777777" w:rsidR="00D20677" w:rsidRDefault="00D20677" w:rsidP="00D20677">
      <w:pPr>
        <w:spacing w:line="259" w:lineRule="auto"/>
        <w:jc w:val="center"/>
      </w:pPr>
    </w:p>
    <w:p w14:paraId="37FA738F" w14:textId="64ABC979" w:rsidR="00D20677" w:rsidRDefault="00D20677" w:rsidP="00D20677">
      <w:pPr>
        <w:spacing w:line="259" w:lineRule="auto"/>
        <w:jc w:val="center"/>
      </w:pPr>
      <w:r>
        <w:t>Nathaniel Williamson</w:t>
      </w:r>
    </w:p>
    <w:p w14:paraId="33D9B6E2" w14:textId="77777777" w:rsidR="00D20677" w:rsidRDefault="00D20677" w:rsidP="00D20677">
      <w:pPr>
        <w:spacing w:line="259" w:lineRule="auto"/>
        <w:jc w:val="center"/>
      </w:pPr>
    </w:p>
    <w:p w14:paraId="26818623" w14:textId="77777777" w:rsidR="00D20677" w:rsidRDefault="00D20677" w:rsidP="00D20677">
      <w:pPr>
        <w:spacing w:line="259" w:lineRule="auto"/>
        <w:jc w:val="center"/>
      </w:pPr>
    </w:p>
    <w:p w14:paraId="73A6211F" w14:textId="77777777" w:rsidR="00D20677" w:rsidRDefault="00D20677" w:rsidP="00D20677">
      <w:pPr>
        <w:spacing w:line="259" w:lineRule="auto"/>
        <w:jc w:val="center"/>
      </w:pPr>
    </w:p>
    <w:p w14:paraId="42A88C9F" w14:textId="77777777" w:rsidR="000F0064" w:rsidRDefault="000F0064" w:rsidP="00D20677">
      <w:pPr>
        <w:spacing w:line="259" w:lineRule="auto"/>
        <w:jc w:val="center"/>
      </w:pPr>
    </w:p>
    <w:p w14:paraId="240D1CA7" w14:textId="77777777" w:rsidR="000F0064" w:rsidRDefault="000F0064" w:rsidP="00D20677">
      <w:pPr>
        <w:spacing w:line="259" w:lineRule="auto"/>
        <w:jc w:val="center"/>
      </w:pPr>
    </w:p>
    <w:p w14:paraId="1ECA63E6" w14:textId="77777777" w:rsidR="00D20677" w:rsidRDefault="00D20677" w:rsidP="00D20677">
      <w:pPr>
        <w:spacing w:line="259" w:lineRule="auto"/>
        <w:jc w:val="center"/>
      </w:pPr>
    </w:p>
    <w:p w14:paraId="5C5E6CDD" w14:textId="77777777" w:rsidR="00D20677" w:rsidRDefault="00D20677" w:rsidP="00D20677">
      <w:pPr>
        <w:spacing w:line="259" w:lineRule="auto"/>
        <w:jc w:val="center"/>
      </w:pPr>
    </w:p>
    <w:p w14:paraId="5E958D9D" w14:textId="77777777" w:rsidR="000F0064" w:rsidRDefault="000F0064" w:rsidP="00D20677">
      <w:pPr>
        <w:spacing w:line="259" w:lineRule="auto"/>
        <w:jc w:val="center"/>
      </w:pPr>
    </w:p>
    <w:p w14:paraId="3E40CB81" w14:textId="77777777" w:rsidR="000F0064" w:rsidRDefault="000F0064" w:rsidP="00D20677">
      <w:pPr>
        <w:spacing w:line="259" w:lineRule="auto"/>
        <w:jc w:val="center"/>
      </w:pPr>
    </w:p>
    <w:p w14:paraId="222563B9" w14:textId="77777777" w:rsidR="000F0064" w:rsidRDefault="000F0064" w:rsidP="00D20677">
      <w:pPr>
        <w:spacing w:line="259" w:lineRule="auto"/>
        <w:jc w:val="center"/>
      </w:pPr>
    </w:p>
    <w:p w14:paraId="209B3CF5" w14:textId="77777777" w:rsidR="00D20677" w:rsidRDefault="00D20677" w:rsidP="00D20677">
      <w:pPr>
        <w:spacing w:line="259" w:lineRule="auto"/>
        <w:jc w:val="center"/>
      </w:pPr>
    </w:p>
    <w:p w14:paraId="4F9A4934" w14:textId="77777777" w:rsidR="00D20677" w:rsidRDefault="00D20677" w:rsidP="00D20677">
      <w:pPr>
        <w:spacing w:line="259" w:lineRule="auto"/>
        <w:jc w:val="center"/>
      </w:pPr>
    </w:p>
    <w:p w14:paraId="601D0735" w14:textId="366DB30A" w:rsidR="00D20677" w:rsidRDefault="00877F7B" w:rsidP="00D20677">
      <w:pPr>
        <w:spacing w:line="259" w:lineRule="auto"/>
        <w:jc w:val="center"/>
      </w:pPr>
      <w:r>
        <w:t>Version 1</w:t>
      </w:r>
    </w:p>
    <w:p w14:paraId="5591EB0D" w14:textId="099E97CA" w:rsidR="00D20677" w:rsidRDefault="00B8550F" w:rsidP="00D20677">
      <w:pPr>
        <w:spacing w:line="259" w:lineRule="auto"/>
        <w:jc w:val="center"/>
      </w:pPr>
      <w:r>
        <w:t>31 March 2023</w:t>
      </w:r>
    </w:p>
    <w:p w14:paraId="40D71E40" w14:textId="4F4FEAAF" w:rsidR="006D68BB" w:rsidRDefault="003F4116" w:rsidP="000F0064">
      <w:pPr>
        <w:spacing w:line="259" w:lineRule="auto"/>
        <w:ind w:left="1418" w:right="1371"/>
        <w:jc w:val="center"/>
      </w:pPr>
      <w:r>
        <w:t xml:space="preserve">A comparison </w:t>
      </w:r>
      <w:r w:rsidR="009D5509">
        <w:t xml:space="preserve">of </w:t>
      </w:r>
      <w:r w:rsidR="00767564">
        <w:t xml:space="preserve">male achievement between coeducational and single-sex </w:t>
      </w:r>
      <w:r w:rsidR="006146BE">
        <w:t>secondary schools</w:t>
      </w:r>
      <w:r w:rsidR="00767564">
        <w:t xml:space="preserve"> in New Zealand from 2017 – 2021.</w:t>
      </w:r>
    </w:p>
    <w:p w14:paraId="5914C29D" w14:textId="47318FF3" w:rsidR="00DE08AB" w:rsidRDefault="00C83B26" w:rsidP="00CF5961">
      <w:pPr>
        <w:pStyle w:val="Heading1"/>
        <w:rPr>
          <w:noProof/>
          <w:sz w:val="12"/>
          <w:szCs w:val="12"/>
        </w:rPr>
      </w:pPr>
      <w:bookmarkStart w:id="0" w:name="_Toc130862576"/>
      <w:r>
        <w:lastRenderedPageBreak/>
        <w:t>Contents</w:t>
      </w:r>
      <w:r w:rsidR="00CF5961">
        <w:br/>
      </w:r>
      <w:r w:rsidR="008C5D34">
        <w:rPr>
          <w:noProof/>
          <w:sz w:val="12"/>
          <w:szCs w:val="12"/>
        </w:rPr>
        <w:pict w14:anchorId="16D78F41">
          <v:rect id="_x0000_i1026" style="width:451.3pt;height:1.5pt" o:hrstd="t" o:hr="t" fillcolor="#a0a0a0" stroked="f"/>
        </w:pict>
      </w:r>
      <w:bookmarkEnd w:id="0"/>
    </w:p>
    <w:p w14:paraId="6A6B344A" w14:textId="5F1AB407" w:rsidR="00945C22" w:rsidRDefault="00071EE4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862576" w:history="1">
        <w:r w:rsidR="00945C22" w:rsidRPr="0087394C">
          <w:rPr>
            <w:rStyle w:val="Hyperlink"/>
          </w:rPr>
          <w:t>Contents</w:t>
        </w:r>
        <w:r w:rsidR="00945C22">
          <w:rPr>
            <w:webHidden/>
          </w:rPr>
          <w:tab/>
        </w:r>
        <w:r w:rsidR="00945C22">
          <w:rPr>
            <w:webHidden/>
          </w:rPr>
          <w:fldChar w:fldCharType="begin"/>
        </w:r>
        <w:r w:rsidR="00945C22">
          <w:rPr>
            <w:webHidden/>
          </w:rPr>
          <w:instrText xml:space="preserve"> PAGEREF _Toc130862576 \h </w:instrText>
        </w:r>
        <w:r w:rsidR="00945C22">
          <w:rPr>
            <w:webHidden/>
          </w:rPr>
        </w:r>
        <w:r w:rsidR="00945C22">
          <w:rPr>
            <w:webHidden/>
          </w:rPr>
          <w:fldChar w:fldCharType="separate"/>
        </w:r>
        <w:r w:rsidR="008C5D34">
          <w:rPr>
            <w:webHidden/>
          </w:rPr>
          <w:t>1</w:t>
        </w:r>
        <w:r w:rsidR="00945C22">
          <w:rPr>
            <w:webHidden/>
          </w:rPr>
          <w:fldChar w:fldCharType="end"/>
        </w:r>
      </w:hyperlink>
    </w:p>
    <w:p w14:paraId="2DC1EA9A" w14:textId="4A4B0014" w:rsidR="00945C22" w:rsidRDefault="00945C22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hyperlink w:anchor="_Toc130862577" w:history="1">
        <w:r w:rsidRPr="0087394C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_Toc130862577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5D3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51E91F" w14:textId="7F36439B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78" w:history="1">
        <w:r w:rsidRPr="0087394C"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68EF33" w14:textId="43DD9872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79" w:history="1">
        <w:r w:rsidRPr="0087394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D666C" w14:textId="3114D53E" w:rsidR="00945C22" w:rsidRDefault="00945C22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hyperlink w:anchor="_Toc130862580" w:history="1">
        <w:r w:rsidRPr="0087394C">
          <w:rPr>
            <w:rStyle w:val="Hyperlink"/>
          </w:rPr>
          <w:t>Binary Comparison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_Toc130862580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5D3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3F278F" w14:textId="0FF1FFC8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81" w:history="1">
        <w:r w:rsidRPr="0087394C">
          <w:rPr>
            <w:rStyle w:val="Hyperlink"/>
            <w:noProof/>
          </w:rPr>
          <w:t>Comparison of Achievement 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DD6933" w14:textId="3EAC3988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82" w:history="1">
        <w:r w:rsidRPr="0087394C">
          <w:rPr>
            <w:rStyle w:val="Hyperlink"/>
            <w:noProof/>
          </w:rPr>
          <w:t>Spread in Achievement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9919C" w14:textId="47B9CCBD" w:rsidR="00945C22" w:rsidRDefault="00945C22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hyperlink w:anchor="_Toc130862583" w:history="1">
        <w:r w:rsidRPr="0087394C">
          <w:rPr>
            <w:rStyle w:val="Hyperlink"/>
          </w:rPr>
          <w:t>Disaggregated by Year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_Toc130862583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5D3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F3DD78" w14:textId="47001DD3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84" w:history="1">
        <w:r w:rsidRPr="0087394C">
          <w:rPr>
            <w:rStyle w:val="Hyperlink"/>
            <w:noProof/>
          </w:rPr>
          <w:t>Trend Over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842F97" w14:textId="0DDBB653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85" w:history="1">
        <w:r w:rsidRPr="0087394C">
          <w:rPr>
            <w:rStyle w:val="Hyperlink"/>
            <w:noProof/>
          </w:rPr>
          <w:t>Trend in Differences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229C62" w14:textId="1101FC06" w:rsidR="00945C22" w:rsidRDefault="00945C22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hyperlink w:anchor="_Toc130862586" w:history="1">
        <w:r w:rsidRPr="0087394C">
          <w:rPr>
            <w:rStyle w:val="Hyperlink"/>
          </w:rPr>
          <w:t>Disaggregated by Decile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_Toc130862586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5D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ED61DFD" w14:textId="49EBA9C1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87" w:history="1">
        <w:r w:rsidRPr="0087394C">
          <w:rPr>
            <w:rStyle w:val="Hyperlink"/>
            <w:noProof/>
          </w:rPr>
          <w:t>Trend Across Decile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494A34" w14:textId="49ADA135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88" w:history="1">
        <w:r w:rsidRPr="0087394C">
          <w:rPr>
            <w:rStyle w:val="Hyperlink"/>
            <w:noProof/>
          </w:rPr>
          <w:t>Comparisons by Decile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B077D2" w14:textId="3251F6FA" w:rsidR="00945C22" w:rsidRDefault="00945C22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hyperlink w:anchor="_Toc130862589" w:history="1">
        <w:r w:rsidRPr="0087394C">
          <w:rPr>
            <w:rStyle w:val="Hyperlink"/>
          </w:rPr>
          <w:t>Disaggregated by Ethnicity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_Toc130862589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5D3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9F17F58" w14:textId="7EC1CF0D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90" w:history="1">
        <w:r w:rsidRPr="0087394C">
          <w:rPr>
            <w:rStyle w:val="Hyperlink"/>
            <w:noProof/>
          </w:rPr>
          <w:t>Comparisons Between Ethnicities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AF1476" w14:textId="3585BB77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91" w:history="1">
        <w:r w:rsidRPr="0087394C">
          <w:rPr>
            <w:rStyle w:val="Hyperlink"/>
            <w:noProof/>
          </w:rPr>
          <w:t>Comparisons Between Differences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B09CE7" w14:textId="479FFCD5" w:rsidR="00945C22" w:rsidRDefault="00945C22">
      <w:pPr>
        <w:pStyle w:val="TOC1"/>
        <w:rPr>
          <w:rFonts w:eastAsiaTheme="minorEastAsia" w:cstheme="minorBidi"/>
          <w:b w:val="0"/>
          <w:bCs w:val="0"/>
          <w:color w:val="auto"/>
          <w:lang w:eastAsia="en-NZ"/>
        </w:rPr>
      </w:pPr>
      <w:hyperlink w:anchor="_Toc130862592" w:history="1">
        <w:r w:rsidRPr="0087394C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_Toc130862592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5D34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D801FF0" w14:textId="7FE044C0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93" w:history="1">
        <w:r w:rsidRPr="0087394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560D36" w14:textId="610AE137" w:rsidR="00945C22" w:rsidRDefault="00945C22">
      <w:pPr>
        <w:pStyle w:val="TOC2"/>
        <w:tabs>
          <w:tab w:val="right" w:leader="dot" w:pos="9016"/>
        </w:tabs>
        <w:rPr>
          <w:rFonts w:eastAsiaTheme="minorEastAsia" w:cstheme="minorBidi"/>
          <w:noProof/>
          <w:color w:val="auto"/>
          <w:lang w:eastAsia="en-NZ"/>
        </w:rPr>
      </w:pPr>
      <w:hyperlink w:anchor="_Toc130862594" w:history="1">
        <w:r w:rsidRPr="0087394C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_Toc130862594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AEB1E7" w14:textId="2B458DFC" w:rsidR="00071EE4" w:rsidRDefault="00071EE4" w:rsidP="00DD10A8">
      <w:r>
        <w:fldChar w:fldCharType="end"/>
      </w:r>
      <w:r>
        <w:br w:type="page"/>
      </w:r>
    </w:p>
    <w:p w14:paraId="64678752" w14:textId="157AED26" w:rsidR="00D0164F" w:rsidRPr="00D0164F" w:rsidRDefault="00987E07" w:rsidP="00CF5961">
      <w:pPr>
        <w:pStyle w:val="Heading1"/>
      </w:pPr>
      <w:bookmarkStart w:id="1" w:name="_Toc130862577"/>
      <w:r w:rsidRPr="00CF5961">
        <w:lastRenderedPageBreak/>
        <w:t>Introduction</w:t>
      </w:r>
      <w:r w:rsidR="007A20B4">
        <w:br/>
      </w:r>
      <w:r w:rsidR="008C5D34">
        <w:rPr>
          <w:noProof/>
          <w:sz w:val="12"/>
          <w:szCs w:val="12"/>
        </w:rPr>
        <w:pict w14:anchorId="013626CB">
          <v:rect id="_x0000_i1027" style="width:451.3pt;height:1.5pt" o:hrstd="t" o:hr="t" fillcolor="#a0a0a0" stroked="f"/>
        </w:pict>
      </w:r>
      <w:bookmarkEnd w:id="1"/>
    </w:p>
    <w:p w14:paraId="37B43688" w14:textId="14294803" w:rsidR="00C710A1" w:rsidRDefault="00C710A1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</w:t>
      </w:r>
      <w:r w:rsidR="00831093">
        <w:rPr>
          <w:rFonts w:cstheme="minorHAnsi"/>
          <w:color w:val="auto"/>
        </w:rPr>
        <w:t>‘</w:t>
      </w:r>
      <w:r>
        <w:rPr>
          <w:rFonts w:cstheme="minorHAnsi"/>
          <w:color w:val="auto"/>
        </w:rPr>
        <w:t>single-sex advantage</w:t>
      </w:r>
      <w:r w:rsidR="00831093">
        <w:rPr>
          <w:rFonts w:cstheme="minorHAnsi"/>
          <w:color w:val="auto"/>
        </w:rPr>
        <w:t>’ refers to the historically</w:t>
      </w:r>
      <w:r w:rsidR="000F7F6B">
        <w:rPr>
          <w:rFonts w:cstheme="minorHAnsi"/>
          <w:color w:val="auto"/>
        </w:rPr>
        <w:t xml:space="preserve"> </w:t>
      </w:r>
      <w:r w:rsidR="00831093">
        <w:rPr>
          <w:rFonts w:cstheme="minorHAnsi"/>
          <w:color w:val="auto"/>
        </w:rPr>
        <w:t xml:space="preserve">observed </w:t>
      </w:r>
      <w:r w:rsidR="000F7F6B">
        <w:rPr>
          <w:rFonts w:cstheme="minorHAnsi"/>
          <w:color w:val="auto"/>
        </w:rPr>
        <w:t xml:space="preserve">phenomenon that </w:t>
      </w:r>
      <w:r w:rsidR="00FD056E">
        <w:rPr>
          <w:rFonts w:cstheme="minorHAnsi"/>
          <w:color w:val="auto"/>
        </w:rPr>
        <w:t xml:space="preserve">students at single-sex institutions tend to perform better than </w:t>
      </w:r>
      <w:r w:rsidR="00363C2F">
        <w:rPr>
          <w:rFonts w:cstheme="minorHAnsi"/>
          <w:color w:val="auto"/>
        </w:rPr>
        <w:t xml:space="preserve">students at coeducational institutions. </w:t>
      </w:r>
      <w:r w:rsidR="00AD5113">
        <w:rPr>
          <w:rFonts w:cstheme="minorHAnsi"/>
          <w:color w:val="auto"/>
        </w:rPr>
        <w:t xml:space="preserve">It is important to </w:t>
      </w:r>
      <w:r w:rsidR="00E02D35">
        <w:rPr>
          <w:rFonts w:cstheme="minorHAnsi"/>
          <w:color w:val="auto"/>
        </w:rPr>
        <w:t>validate</w:t>
      </w:r>
      <w:r w:rsidR="00AD5113">
        <w:rPr>
          <w:rFonts w:cstheme="minorHAnsi"/>
          <w:color w:val="auto"/>
        </w:rPr>
        <w:t xml:space="preserve"> the existence of this </w:t>
      </w:r>
      <w:r w:rsidR="0083166B">
        <w:rPr>
          <w:rFonts w:cstheme="minorHAnsi"/>
          <w:color w:val="auto"/>
        </w:rPr>
        <w:t>pattern</w:t>
      </w:r>
      <w:r w:rsidR="005C3031">
        <w:rPr>
          <w:rFonts w:cstheme="minorHAnsi"/>
          <w:color w:val="auto"/>
        </w:rPr>
        <w:t xml:space="preserve"> to aid in </w:t>
      </w:r>
      <w:r w:rsidR="0053126E">
        <w:rPr>
          <w:rFonts w:cstheme="minorHAnsi"/>
          <w:color w:val="auto"/>
        </w:rPr>
        <w:t>decision-making</w:t>
      </w:r>
      <w:r w:rsidR="005C3031">
        <w:rPr>
          <w:rFonts w:cstheme="minorHAnsi"/>
          <w:color w:val="auto"/>
        </w:rPr>
        <w:t xml:space="preserve"> </w:t>
      </w:r>
      <w:r w:rsidR="00857D8A">
        <w:rPr>
          <w:rFonts w:cstheme="minorHAnsi"/>
          <w:color w:val="auto"/>
        </w:rPr>
        <w:t>regarding</w:t>
      </w:r>
      <w:r w:rsidR="005C3031">
        <w:rPr>
          <w:rFonts w:cstheme="minorHAnsi"/>
          <w:color w:val="auto"/>
        </w:rPr>
        <w:t xml:space="preserve"> the </w:t>
      </w:r>
      <w:r w:rsidR="00FE13FD">
        <w:rPr>
          <w:rFonts w:cstheme="minorHAnsi"/>
          <w:color w:val="auto"/>
        </w:rPr>
        <w:t>justification</w:t>
      </w:r>
      <w:r w:rsidR="00373A10">
        <w:rPr>
          <w:rFonts w:cstheme="minorHAnsi"/>
          <w:color w:val="auto"/>
        </w:rPr>
        <w:t xml:space="preserve"> </w:t>
      </w:r>
      <w:r w:rsidR="00DE0E09">
        <w:rPr>
          <w:rFonts w:cstheme="minorHAnsi"/>
          <w:color w:val="auto"/>
        </w:rPr>
        <w:t>of single</w:t>
      </w:r>
      <w:r w:rsidR="001050F3">
        <w:rPr>
          <w:rFonts w:cstheme="minorHAnsi"/>
          <w:color w:val="auto"/>
        </w:rPr>
        <w:t>-sex schools in New Zealand.</w:t>
      </w:r>
      <w:r w:rsidR="00857D8A">
        <w:rPr>
          <w:rFonts w:cstheme="minorHAnsi"/>
          <w:color w:val="auto"/>
        </w:rPr>
        <w:t xml:space="preserve"> </w:t>
      </w:r>
      <w:r w:rsidR="00C4163B">
        <w:rPr>
          <w:rFonts w:cstheme="minorHAnsi"/>
          <w:color w:val="auto"/>
        </w:rPr>
        <w:t>Also</w:t>
      </w:r>
      <w:r w:rsidR="001739A6">
        <w:rPr>
          <w:rFonts w:cstheme="minorHAnsi"/>
          <w:color w:val="auto"/>
        </w:rPr>
        <w:t xml:space="preserve"> </w:t>
      </w:r>
      <w:r w:rsidR="00FB1B79">
        <w:rPr>
          <w:rFonts w:cstheme="minorHAnsi"/>
          <w:color w:val="auto"/>
        </w:rPr>
        <w:t>essential</w:t>
      </w:r>
      <w:r w:rsidR="00206880">
        <w:rPr>
          <w:rFonts w:cstheme="minorHAnsi"/>
          <w:color w:val="auto"/>
        </w:rPr>
        <w:t xml:space="preserve"> to this aim is</w:t>
      </w:r>
      <w:r w:rsidR="00C4163B">
        <w:rPr>
          <w:rFonts w:cstheme="minorHAnsi"/>
          <w:color w:val="auto"/>
        </w:rPr>
        <w:t xml:space="preserve"> determin</w:t>
      </w:r>
      <w:r w:rsidR="00206880">
        <w:rPr>
          <w:rFonts w:cstheme="minorHAnsi"/>
          <w:color w:val="auto"/>
        </w:rPr>
        <w:t>ing</w:t>
      </w:r>
      <w:r w:rsidR="00C4163B">
        <w:rPr>
          <w:rFonts w:cstheme="minorHAnsi"/>
          <w:color w:val="auto"/>
        </w:rPr>
        <w:t xml:space="preserve"> whether this relationship is causal</w:t>
      </w:r>
      <w:r w:rsidR="00206880">
        <w:rPr>
          <w:rFonts w:cstheme="minorHAnsi"/>
          <w:color w:val="auto"/>
        </w:rPr>
        <w:t xml:space="preserve"> </w:t>
      </w:r>
      <w:r w:rsidR="003C3782">
        <w:rPr>
          <w:rFonts w:cstheme="minorHAnsi"/>
          <w:color w:val="auto"/>
        </w:rPr>
        <w:t xml:space="preserve">or </w:t>
      </w:r>
      <w:r w:rsidR="00694F4E">
        <w:rPr>
          <w:rFonts w:cstheme="minorHAnsi"/>
          <w:color w:val="auto"/>
        </w:rPr>
        <w:t>merely</w:t>
      </w:r>
      <w:r w:rsidR="003C3782">
        <w:rPr>
          <w:rFonts w:cstheme="minorHAnsi"/>
          <w:color w:val="auto"/>
        </w:rPr>
        <w:t xml:space="preserve"> co</w:t>
      </w:r>
      <w:r w:rsidR="002508BB">
        <w:rPr>
          <w:rFonts w:cstheme="minorHAnsi"/>
          <w:color w:val="auto"/>
        </w:rPr>
        <w:t>rrelated</w:t>
      </w:r>
      <w:r w:rsidR="004B134C">
        <w:rPr>
          <w:rFonts w:cstheme="minorHAnsi"/>
          <w:color w:val="auto"/>
        </w:rPr>
        <w:t xml:space="preserve"> due to confounding factors</w:t>
      </w:r>
      <w:r w:rsidR="00C4163B">
        <w:rPr>
          <w:rFonts w:cstheme="minorHAnsi"/>
          <w:color w:val="auto"/>
        </w:rPr>
        <w:t xml:space="preserve">. </w:t>
      </w:r>
      <w:r w:rsidR="00857D8A">
        <w:rPr>
          <w:rFonts w:cstheme="minorHAnsi"/>
          <w:color w:val="auto"/>
        </w:rPr>
        <w:t xml:space="preserve">We will </w:t>
      </w:r>
      <w:r w:rsidR="001739A6">
        <w:rPr>
          <w:rFonts w:cstheme="minorHAnsi"/>
          <w:color w:val="auto"/>
        </w:rPr>
        <w:t>hone in on male students for this analysis.</w:t>
      </w:r>
    </w:p>
    <w:p w14:paraId="403762ED" w14:textId="103A1340" w:rsidR="000D32E9" w:rsidRDefault="00A42409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report </w:t>
      </w:r>
      <w:r w:rsidR="00A075B5">
        <w:rPr>
          <w:rFonts w:cstheme="minorHAnsi"/>
          <w:color w:val="auto"/>
        </w:rPr>
        <w:t>c</w:t>
      </w:r>
      <w:r w:rsidR="005478AD">
        <w:rPr>
          <w:rFonts w:cstheme="minorHAnsi"/>
          <w:color w:val="auto"/>
        </w:rPr>
        <w:t>ompare</w:t>
      </w:r>
      <w:r w:rsidR="00A075B5">
        <w:rPr>
          <w:rFonts w:cstheme="minorHAnsi"/>
          <w:color w:val="auto"/>
        </w:rPr>
        <w:t>s</w:t>
      </w:r>
      <w:r w:rsidR="005478AD">
        <w:rPr>
          <w:rFonts w:cstheme="minorHAnsi"/>
          <w:color w:val="auto"/>
        </w:rPr>
        <w:t xml:space="preserve"> </w:t>
      </w:r>
      <w:r w:rsidR="00A85DE9">
        <w:rPr>
          <w:rFonts w:cstheme="minorHAnsi"/>
          <w:color w:val="auto"/>
        </w:rPr>
        <w:t xml:space="preserve">the </w:t>
      </w:r>
      <w:r w:rsidR="00CC7BA0">
        <w:rPr>
          <w:rFonts w:cstheme="minorHAnsi"/>
          <w:color w:val="auto"/>
        </w:rPr>
        <w:t xml:space="preserve">attainment of NCEA and University Entrance </w:t>
      </w:r>
      <w:r w:rsidR="00DA3048">
        <w:rPr>
          <w:rFonts w:cstheme="minorHAnsi"/>
          <w:color w:val="auto"/>
        </w:rPr>
        <w:t xml:space="preserve">between </w:t>
      </w:r>
      <w:r w:rsidR="00A85DE9">
        <w:rPr>
          <w:rFonts w:cstheme="minorHAnsi"/>
          <w:color w:val="auto"/>
        </w:rPr>
        <w:t>single-sex</w:t>
      </w:r>
      <w:r w:rsidR="00DA3048">
        <w:rPr>
          <w:rFonts w:cstheme="minorHAnsi"/>
          <w:color w:val="auto"/>
        </w:rPr>
        <w:t xml:space="preserve"> and coeducational schools in New Zealand</w:t>
      </w:r>
      <w:r w:rsidR="00A075B5">
        <w:rPr>
          <w:rFonts w:cstheme="minorHAnsi"/>
          <w:color w:val="auto"/>
        </w:rPr>
        <w:t xml:space="preserve"> for male school leavers</w:t>
      </w:r>
      <w:r w:rsidR="0075400E">
        <w:rPr>
          <w:rFonts w:cstheme="minorHAnsi"/>
          <w:color w:val="auto"/>
        </w:rPr>
        <w:t xml:space="preserve"> </w:t>
      </w:r>
      <w:r w:rsidR="00541559">
        <w:rPr>
          <w:rFonts w:cstheme="minorHAnsi"/>
          <w:color w:val="auto"/>
        </w:rPr>
        <w:t>to</w:t>
      </w:r>
      <w:r w:rsidR="00E9776B">
        <w:rPr>
          <w:rFonts w:cstheme="minorHAnsi"/>
          <w:color w:val="auto"/>
        </w:rPr>
        <w:t xml:space="preserve"> determine whether there is evidence </w:t>
      </w:r>
      <w:r w:rsidR="00E705AD">
        <w:rPr>
          <w:rFonts w:cstheme="minorHAnsi"/>
          <w:color w:val="auto"/>
        </w:rPr>
        <w:t xml:space="preserve">that boys perform better in </w:t>
      </w:r>
      <w:r w:rsidR="00A85DE9">
        <w:rPr>
          <w:rFonts w:cstheme="minorHAnsi"/>
          <w:color w:val="auto"/>
        </w:rPr>
        <w:t>single-sex</w:t>
      </w:r>
      <w:r w:rsidR="00E705AD">
        <w:rPr>
          <w:rFonts w:cstheme="minorHAnsi"/>
          <w:color w:val="auto"/>
        </w:rPr>
        <w:t xml:space="preserve"> schools </w:t>
      </w:r>
      <w:r w:rsidR="008C2D2C">
        <w:rPr>
          <w:rFonts w:cstheme="minorHAnsi"/>
          <w:color w:val="auto"/>
        </w:rPr>
        <w:t>than in coeducational schools</w:t>
      </w:r>
      <w:r w:rsidR="00541559">
        <w:rPr>
          <w:rFonts w:cstheme="minorHAnsi"/>
          <w:color w:val="auto"/>
        </w:rPr>
        <w:t>.</w:t>
      </w:r>
      <w:r w:rsidR="005F5959">
        <w:rPr>
          <w:rFonts w:cstheme="minorHAnsi"/>
          <w:color w:val="auto"/>
        </w:rPr>
        <w:t xml:space="preserve"> </w:t>
      </w:r>
      <w:r w:rsidR="005F6AB1">
        <w:rPr>
          <w:rFonts w:cstheme="minorHAnsi"/>
          <w:color w:val="auto"/>
        </w:rPr>
        <w:t xml:space="preserve">Boys’ attainment will be disaggregated </w:t>
      </w:r>
      <w:r w:rsidR="001D79BF">
        <w:rPr>
          <w:rFonts w:cstheme="minorHAnsi"/>
          <w:color w:val="auto"/>
        </w:rPr>
        <w:t>across various indicators</w:t>
      </w:r>
      <w:r w:rsidR="00454CF0">
        <w:rPr>
          <w:rFonts w:cstheme="minorHAnsi"/>
          <w:color w:val="auto"/>
        </w:rPr>
        <w:t>,</w:t>
      </w:r>
      <w:r w:rsidR="00EC5BE5">
        <w:rPr>
          <w:rFonts w:cstheme="minorHAnsi"/>
          <w:color w:val="auto"/>
        </w:rPr>
        <w:t xml:space="preserve"> </w:t>
      </w:r>
      <w:r w:rsidR="00176141">
        <w:rPr>
          <w:rFonts w:cstheme="minorHAnsi"/>
          <w:color w:val="auto"/>
        </w:rPr>
        <w:t xml:space="preserve">including year, </w:t>
      </w:r>
      <w:r w:rsidR="00C343D6">
        <w:rPr>
          <w:rFonts w:cstheme="minorHAnsi"/>
          <w:color w:val="auto"/>
        </w:rPr>
        <w:t>decile</w:t>
      </w:r>
      <w:r w:rsidR="00176141">
        <w:rPr>
          <w:rFonts w:cstheme="minorHAnsi"/>
          <w:color w:val="auto"/>
        </w:rPr>
        <w:t xml:space="preserve">, and </w:t>
      </w:r>
      <w:r w:rsidR="00D03031">
        <w:rPr>
          <w:rFonts w:cstheme="minorHAnsi"/>
          <w:color w:val="auto"/>
        </w:rPr>
        <w:t>ethnicity</w:t>
      </w:r>
      <w:r w:rsidR="00454CF0">
        <w:rPr>
          <w:rFonts w:cstheme="minorHAnsi"/>
          <w:color w:val="auto"/>
        </w:rPr>
        <w:t>,</w:t>
      </w:r>
      <w:r w:rsidR="008C2D2C">
        <w:rPr>
          <w:rFonts w:cstheme="minorHAnsi"/>
          <w:color w:val="auto"/>
        </w:rPr>
        <w:t xml:space="preserve"> to determine whether the general </w:t>
      </w:r>
      <w:r w:rsidR="00753AC0">
        <w:rPr>
          <w:rFonts w:cstheme="minorHAnsi"/>
          <w:color w:val="auto"/>
        </w:rPr>
        <w:t>pattern observed holds across different time periods and demographic groups</w:t>
      </w:r>
      <w:r w:rsidR="008C2D2C">
        <w:rPr>
          <w:rFonts w:cstheme="minorHAnsi"/>
          <w:color w:val="auto"/>
        </w:rPr>
        <w:t>.</w:t>
      </w:r>
      <w:r w:rsidR="00A77215">
        <w:rPr>
          <w:rFonts w:cstheme="minorHAnsi"/>
          <w:color w:val="auto"/>
        </w:rPr>
        <w:t xml:space="preserve"> </w:t>
      </w:r>
      <w:r w:rsidR="008B289F">
        <w:rPr>
          <w:rFonts w:cstheme="minorHAnsi"/>
          <w:color w:val="auto"/>
        </w:rPr>
        <w:t xml:space="preserve">Each </w:t>
      </w:r>
      <w:r w:rsidR="003E57FB">
        <w:rPr>
          <w:rFonts w:cstheme="minorHAnsi"/>
          <w:color w:val="auto"/>
        </w:rPr>
        <w:t xml:space="preserve">disaggregation will be assigned one section </w:t>
      </w:r>
      <w:r w:rsidR="007C7546">
        <w:rPr>
          <w:rFonts w:cstheme="minorHAnsi"/>
          <w:color w:val="auto"/>
        </w:rPr>
        <w:t>contain</w:t>
      </w:r>
      <w:r w:rsidR="003E57FB">
        <w:rPr>
          <w:rFonts w:cstheme="minorHAnsi"/>
          <w:color w:val="auto"/>
        </w:rPr>
        <w:t>ing</w:t>
      </w:r>
      <w:r w:rsidR="007C7546">
        <w:rPr>
          <w:rFonts w:cstheme="minorHAnsi"/>
          <w:color w:val="auto"/>
        </w:rPr>
        <w:t xml:space="preserve"> a </w:t>
      </w:r>
      <w:r w:rsidR="008B289F">
        <w:rPr>
          <w:rFonts w:cstheme="minorHAnsi"/>
          <w:color w:val="auto"/>
        </w:rPr>
        <w:t xml:space="preserve">table of data, </w:t>
      </w:r>
      <w:r w:rsidR="00000E64">
        <w:rPr>
          <w:rFonts w:cstheme="minorHAnsi"/>
          <w:color w:val="auto"/>
        </w:rPr>
        <w:t>graph</w:t>
      </w:r>
      <w:r w:rsidR="003E57FB">
        <w:rPr>
          <w:rFonts w:cstheme="minorHAnsi"/>
          <w:color w:val="auto"/>
        </w:rPr>
        <w:t>, and discussion.</w:t>
      </w:r>
    </w:p>
    <w:p w14:paraId="73E2ACB7" w14:textId="57A8D334" w:rsidR="00644793" w:rsidRDefault="00644793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</w:t>
      </w:r>
      <w:r w:rsidR="00577BD9">
        <w:rPr>
          <w:rFonts w:cstheme="minorHAnsi"/>
          <w:color w:val="auto"/>
        </w:rPr>
        <w:t>data for this report was collected from Education Counts</w:t>
      </w:r>
      <w:r w:rsidR="009608E3">
        <w:rPr>
          <w:rStyle w:val="FootnoteReference"/>
          <w:rFonts w:cstheme="minorHAnsi"/>
          <w:color w:val="auto"/>
        </w:rPr>
        <w:footnoteReference w:id="1"/>
      </w:r>
      <w:r w:rsidR="00577BD9">
        <w:rPr>
          <w:rFonts w:cstheme="minorHAnsi"/>
          <w:color w:val="auto"/>
        </w:rPr>
        <w:t xml:space="preserve"> on </w:t>
      </w:r>
      <w:r w:rsidR="008136D8">
        <w:rPr>
          <w:rFonts w:cstheme="minorHAnsi"/>
          <w:color w:val="auto"/>
        </w:rPr>
        <w:t>January</w:t>
      </w:r>
      <w:r w:rsidR="00577BD9">
        <w:rPr>
          <w:rFonts w:cstheme="minorHAnsi"/>
          <w:color w:val="auto"/>
        </w:rPr>
        <w:t xml:space="preserve"> </w:t>
      </w:r>
      <w:r w:rsidR="009608E3">
        <w:rPr>
          <w:rFonts w:cstheme="minorHAnsi"/>
          <w:color w:val="auto"/>
        </w:rPr>
        <w:t>27</w:t>
      </w:r>
      <w:r w:rsidR="009608E3" w:rsidRPr="009608E3">
        <w:rPr>
          <w:rFonts w:cstheme="minorHAnsi"/>
          <w:color w:val="auto"/>
          <w:vertAlign w:val="superscript"/>
        </w:rPr>
        <w:t>th</w:t>
      </w:r>
      <w:r w:rsidR="008136D8">
        <w:rPr>
          <w:rFonts w:cstheme="minorHAnsi"/>
          <w:color w:val="auto"/>
        </w:rPr>
        <w:t xml:space="preserve">, </w:t>
      </w:r>
      <w:r w:rsidR="009608E3">
        <w:rPr>
          <w:rFonts w:cstheme="minorHAnsi"/>
          <w:color w:val="auto"/>
        </w:rPr>
        <w:t>2023</w:t>
      </w:r>
      <w:r w:rsidR="00A124C0">
        <w:rPr>
          <w:rFonts w:cstheme="minorHAnsi"/>
          <w:color w:val="auto"/>
        </w:rPr>
        <w:t xml:space="preserve">. The cleaned dataset </w:t>
      </w:r>
      <w:r w:rsidR="00D44246">
        <w:rPr>
          <w:rFonts w:cstheme="minorHAnsi"/>
          <w:color w:val="auto"/>
        </w:rPr>
        <w:t xml:space="preserve">contains </w:t>
      </w:r>
      <w:r w:rsidR="007B50EB">
        <w:rPr>
          <w:rFonts w:cstheme="minorHAnsi"/>
          <w:color w:val="auto"/>
        </w:rPr>
        <w:t xml:space="preserve">all </w:t>
      </w:r>
      <w:r w:rsidR="00C5366D" w:rsidRPr="00C5366D">
        <w:rPr>
          <w:rFonts w:cstheme="minorHAnsi"/>
          <w:color w:val="auto"/>
        </w:rPr>
        <w:t>41</w:t>
      </w:r>
      <w:r w:rsidR="00C5366D">
        <w:rPr>
          <w:rFonts w:cstheme="minorHAnsi"/>
          <w:color w:val="auto"/>
        </w:rPr>
        <w:t xml:space="preserve"> </w:t>
      </w:r>
      <w:r w:rsidR="00C5366D" w:rsidRPr="00C5366D">
        <w:rPr>
          <w:rFonts w:cstheme="minorHAnsi"/>
          <w:color w:val="auto"/>
        </w:rPr>
        <w:t xml:space="preserve">091 </w:t>
      </w:r>
      <w:r w:rsidR="00865A7B">
        <w:rPr>
          <w:rFonts w:cstheme="minorHAnsi"/>
          <w:color w:val="auto"/>
        </w:rPr>
        <w:t xml:space="preserve">male </w:t>
      </w:r>
      <w:r w:rsidR="00EC1156">
        <w:rPr>
          <w:rFonts w:cstheme="minorHAnsi"/>
          <w:color w:val="auto"/>
        </w:rPr>
        <w:t>s</w:t>
      </w:r>
      <w:r w:rsidR="00865A7B">
        <w:rPr>
          <w:rFonts w:cstheme="minorHAnsi"/>
          <w:color w:val="auto"/>
        </w:rPr>
        <w:t xml:space="preserve">tudents from </w:t>
      </w:r>
      <w:r w:rsidR="007F504B">
        <w:rPr>
          <w:rFonts w:cstheme="minorHAnsi"/>
          <w:color w:val="auto"/>
        </w:rPr>
        <w:t>single-sex</w:t>
      </w:r>
      <w:r w:rsidR="00865A7B">
        <w:rPr>
          <w:rFonts w:cstheme="minorHAnsi"/>
          <w:color w:val="auto"/>
        </w:rPr>
        <w:t xml:space="preserve"> schools and </w:t>
      </w:r>
      <w:r w:rsidR="00C5366D" w:rsidRPr="00C5366D">
        <w:rPr>
          <w:rFonts w:cstheme="minorHAnsi"/>
          <w:color w:val="auto"/>
        </w:rPr>
        <w:t>114</w:t>
      </w:r>
      <w:r w:rsidR="00C5366D">
        <w:rPr>
          <w:rFonts w:cstheme="minorHAnsi"/>
          <w:color w:val="auto"/>
        </w:rPr>
        <w:t xml:space="preserve"> </w:t>
      </w:r>
      <w:r w:rsidR="00C5366D" w:rsidRPr="00C5366D">
        <w:rPr>
          <w:rFonts w:cstheme="minorHAnsi"/>
          <w:color w:val="auto"/>
        </w:rPr>
        <w:t xml:space="preserve">539 </w:t>
      </w:r>
      <w:r w:rsidR="00EB57A0">
        <w:rPr>
          <w:rFonts w:cstheme="minorHAnsi"/>
          <w:color w:val="auto"/>
        </w:rPr>
        <w:t>male students from coeducational schools in New Zealand that left secondary education between 2017 - 2021</w:t>
      </w:r>
      <w:r w:rsidR="009608E3">
        <w:rPr>
          <w:rFonts w:cstheme="minorHAnsi"/>
          <w:color w:val="auto"/>
        </w:rPr>
        <w:t>.</w:t>
      </w:r>
    </w:p>
    <w:p w14:paraId="3EC3BE1D" w14:textId="6DCC8F64" w:rsidR="00781EB2" w:rsidRDefault="000C5B52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report is the third in a </w:t>
      </w:r>
      <w:r w:rsidR="0058645D">
        <w:rPr>
          <w:rFonts w:cstheme="minorHAnsi"/>
          <w:color w:val="auto"/>
        </w:rPr>
        <w:t xml:space="preserve">set of reports comparing boys’ attainment </w:t>
      </w:r>
      <w:r w:rsidR="006004F0">
        <w:rPr>
          <w:rFonts w:cstheme="minorHAnsi"/>
          <w:color w:val="auto"/>
        </w:rPr>
        <w:t xml:space="preserve">between </w:t>
      </w:r>
      <w:r w:rsidR="007F504B">
        <w:rPr>
          <w:rFonts w:cstheme="minorHAnsi"/>
          <w:color w:val="auto"/>
        </w:rPr>
        <w:t>single-sex</w:t>
      </w:r>
      <w:r w:rsidR="006004F0">
        <w:rPr>
          <w:rFonts w:cstheme="minorHAnsi"/>
          <w:color w:val="auto"/>
        </w:rPr>
        <w:t xml:space="preserve"> and coeducational schools</w:t>
      </w:r>
      <w:r w:rsidR="007829D7">
        <w:rPr>
          <w:rFonts w:cstheme="minorHAnsi"/>
          <w:color w:val="auto"/>
        </w:rPr>
        <w:t xml:space="preserve">, spanning from 2010 to 2021. </w:t>
      </w:r>
      <w:r w:rsidR="00377E37">
        <w:rPr>
          <w:rFonts w:cstheme="minorHAnsi"/>
          <w:color w:val="auto"/>
        </w:rPr>
        <w:t xml:space="preserve">Note that </w:t>
      </w:r>
      <w:r w:rsidR="00C43FD8">
        <w:rPr>
          <w:rFonts w:cstheme="minorHAnsi"/>
          <w:color w:val="auto"/>
        </w:rPr>
        <w:t xml:space="preserve">each data point is an </w:t>
      </w:r>
      <w:r w:rsidR="009A42F2">
        <w:rPr>
          <w:rFonts w:cstheme="minorHAnsi"/>
          <w:color w:val="auto"/>
        </w:rPr>
        <w:t xml:space="preserve">individual </w:t>
      </w:r>
      <w:r w:rsidR="00C43FD8">
        <w:rPr>
          <w:rFonts w:cstheme="minorHAnsi"/>
          <w:color w:val="auto"/>
        </w:rPr>
        <w:t>student</w:t>
      </w:r>
      <w:r w:rsidR="009A42F2">
        <w:rPr>
          <w:rFonts w:cstheme="minorHAnsi"/>
          <w:color w:val="auto"/>
        </w:rPr>
        <w:t xml:space="preserve"> </w:t>
      </w:r>
      <w:r w:rsidR="00E65543">
        <w:rPr>
          <w:rFonts w:cstheme="minorHAnsi"/>
          <w:color w:val="auto"/>
        </w:rPr>
        <w:t>in this report</w:t>
      </w:r>
      <w:r w:rsidR="00F40DED">
        <w:rPr>
          <w:rFonts w:cstheme="minorHAnsi"/>
          <w:color w:val="auto"/>
        </w:rPr>
        <w:t xml:space="preserve">. In contrast, </w:t>
      </w:r>
      <w:r w:rsidR="0040589F">
        <w:rPr>
          <w:rFonts w:cstheme="minorHAnsi"/>
          <w:color w:val="auto"/>
        </w:rPr>
        <w:t>earlier</w:t>
      </w:r>
      <w:r w:rsidR="00C43FD8">
        <w:rPr>
          <w:rFonts w:cstheme="minorHAnsi"/>
          <w:color w:val="auto"/>
        </w:rPr>
        <w:t xml:space="preserve"> reports aggregated student</w:t>
      </w:r>
      <w:r w:rsidR="00415D57">
        <w:rPr>
          <w:rFonts w:cstheme="minorHAnsi"/>
          <w:color w:val="auto"/>
        </w:rPr>
        <w:t xml:space="preserve"> data</w:t>
      </w:r>
      <w:r w:rsidR="00C43FD8">
        <w:rPr>
          <w:rFonts w:cstheme="minorHAnsi"/>
          <w:color w:val="auto"/>
        </w:rPr>
        <w:t xml:space="preserve"> into </w:t>
      </w:r>
      <w:r w:rsidR="00415D57">
        <w:rPr>
          <w:rFonts w:cstheme="minorHAnsi"/>
          <w:color w:val="auto"/>
        </w:rPr>
        <w:t>schools before performing analysis</w:t>
      </w:r>
      <w:r w:rsidR="007E4694">
        <w:rPr>
          <w:rFonts w:cstheme="minorHAnsi"/>
          <w:color w:val="auto"/>
        </w:rPr>
        <w:t xml:space="preserve"> (</w:t>
      </w:r>
      <w:r w:rsidR="0033490A">
        <w:rPr>
          <w:rFonts w:cstheme="minorHAnsi"/>
          <w:color w:val="auto"/>
        </w:rPr>
        <w:t>i.e.,</w:t>
      </w:r>
      <w:r w:rsidR="007E4694">
        <w:rPr>
          <w:rFonts w:cstheme="minorHAnsi"/>
          <w:color w:val="auto"/>
        </w:rPr>
        <w:t xml:space="preserve"> </w:t>
      </w:r>
      <w:r w:rsidR="006D6A57">
        <w:rPr>
          <w:rFonts w:cstheme="minorHAnsi"/>
          <w:color w:val="auto"/>
        </w:rPr>
        <w:t xml:space="preserve">raw </w:t>
      </w:r>
      <w:r w:rsidR="007E4694">
        <w:rPr>
          <w:rFonts w:cstheme="minorHAnsi"/>
          <w:color w:val="auto"/>
        </w:rPr>
        <w:t>student</w:t>
      </w:r>
      <w:r w:rsidR="006D6A57">
        <w:rPr>
          <w:rFonts w:cstheme="minorHAnsi"/>
          <w:color w:val="auto"/>
        </w:rPr>
        <w:t xml:space="preserve"> data</w:t>
      </w:r>
      <w:r w:rsidR="007E4694">
        <w:rPr>
          <w:rFonts w:cstheme="minorHAnsi"/>
          <w:color w:val="auto"/>
        </w:rPr>
        <w:t xml:space="preserve"> </w:t>
      </w:r>
      <w:r w:rsidR="006D6A57">
        <w:rPr>
          <w:rFonts w:cstheme="minorHAnsi"/>
          <w:color w:val="auto"/>
        </w:rPr>
        <w:t>was</w:t>
      </w:r>
      <w:r w:rsidR="007E4694">
        <w:rPr>
          <w:rFonts w:cstheme="minorHAnsi"/>
          <w:color w:val="auto"/>
        </w:rPr>
        <w:t xml:space="preserve"> inversely weighted by </w:t>
      </w:r>
      <w:r w:rsidR="007B7F81">
        <w:rPr>
          <w:rFonts w:cstheme="minorHAnsi"/>
          <w:color w:val="auto"/>
        </w:rPr>
        <w:t>the number of male school leavers from their school)</w:t>
      </w:r>
      <w:r w:rsidR="001C18F8">
        <w:rPr>
          <w:rFonts w:cstheme="minorHAnsi"/>
          <w:color w:val="auto"/>
        </w:rPr>
        <w:t xml:space="preserve">. This </w:t>
      </w:r>
      <w:r w:rsidR="0040589F">
        <w:rPr>
          <w:rFonts w:cstheme="minorHAnsi"/>
          <w:color w:val="auto"/>
        </w:rPr>
        <w:t>is</w:t>
      </w:r>
      <w:r w:rsidR="001C18F8">
        <w:rPr>
          <w:rFonts w:cstheme="minorHAnsi"/>
          <w:color w:val="auto"/>
        </w:rPr>
        <w:t xml:space="preserve"> necessary as </w:t>
      </w:r>
      <w:r w:rsidR="007E4694">
        <w:rPr>
          <w:rFonts w:cstheme="minorHAnsi"/>
          <w:color w:val="auto"/>
        </w:rPr>
        <w:t>school data is</w:t>
      </w:r>
      <w:r w:rsidR="00141235">
        <w:rPr>
          <w:rFonts w:cstheme="minorHAnsi"/>
          <w:color w:val="auto"/>
        </w:rPr>
        <w:t xml:space="preserve"> no longer available </w:t>
      </w:r>
      <w:r w:rsidR="00377E37">
        <w:rPr>
          <w:rFonts w:cstheme="minorHAnsi"/>
          <w:color w:val="auto"/>
        </w:rPr>
        <w:t>at</w:t>
      </w:r>
      <w:r w:rsidR="00141235">
        <w:rPr>
          <w:rFonts w:cstheme="minorHAnsi"/>
          <w:color w:val="auto"/>
        </w:rPr>
        <w:t xml:space="preserve"> Education Counts</w:t>
      </w:r>
      <w:r w:rsidR="00660065">
        <w:rPr>
          <w:rFonts w:cstheme="minorHAnsi"/>
          <w:color w:val="auto"/>
        </w:rPr>
        <w:t>.</w:t>
      </w:r>
      <w:r w:rsidR="007E4694">
        <w:rPr>
          <w:rFonts w:cstheme="minorHAnsi"/>
          <w:color w:val="auto"/>
        </w:rPr>
        <w:t xml:space="preserve"> </w:t>
      </w:r>
      <w:r w:rsidR="00660065">
        <w:rPr>
          <w:rFonts w:cstheme="minorHAnsi"/>
          <w:color w:val="auto"/>
        </w:rPr>
        <w:t xml:space="preserve">This also means the section ordering and graph format differ from previous reports; </w:t>
      </w:r>
      <w:r w:rsidR="001C36E4">
        <w:rPr>
          <w:rFonts w:cstheme="minorHAnsi"/>
          <w:color w:val="auto"/>
        </w:rPr>
        <w:t>however,</w:t>
      </w:r>
      <w:r w:rsidR="00802C80">
        <w:rPr>
          <w:rFonts w:cstheme="minorHAnsi"/>
          <w:color w:val="auto"/>
        </w:rPr>
        <w:t xml:space="preserve"> </w:t>
      </w:r>
      <w:r w:rsidR="004E5A98">
        <w:rPr>
          <w:rFonts w:cstheme="minorHAnsi"/>
          <w:color w:val="auto"/>
        </w:rPr>
        <w:t xml:space="preserve">all </w:t>
      </w:r>
      <w:r w:rsidR="00783585">
        <w:rPr>
          <w:rFonts w:cstheme="minorHAnsi"/>
          <w:color w:val="auto"/>
        </w:rPr>
        <w:t xml:space="preserve">reasonable steps </w:t>
      </w:r>
      <w:r w:rsidR="00CA6080" w:rsidRPr="00CA6080">
        <w:rPr>
          <w:rFonts w:cstheme="minorHAnsi"/>
          <w:color w:val="auto"/>
        </w:rPr>
        <w:t xml:space="preserve">to </w:t>
      </w:r>
      <w:r w:rsidR="00725BA8">
        <w:rPr>
          <w:rFonts w:cstheme="minorHAnsi"/>
          <w:color w:val="auto"/>
        </w:rPr>
        <w:t>maintain comparability</w:t>
      </w:r>
      <w:r w:rsidR="00DB34CD">
        <w:rPr>
          <w:rFonts w:cstheme="minorHAnsi"/>
          <w:color w:val="auto"/>
        </w:rPr>
        <w:t xml:space="preserve"> </w:t>
      </w:r>
      <w:r w:rsidR="00DB34CD" w:rsidRPr="00CA6080">
        <w:rPr>
          <w:rFonts w:cstheme="minorHAnsi"/>
          <w:color w:val="auto"/>
        </w:rPr>
        <w:t>have been made</w:t>
      </w:r>
      <w:r w:rsidR="00AE08D5">
        <w:rPr>
          <w:rFonts w:cstheme="minorHAnsi"/>
          <w:color w:val="auto"/>
        </w:rPr>
        <w:t>.</w:t>
      </w:r>
    </w:p>
    <w:p w14:paraId="6DE38B0A" w14:textId="77777777" w:rsidR="00291288" w:rsidRDefault="00291288" w:rsidP="0029128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report was commissioned by the </w:t>
      </w:r>
      <w:r w:rsidRPr="00587B4C">
        <w:rPr>
          <w:rFonts w:cstheme="minorHAnsi"/>
          <w:color w:val="auto"/>
        </w:rPr>
        <w:t>Association of Boys' Schools of New Zealand</w:t>
      </w:r>
      <w:r>
        <w:rPr>
          <w:rFonts w:cstheme="minorHAnsi"/>
          <w:color w:val="auto"/>
        </w:rPr>
        <w:t xml:space="preserve"> (ABSNZ). Previous reports can be found at absnz.com</w:t>
      </w:r>
      <w:bookmarkStart w:id="2" w:name="_Ref129519588"/>
      <w:r>
        <w:rPr>
          <w:rStyle w:val="FootnoteReference"/>
          <w:rFonts w:cstheme="minorHAnsi"/>
          <w:color w:val="auto"/>
        </w:rPr>
        <w:footnoteReference w:id="2"/>
      </w:r>
      <w:bookmarkEnd w:id="2"/>
      <w:r>
        <w:rPr>
          <w:rFonts w:cstheme="minorHAnsi"/>
          <w:color w:val="auto"/>
        </w:rPr>
        <w:t>.</w:t>
      </w:r>
    </w:p>
    <w:p w14:paraId="28C18CDF" w14:textId="71F0486F" w:rsidR="00815ACC" w:rsidRPr="00815ACC" w:rsidRDefault="00815ACC" w:rsidP="00CF5961">
      <w:pPr>
        <w:pStyle w:val="Heading2"/>
      </w:pPr>
      <w:bookmarkStart w:id="3" w:name="_Toc130862578"/>
      <w:r>
        <w:t>Definitions</w:t>
      </w:r>
      <w:bookmarkEnd w:id="3"/>
    </w:p>
    <w:p w14:paraId="6C3A0702" w14:textId="3A3C06F0" w:rsidR="0077756E" w:rsidRDefault="00927CBD" w:rsidP="0077756E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Attainment</w:t>
      </w:r>
      <w:r w:rsidR="0077756E">
        <w:rPr>
          <w:rFonts w:cstheme="minorHAnsi"/>
          <w:color w:val="auto"/>
        </w:rPr>
        <w:t xml:space="preserve"> </w:t>
      </w:r>
      <w:proofErr w:type="gramStart"/>
      <w:r w:rsidR="0077756E">
        <w:rPr>
          <w:rFonts w:cstheme="minorHAnsi"/>
          <w:color w:val="auto"/>
        </w:rPr>
        <w:t>rate</w:t>
      </w:r>
      <w:proofErr w:type="gramEnd"/>
      <w:r w:rsidR="0077756E">
        <w:rPr>
          <w:rFonts w:cstheme="minorHAnsi"/>
          <w:color w:val="auto"/>
        </w:rPr>
        <w:tab/>
        <w:t>The percentage of students in a school to attain the referenced qualification. May also be referred to as the ‘pass rate’ or ‘</w:t>
      </w:r>
      <w:r>
        <w:rPr>
          <w:rFonts w:cstheme="minorHAnsi"/>
          <w:color w:val="auto"/>
        </w:rPr>
        <w:t>achievement</w:t>
      </w:r>
      <w:r w:rsidR="0077756E">
        <w:rPr>
          <w:rFonts w:cstheme="minorHAnsi"/>
          <w:color w:val="auto"/>
        </w:rPr>
        <w:t xml:space="preserve"> rate’.</w:t>
      </w:r>
    </w:p>
    <w:p w14:paraId="76B5E28F" w14:textId="0EAEC996" w:rsidR="0077756E" w:rsidRDefault="0077756E" w:rsidP="0077756E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Ethnicity</w:t>
      </w:r>
      <w:r>
        <w:rPr>
          <w:rFonts w:cstheme="minorHAnsi"/>
          <w:color w:val="auto"/>
        </w:rPr>
        <w:tab/>
        <w:t xml:space="preserve">A person’s self-described cultural affiliation. Note that school leavers can select multiple ethnicities, and each ethnicity is recorded as a unique ‘person’ in a separate dataset </w:t>
      </w:r>
      <w:r w:rsidR="00180D1B">
        <w:rPr>
          <w:rFonts w:cstheme="minorHAnsi"/>
          <w:color w:val="auto"/>
        </w:rPr>
        <w:t>(</w:t>
      </w:r>
      <w:r>
        <w:rPr>
          <w:rFonts w:cstheme="minorHAnsi"/>
          <w:color w:val="auto"/>
        </w:rPr>
        <w:t xml:space="preserve">containing </w:t>
      </w:r>
      <w:r w:rsidR="00427990" w:rsidRPr="00427990">
        <w:rPr>
          <w:rFonts w:cstheme="minorHAnsi"/>
          <w:color w:val="auto"/>
        </w:rPr>
        <w:t>47</w:t>
      </w:r>
      <w:r w:rsidR="00427990">
        <w:rPr>
          <w:rFonts w:cstheme="minorHAnsi"/>
          <w:color w:val="auto"/>
        </w:rPr>
        <w:t xml:space="preserve"> </w:t>
      </w:r>
      <w:r w:rsidR="00427990" w:rsidRPr="00427990">
        <w:rPr>
          <w:rFonts w:cstheme="minorHAnsi"/>
          <w:color w:val="auto"/>
        </w:rPr>
        <w:t xml:space="preserve">254 </w:t>
      </w:r>
      <w:r w:rsidR="006F5121">
        <w:rPr>
          <w:rFonts w:cstheme="minorHAnsi"/>
          <w:color w:val="auto"/>
        </w:rPr>
        <w:t>data points</w:t>
      </w:r>
      <w:r w:rsidRPr="0040367B">
        <w:rPr>
          <w:rFonts w:cstheme="minorHAnsi"/>
          <w:color w:val="auto"/>
        </w:rPr>
        <w:t xml:space="preserve"> </w:t>
      </w:r>
      <w:r>
        <w:rPr>
          <w:rFonts w:cstheme="minorHAnsi"/>
          <w:color w:val="auto"/>
        </w:rPr>
        <w:t xml:space="preserve">affiliated with males from </w:t>
      </w:r>
      <w:r w:rsidR="000D59CF">
        <w:rPr>
          <w:rFonts w:cstheme="minorHAnsi"/>
          <w:color w:val="auto"/>
        </w:rPr>
        <w:lastRenderedPageBreak/>
        <w:t>single-sex</w:t>
      </w:r>
      <w:r w:rsidRPr="0040367B">
        <w:rPr>
          <w:rFonts w:cstheme="minorHAnsi"/>
          <w:color w:val="auto"/>
        </w:rPr>
        <w:t xml:space="preserve"> school</w:t>
      </w:r>
      <w:r>
        <w:rPr>
          <w:rFonts w:cstheme="minorHAnsi"/>
          <w:color w:val="auto"/>
        </w:rPr>
        <w:t>s</w:t>
      </w:r>
      <w:r w:rsidRPr="0040367B">
        <w:rPr>
          <w:rFonts w:cstheme="minorHAnsi"/>
          <w:color w:val="auto"/>
        </w:rPr>
        <w:t xml:space="preserve"> and </w:t>
      </w:r>
      <w:r w:rsidR="00427990" w:rsidRPr="00427990">
        <w:rPr>
          <w:rFonts w:cstheme="minorHAnsi"/>
          <w:color w:val="auto"/>
        </w:rPr>
        <w:t>131</w:t>
      </w:r>
      <w:r w:rsidR="00427990">
        <w:rPr>
          <w:rFonts w:cstheme="minorHAnsi"/>
          <w:color w:val="auto"/>
        </w:rPr>
        <w:t xml:space="preserve"> </w:t>
      </w:r>
      <w:r w:rsidR="00427990" w:rsidRPr="00427990">
        <w:rPr>
          <w:rFonts w:cstheme="minorHAnsi"/>
          <w:color w:val="auto"/>
        </w:rPr>
        <w:t xml:space="preserve">146 </w:t>
      </w:r>
      <w:r w:rsidR="00427990">
        <w:rPr>
          <w:rFonts w:cstheme="minorHAnsi"/>
          <w:color w:val="auto"/>
        </w:rPr>
        <w:t>data points</w:t>
      </w:r>
      <w:r w:rsidR="00427990" w:rsidRPr="0040367B">
        <w:rPr>
          <w:rFonts w:cstheme="minorHAnsi"/>
          <w:color w:val="auto"/>
        </w:rPr>
        <w:t xml:space="preserve"> </w:t>
      </w:r>
      <w:r>
        <w:rPr>
          <w:rFonts w:cstheme="minorHAnsi"/>
          <w:color w:val="auto"/>
        </w:rPr>
        <w:t xml:space="preserve">affiliated with males from </w:t>
      </w:r>
      <w:r w:rsidRPr="0040367B">
        <w:rPr>
          <w:rFonts w:cstheme="minorHAnsi"/>
          <w:color w:val="auto"/>
        </w:rPr>
        <w:t>coeducational school</w:t>
      </w:r>
      <w:r>
        <w:rPr>
          <w:rFonts w:cstheme="minorHAnsi"/>
          <w:color w:val="auto"/>
        </w:rPr>
        <w:t>s</w:t>
      </w:r>
      <w:r w:rsidR="00180D1B">
        <w:rPr>
          <w:rFonts w:cstheme="minorHAnsi"/>
          <w:color w:val="auto"/>
        </w:rPr>
        <w:t>)</w:t>
      </w:r>
      <w:r>
        <w:rPr>
          <w:rFonts w:cstheme="minorHAnsi"/>
          <w:color w:val="auto"/>
        </w:rPr>
        <w:t>.</w:t>
      </w:r>
    </w:p>
    <w:p w14:paraId="4BFB99F9" w14:textId="7BDCF213" w:rsidR="00762999" w:rsidRDefault="00841B23" w:rsidP="00762999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Gender</w:t>
      </w:r>
      <w:r w:rsidR="00DF1C99">
        <w:rPr>
          <w:rFonts w:cstheme="minorHAnsi"/>
          <w:color w:val="auto"/>
        </w:rPr>
        <w:tab/>
      </w:r>
      <w:r>
        <w:rPr>
          <w:rFonts w:cstheme="minorHAnsi"/>
          <w:color w:val="auto"/>
        </w:rPr>
        <w:t>A person’s</w:t>
      </w:r>
      <w:r w:rsidR="00D44444">
        <w:rPr>
          <w:rFonts w:cstheme="minorHAnsi"/>
          <w:color w:val="auto"/>
        </w:rPr>
        <w:t xml:space="preserve"> </w:t>
      </w:r>
      <w:r w:rsidR="000C64F4">
        <w:rPr>
          <w:rFonts w:cstheme="minorHAnsi"/>
          <w:color w:val="auto"/>
        </w:rPr>
        <w:t>self-</w:t>
      </w:r>
      <w:r>
        <w:rPr>
          <w:rFonts w:cstheme="minorHAnsi"/>
          <w:color w:val="auto"/>
        </w:rPr>
        <w:t>described identity</w:t>
      </w:r>
      <w:r w:rsidR="003E66D5">
        <w:rPr>
          <w:rFonts w:cstheme="minorHAnsi"/>
          <w:color w:val="auto"/>
        </w:rPr>
        <w:t xml:space="preserve">, </w:t>
      </w:r>
      <w:r w:rsidR="006949F5">
        <w:rPr>
          <w:rFonts w:cstheme="minorHAnsi"/>
          <w:color w:val="auto"/>
        </w:rPr>
        <w:t>traditionally</w:t>
      </w:r>
      <w:r w:rsidR="003E66D5">
        <w:rPr>
          <w:rFonts w:cstheme="minorHAnsi"/>
          <w:color w:val="auto"/>
        </w:rPr>
        <w:t xml:space="preserve"> related to sex</w:t>
      </w:r>
      <w:r w:rsidR="00D44444">
        <w:rPr>
          <w:rFonts w:cstheme="minorHAnsi"/>
          <w:color w:val="auto"/>
        </w:rPr>
        <w:t>.</w:t>
      </w:r>
      <w:r w:rsidR="005F396C">
        <w:rPr>
          <w:rFonts w:cstheme="minorHAnsi"/>
          <w:color w:val="auto"/>
        </w:rPr>
        <w:t xml:space="preserve"> </w:t>
      </w:r>
      <w:r w:rsidR="000C64F4">
        <w:rPr>
          <w:rFonts w:cstheme="minorHAnsi"/>
          <w:color w:val="auto"/>
        </w:rPr>
        <w:t xml:space="preserve">For the analyses in this report, </w:t>
      </w:r>
      <w:r>
        <w:rPr>
          <w:rFonts w:cstheme="minorHAnsi"/>
          <w:color w:val="auto"/>
        </w:rPr>
        <w:t>the group ‘boys’</w:t>
      </w:r>
      <w:r w:rsidR="005F396C">
        <w:rPr>
          <w:rFonts w:cstheme="minorHAnsi"/>
          <w:color w:val="auto"/>
        </w:rPr>
        <w:t xml:space="preserve"> includes </w:t>
      </w:r>
      <w:r w:rsidR="00251B87">
        <w:rPr>
          <w:rFonts w:cstheme="minorHAnsi"/>
          <w:color w:val="auto"/>
        </w:rPr>
        <w:t>male</w:t>
      </w:r>
      <w:r w:rsidR="000F4E23">
        <w:rPr>
          <w:rFonts w:cstheme="minorHAnsi"/>
          <w:color w:val="auto"/>
        </w:rPr>
        <w:t xml:space="preserve"> students</w:t>
      </w:r>
      <w:r w:rsidR="004334EE">
        <w:rPr>
          <w:rFonts w:cstheme="minorHAnsi"/>
          <w:color w:val="auto"/>
        </w:rPr>
        <w:t xml:space="preserve"> who attended </w:t>
      </w:r>
      <w:r w:rsidR="006949F5">
        <w:rPr>
          <w:rFonts w:cstheme="minorHAnsi"/>
          <w:color w:val="auto"/>
        </w:rPr>
        <w:t>girls’</w:t>
      </w:r>
      <w:r w:rsidR="004334EE">
        <w:rPr>
          <w:rFonts w:cstheme="minorHAnsi"/>
          <w:color w:val="auto"/>
        </w:rPr>
        <w:t xml:space="preserve"> schools and excludes female</w:t>
      </w:r>
      <w:r w:rsidR="000F4E23">
        <w:rPr>
          <w:rFonts w:cstheme="minorHAnsi"/>
          <w:color w:val="auto"/>
        </w:rPr>
        <w:t xml:space="preserve"> students</w:t>
      </w:r>
      <w:r w:rsidR="004334EE">
        <w:rPr>
          <w:rFonts w:cstheme="minorHAnsi"/>
          <w:color w:val="auto"/>
        </w:rPr>
        <w:t xml:space="preserve"> who attended boys</w:t>
      </w:r>
      <w:r w:rsidR="006949F5">
        <w:rPr>
          <w:rFonts w:cstheme="minorHAnsi"/>
          <w:color w:val="auto"/>
        </w:rPr>
        <w:t>’</w:t>
      </w:r>
      <w:r w:rsidR="004334EE">
        <w:rPr>
          <w:rFonts w:cstheme="minorHAnsi"/>
          <w:color w:val="auto"/>
        </w:rPr>
        <w:t xml:space="preserve"> schools</w:t>
      </w:r>
      <w:r w:rsidR="000F4E23">
        <w:rPr>
          <w:rFonts w:cstheme="minorHAnsi"/>
          <w:color w:val="auto"/>
        </w:rPr>
        <w:t xml:space="preserve">, </w:t>
      </w:r>
      <w:r w:rsidR="002621BC">
        <w:rPr>
          <w:rFonts w:cstheme="minorHAnsi"/>
          <w:color w:val="auto"/>
        </w:rPr>
        <w:t>nonbinary students</w:t>
      </w:r>
      <w:r w:rsidR="00BD7166">
        <w:rPr>
          <w:rFonts w:cstheme="minorHAnsi"/>
          <w:color w:val="auto"/>
        </w:rPr>
        <w:t>,</w:t>
      </w:r>
      <w:r w:rsidR="002621BC">
        <w:rPr>
          <w:rFonts w:cstheme="minorHAnsi"/>
          <w:color w:val="auto"/>
        </w:rPr>
        <w:t xml:space="preserve"> and students who </w:t>
      </w:r>
      <w:r w:rsidR="003B6C9D">
        <w:rPr>
          <w:rFonts w:cstheme="minorHAnsi"/>
          <w:color w:val="auto"/>
        </w:rPr>
        <w:t xml:space="preserve">opted not to </w:t>
      </w:r>
      <w:r w:rsidR="00527C37">
        <w:rPr>
          <w:rFonts w:cstheme="minorHAnsi"/>
          <w:color w:val="auto"/>
        </w:rPr>
        <w:t>say.</w:t>
      </w:r>
    </w:p>
    <w:p w14:paraId="0610C893" w14:textId="0F62E3D7" w:rsidR="00927CBD" w:rsidRDefault="00927CBD" w:rsidP="007F694B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Non-attainment </w:t>
      </w:r>
      <w:proofErr w:type="gramStart"/>
      <w:r>
        <w:rPr>
          <w:rFonts w:cstheme="minorHAnsi"/>
          <w:color w:val="auto"/>
        </w:rPr>
        <w:t>rate</w:t>
      </w:r>
      <w:proofErr w:type="gramEnd"/>
      <w:r>
        <w:rPr>
          <w:rFonts w:cstheme="minorHAnsi"/>
          <w:color w:val="auto"/>
        </w:rPr>
        <w:tab/>
        <w:t xml:space="preserve">The percentage of students in a school to </w:t>
      </w:r>
      <w:r w:rsidR="007F694B">
        <w:rPr>
          <w:rFonts w:cstheme="minorHAnsi"/>
          <w:color w:val="auto"/>
        </w:rPr>
        <w:t>leave school with no qualifications. May also be referred to as the ‘non-achievement rate’.</w:t>
      </w:r>
    </w:p>
    <w:p w14:paraId="09F4527B" w14:textId="3EA15E6A" w:rsidR="0077756E" w:rsidRDefault="0077756E" w:rsidP="0077756E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Qualifications</w:t>
      </w:r>
      <w:r>
        <w:rPr>
          <w:rFonts w:cstheme="minorHAnsi"/>
          <w:color w:val="auto"/>
        </w:rPr>
        <w:tab/>
        <w:t>This report will consider the following four secondary qualifications of increasing distinction in the NZQF</w:t>
      </w:r>
      <w:r>
        <w:rPr>
          <w:rStyle w:val="FootnoteReference"/>
          <w:rFonts w:cstheme="minorHAnsi"/>
          <w:color w:val="auto"/>
        </w:rPr>
        <w:footnoteReference w:id="3"/>
      </w:r>
      <w:r>
        <w:rPr>
          <w:rFonts w:cstheme="minorHAnsi"/>
          <w:color w:val="auto"/>
        </w:rPr>
        <w:t>: NCEA Level 1 ‘level 1’, NCEA Level 2 ‘level 2’, NCEA Level 3 ‘level 3’, and University Entrance ‘UE’. Equivalent qualifications in other systems (</w:t>
      </w:r>
      <w:proofErr w:type="gramStart"/>
      <w:r>
        <w:rPr>
          <w:rFonts w:cstheme="minorHAnsi"/>
          <w:color w:val="auto"/>
        </w:rPr>
        <w:t>e.g.</w:t>
      </w:r>
      <w:proofErr w:type="gramEnd"/>
      <w:r>
        <w:rPr>
          <w:rFonts w:cstheme="minorHAnsi"/>
          <w:color w:val="auto"/>
        </w:rPr>
        <w:t xml:space="preserve"> Cambridge) are included at the relevant level in the data.</w:t>
      </w:r>
    </w:p>
    <w:p w14:paraId="2B33F9D9" w14:textId="640C93F9" w:rsidR="0077756E" w:rsidRDefault="004A29E9" w:rsidP="0077756E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Decile</w:t>
      </w:r>
      <w:r w:rsidR="0077756E">
        <w:rPr>
          <w:rFonts w:cstheme="minorHAnsi"/>
          <w:color w:val="auto"/>
        </w:rPr>
        <w:tab/>
      </w:r>
      <w:r w:rsidR="0077756E" w:rsidRPr="00694AEF">
        <w:rPr>
          <w:rFonts w:cstheme="minorHAnsi"/>
          <w:color w:val="auto"/>
        </w:rPr>
        <w:t>A national rating of the socioeconomic conditions a school’s students come from on average</w:t>
      </w:r>
      <w:r w:rsidR="0077756E">
        <w:rPr>
          <w:rFonts w:cstheme="minorHAnsi"/>
          <w:color w:val="auto"/>
        </w:rPr>
        <w:t xml:space="preserve">, divided into </w:t>
      </w:r>
      <w:r w:rsidR="00C343D6">
        <w:rPr>
          <w:rFonts w:cstheme="minorHAnsi"/>
          <w:color w:val="auto"/>
        </w:rPr>
        <w:t>ten</w:t>
      </w:r>
      <w:r w:rsidR="0077756E">
        <w:rPr>
          <w:rFonts w:cstheme="minorHAnsi"/>
          <w:color w:val="auto"/>
        </w:rPr>
        <w:t xml:space="preserve"> categories – 1 (lowest) to </w:t>
      </w:r>
      <w:r>
        <w:rPr>
          <w:rFonts w:cstheme="minorHAnsi"/>
          <w:color w:val="auto"/>
        </w:rPr>
        <w:t>10</w:t>
      </w:r>
      <w:r w:rsidR="0077756E">
        <w:rPr>
          <w:rFonts w:cstheme="minorHAnsi"/>
          <w:color w:val="auto"/>
        </w:rPr>
        <w:t xml:space="preserve"> (highest)</w:t>
      </w:r>
      <w:r w:rsidR="0077756E" w:rsidRPr="00694AEF">
        <w:rPr>
          <w:rFonts w:cstheme="minorHAnsi"/>
          <w:color w:val="auto"/>
        </w:rPr>
        <w:t>.</w:t>
      </w:r>
      <w:r w:rsidR="0077756E">
        <w:rPr>
          <w:rFonts w:cstheme="minorHAnsi"/>
          <w:color w:val="auto"/>
        </w:rPr>
        <w:t xml:space="preserve"> </w:t>
      </w:r>
      <w:r w:rsidR="0089659A">
        <w:rPr>
          <w:rFonts w:cstheme="minorHAnsi"/>
          <w:color w:val="auto"/>
        </w:rPr>
        <w:t xml:space="preserve">Note </w:t>
      </w:r>
      <w:r w:rsidR="00D36BFA">
        <w:rPr>
          <w:rFonts w:cstheme="minorHAnsi"/>
          <w:color w:val="auto"/>
        </w:rPr>
        <w:t xml:space="preserve">that </w:t>
      </w:r>
      <w:r w:rsidR="0089659A">
        <w:rPr>
          <w:rFonts w:cstheme="minorHAnsi"/>
          <w:color w:val="auto"/>
        </w:rPr>
        <w:t xml:space="preserve">this </w:t>
      </w:r>
      <w:r w:rsidR="00D36BFA">
        <w:rPr>
          <w:rFonts w:cstheme="minorHAnsi"/>
          <w:color w:val="auto"/>
        </w:rPr>
        <w:t>metric pertains to the region, not the school.</w:t>
      </w:r>
    </w:p>
    <w:p w14:paraId="24CB7B56" w14:textId="3BB4C6F9" w:rsidR="00B62FD9" w:rsidRDefault="00493207" w:rsidP="00DF1C99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School </w:t>
      </w:r>
      <w:proofErr w:type="gramStart"/>
      <w:r w:rsidR="00405542">
        <w:rPr>
          <w:rFonts w:cstheme="minorHAnsi"/>
          <w:color w:val="auto"/>
        </w:rPr>
        <w:t>type</w:t>
      </w:r>
      <w:proofErr w:type="gramEnd"/>
      <w:r w:rsidR="000C2640">
        <w:rPr>
          <w:rFonts w:cstheme="minorHAnsi"/>
          <w:color w:val="auto"/>
        </w:rPr>
        <w:tab/>
      </w:r>
      <w:r w:rsidR="0001617F">
        <w:rPr>
          <w:rFonts w:cstheme="minorHAnsi"/>
          <w:color w:val="auto"/>
        </w:rPr>
        <w:t>The</w:t>
      </w:r>
      <w:r w:rsidR="007B377E">
        <w:rPr>
          <w:rFonts w:cstheme="minorHAnsi"/>
          <w:color w:val="auto"/>
        </w:rPr>
        <w:t xml:space="preserve"> list</w:t>
      </w:r>
      <w:r w:rsidR="0001617F">
        <w:rPr>
          <w:rFonts w:cstheme="minorHAnsi"/>
          <w:color w:val="auto"/>
        </w:rPr>
        <w:t>ing</w:t>
      </w:r>
      <w:r w:rsidR="007B377E">
        <w:rPr>
          <w:rFonts w:cstheme="minorHAnsi"/>
          <w:color w:val="auto"/>
        </w:rPr>
        <w:t xml:space="preserve"> </w:t>
      </w:r>
      <w:r w:rsidR="0001617F">
        <w:rPr>
          <w:rFonts w:cstheme="minorHAnsi"/>
          <w:color w:val="auto"/>
        </w:rPr>
        <w:t>of a school as</w:t>
      </w:r>
      <w:r w:rsidR="007B377E">
        <w:rPr>
          <w:rFonts w:cstheme="minorHAnsi"/>
          <w:color w:val="auto"/>
        </w:rPr>
        <w:t xml:space="preserve"> either</w:t>
      </w:r>
      <w:r w:rsidR="00583C68">
        <w:rPr>
          <w:rFonts w:cstheme="minorHAnsi"/>
          <w:color w:val="auto"/>
        </w:rPr>
        <w:t xml:space="preserve"> coeducational </w:t>
      </w:r>
      <w:r w:rsidR="0097713E">
        <w:rPr>
          <w:rFonts w:cstheme="minorHAnsi"/>
          <w:color w:val="auto"/>
        </w:rPr>
        <w:t xml:space="preserve">or </w:t>
      </w:r>
      <w:r w:rsidR="000D59CF">
        <w:rPr>
          <w:rFonts w:cstheme="minorHAnsi"/>
          <w:color w:val="auto"/>
        </w:rPr>
        <w:t>single-sex</w:t>
      </w:r>
      <w:r w:rsidR="0097713E">
        <w:rPr>
          <w:rFonts w:cstheme="minorHAnsi"/>
          <w:color w:val="auto"/>
        </w:rPr>
        <w:t>.</w:t>
      </w:r>
    </w:p>
    <w:p w14:paraId="610E7552" w14:textId="5C670286" w:rsidR="000261C8" w:rsidRDefault="000261C8" w:rsidP="00DF1C99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School leaver</w:t>
      </w:r>
      <w:r w:rsidR="007B377E">
        <w:rPr>
          <w:rFonts w:cstheme="minorHAnsi"/>
          <w:color w:val="auto"/>
        </w:rPr>
        <w:tab/>
      </w:r>
      <w:r w:rsidR="00B94B24">
        <w:rPr>
          <w:rFonts w:cstheme="minorHAnsi"/>
          <w:color w:val="auto"/>
        </w:rPr>
        <w:t>A student</w:t>
      </w:r>
      <w:r w:rsidR="00936EA2">
        <w:rPr>
          <w:rFonts w:cstheme="minorHAnsi"/>
          <w:color w:val="auto"/>
        </w:rPr>
        <w:t xml:space="preserve"> who </w:t>
      </w:r>
      <w:r w:rsidR="003F0BB6" w:rsidRPr="003F0BB6">
        <w:rPr>
          <w:rFonts w:cstheme="minorHAnsi"/>
          <w:color w:val="auto"/>
        </w:rPr>
        <w:t xml:space="preserve">permanently left </w:t>
      </w:r>
      <w:r w:rsidR="003F0BB6">
        <w:rPr>
          <w:rFonts w:cstheme="minorHAnsi"/>
          <w:color w:val="auto"/>
        </w:rPr>
        <w:t xml:space="preserve">secondary </w:t>
      </w:r>
      <w:r w:rsidR="003F0BB6" w:rsidRPr="003F0BB6">
        <w:rPr>
          <w:rFonts w:cstheme="minorHAnsi"/>
          <w:color w:val="auto"/>
        </w:rPr>
        <w:t xml:space="preserve">school to enter the workforce </w:t>
      </w:r>
      <w:r w:rsidR="00E07D47">
        <w:rPr>
          <w:rFonts w:cstheme="minorHAnsi"/>
          <w:color w:val="auto"/>
        </w:rPr>
        <w:t>or</w:t>
      </w:r>
      <w:r w:rsidR="003F0BB6" w:rsidRPr="003F0BB6">
        <w:rPr>
          <w:rFonts w:cstheme="minorHAnsi"/>
          <w:color w:val="auto"/>
        </w:rPr>
        <w:t xml:space="preserve"> undertake further education</w:t>
      </w:r>
      <w:r w:rsidR="00B064A8">
        <w:rPr>
          <w:rFonts w:cstheme="minorHAnsi"/>
          <w:color w:val="auto"/>
        </w:rPr>
        <w:t xml:space="preserve"> between the first day of March that year and the last day of February the following year.</w:t>
      </w:r>
    </w:p>
    <w:p w14:paraId="60AB30F4" w14:textId="6C92FD39" w:rsidR="007D2E41" w:rsidRDefault="007D2E41" w:rsidP="00DF1C99">
      <w:pPr>
        <w:ind w:left="1985" w:hanging="1985"/>
        <w:rPr>
          <w:rFonts w:cstheme="minorHAnsi"/>
          <w:color w:val="auto"/>
        </w:rPr>
      </w:pPr>
      <w:r>
        <w:rPr>
          <w:rFonts w:cstheme="minorHAnsi"/>
          <w:color w:val="auto"/>
        </w:rPr>
        <w:t>Single-sex advantage</w:t>
      </w:r>
      <w:r>
        <w:rPr>
          <w:rFonts w:cstheme="minorHAnsi"/>
          <w:color w:val="auto"/>
        </w:rPr>
        <w:tab/>
        <w:t>The historically observed phenomenon that students at single-sex institutions tend to perform better than students at coeducational institutions.</w:t>
      </w:r>
    </w:p>
    <w:p w14:paraId="65ADC9D8" w14:textId="158097D9" w:rsidR="00815ACC" w:rsidRDefault="00815ACC" w:rsidP="00CF5961">
      <w:pPr>
        <w:pStyle w:val="Heading2"/>
      </w:pPr>
      <w:bookmarkStart w:id="4" w:name="_Toc130862579"/>
      <w:r>
        <w:t>Summary</w:t>
      </w:r>
      <w:bookmarkEnd w:id="4"/>
    </w:p>
    <w:p w14:paraId="50729A0A" w14:textId="5C719BD8" w:rsidR="00B46A0E" w:rsidRDefault="007A70C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Male</w:t>
      </w:r>
      <w:r w:rsidR="00B50D67">
        <w:rPr>
          <w:rFonts w:cstheme="minorHAnsi"/>
          <w:color w:val="auto"/>
        </w:rPr>
        <w:t xml:space="preserve"> school leavers </w:t>
      </w:r>
      <w:r w:rsidR="00D5525F">
        <w:rPr>
          <w:rFonts w:cstheme="minorHAnsi"/>
          <w:color w:val="auto"/>
        </w:rPr>
        <w:t xml:space="preserve">from single-sex schools </w:t>
      </w:r>
      <w:r w:rsidR="00B50D67">
        <w:rPr>
          <w:rFonts w:cstheme="minorHAnsi"/>
          <w:color w:val="auto"/>
        </w:rPr>
        <w:t>had higher attainment rates</w:t>
      </w:r>
      <w:r w:rsidR="00D5525F">
        <w:rPr>
          <w:rFonts w:cstheme="minorHAnsi"/>
          <w:color w:val="auto"/>
        </w:rPr>
        <w:t xml:space="preserve"> than those from coeducational schools</w:t>
      </w:r>
      <w:r w:rsidR="00B50D67">
        <w:rPr>
          <w:rFonts w:cstheme="minorHAnsi"/>
          <w:color w:val="auto"/>
        </w:rPr>
        <w:t xml:space="preserve"> at all levels </w:t>
      </w:r>
      <w:r w:rsidR="00041436">
        <w:rPr>
          <w:rFonts w:cstheme="minorHAnsi"/>
          <w:color w:val="auto"/>
        </w:rPr>
        <w:t xml:space="preserve">across every </w:t>
      </w:r>
      <w:r w:rsidR="008861CE">
        <w:rPr>
          <w:rFonts w:cstheme="minorHAnsi"/>
          <w:color w:val="auto"/>
        </w:rPr>
        <w:t>disaggregation</w:t>
      </w:r>
      <w:r w:rsidR="005D3099">
        <w:rPr>
          <w:rFonts w:cstheme="minorHAnsi"/>
          <w:color w:val="auto"/>
        </w:rPr>
        <w:t xml:space="preserve"> </w:t>
      </w:r>
      <w:r w:rsidR="00B46A0E">
        <w:rPr>
          <w:rFonts w:cstheme="minorHAnsi"/>
          <w:color w:val="auto"/>
        </w:rPr>
        <w:t>considered in this report</w:t>
      </w:r>
      <w:r w:rsidR="00717B74">
        <w:rPr>
          <w:rFonts w:cstheme="minorHAnsi"/>
          <w:color w:val="auto"/>
        </w:rPr>
        <w:t>.</w:t>
      </w:r>
      <w:r w:rsidR="0077699F">
        <w:rPr>
          <w:rFonts w:cstheme="minorHAnsi"/>
          <w:color w:val="auto"/>
        </w:rPr>
        <w:t xml:space="preserve"> The existence of the </w:t>
      </w:r>
      <w:r w:rsidR="009B79E4">
        <w:rPr>
          <w:rFonts w:cstheme="minorHAnsi"/>
          <w:color w:val="auto"/>
        </w:rPr>
        <w:t xml:space="preserve">single-sex </w:t>
      </w:r>
      <w:r w:rsidR="00AE0496">
        <w:rPr>
          <w:rFonts w:cstheme="minorHAnsi"/>
          <w:color w:val="auto"/>
        </w:rPr>
        <w:t>advantage</w:t>
      </w:r>
      <w:r w:rsidR="007F487B">
        <w:rPr>
          <w:rFonts w:cstheme="minorHAnsi"/>
          <w:color w:val="auto"/>
        </w:rPr>
        <w:t xml:space="preserve"> in NZ secondary schools</w:t>
      </w:r>
      <w:r w:rsidR="009F4A59">
        <w:rPr>
          <w:rFonts w:cstheme="minorHAnsi"/>
          <w:color w:val="auto"/>
        </w:rPr>
        <w:t xml:space="preserve"> </w:t>
      </w:r>
      <w:r w:rsidR="00AE0496">
        <w:rPr>
          <w:rFonts w:cstheme="minorHAnsi"/>
          <w:color w:val="auto"/>
        </w:rPr>
        <w:t xml:space="preserve">is irrefutable. However, there is uncertainty </w:t>
      </w:r>
      <w:r w:rsidR="00C50FDA">
        <w:rPr>
          <w:rFonts w:cstheme="minorHAnsi"/>
          <w:color w:val="auto"/>
        </w:rPr>
        <w:t>about</w:t>
      </w:r>
      <w:r w:rsidR="00AE0496">
        <w:rPr>
          <w:rFonts w:cstheme="minorHAnsi"/>
          <w:color w:val="auto"/>
        </w:rPr>
        <w:t xml:space="preserve"> whether this </w:t>
      </w:r>
      <w:r w:rsidR="00C50FDA">
        <w:rPr>
          <w:rFonts w:cstheme="minorHAnsi"/>
          <w:color w:val="auto"/>
        </w:rPr>
        <w:t xml:space="preserve">relationship is causal or purely correlated as the analysis </w:t>
      </w:r>
      <w:r w:rsidR="00367B5E">
        <w:rPr>
          <w:rFonts w:cstheme="minorHAnsi"/>
          <w:color w:val="auto"/>
        </w:rPr>
        <w:t xml:space="preserve">presented here </w:t>
      </w:r>
      <w:r w:rsidR="005A3ABD">
        <w:rPr>
          <w:rFonts w:cstheme="minorHAnsi"/>
          <w:color w:val="auto"/>
        </w:rPr>
        <w:t>cannot</w:t>
      </w:r>
      <w:r w:rsidR="00367B5E">
        <w:rPr>
          <w:rFonts w:cstheme="minorHAnsi"/>
          <w:color w:val="auto"/>
        </w:rPr>
        <w:t xml:space="preserve"> </w:t>
      </w:r>
      <w:r w:rsidR="0030799A">
        <w:rPr>
          <w:rFonts w:cstheme="minorHAnsi"/>
          <w:color w:val="auto"/>
        </w:rPr>
        <w:t>determine causality</w:t>
      </w:r>
      <w:r w:rsidR="00C50FDA">
        <w:rPr>
          <w:rFonts w:cstheme="minorHAnsi"/>
          <w:color w:val="auto"/>
        </w:rPr>
        <w:t>.</w:t>
      </w:r>
      <w:r w:rsidR="0030799A">
        <w:rPr>
          <w:rFonts w:cstheme="minorHAnsi"/>
          <w:color w:val="auto"/>
        </w:rPr>
        <w:t xml:space="preserve"> </w:t>
      </w:r>
      <w:r w:rsidR="00A01A60">
        <w:rPr>
          <w:rFonts w:cstheme="minorHAnsi"/>
          <w:color w:val="auto"/>
        </w:rPr>
        <w:t xml:space="preserve">Both </w:t>
      </w:r>
      <w:r w:rsidR="0040248A">
        <w:rPr>
          <w:rFonts w:cstheme="minorHAnsi"/>
          <w:color w:val="auto"/>
        </w:rPr>
        <w:t xml:space="preserve">positions are equally </w:t>
      </w:r>
      <w:r w:rsidR="009F4A59">
        <w:rPr>
          <w:rFonts w:cstheme="minorHAnsi"/>
          <w:color w:val="auto"/>
        </w:rPr>
        <w:t>tenable</w:t>
      </w:r>
      <w:r w:rsidR="0040248A">
        <w:rPr>
          <w:rFonts w:cstheme="minorHAnsi"/>
          <w:color w:val="auto"/>
        </w:rPr>
        <w:t xml:space="preserve"> until </w:t>
      </w:r>
      <w:r w:rsidR="009F4A59">
        <w:rPr>
          <w:rFonts w:cstheme="minorHAnsi"/>
          <w:color w:val="auto"/>
        </w:rPr>
        <w:t xml:space="preserve">more rigorous </w:t>
      </w:r>
      <w:r w:rsidR="0040248A">
        <w:rPr>
          <w:rFonts w:cstheme="minorHAnsi"/>
          <w:color w:val="auto"/>
        </w:rPr>
        <w:t>analysis is undertaken</w:t>
      </w:r>
      <w:r w:rsidR="000510AE">
        <w:rPr>
          <w:rFonts w:cstheme="minorHAnsi"/>
          <w:color w:val="auto"/>
        </w:rPr>
        <w:t>.</w:t>
      </w:r>
    </w:p>
    <w:p w14:paraId="5F8083AE" w14:textId="3A1B9D69" w:rsidR="002152F0" w:rsidRDefault="002152F0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604C393B" w14:textId="422A3296" w:rsidR="002152F0" w:rsidRDefault="00C543A0" w:rsidP="00CF5961">
      <w:pPr>
        <w:pStyle w:val="Heading1"/>
        <w:rPr>
          <w:noProof/>
          <w:sz w:val="12"/>
          <w:szCs w:val="12"/>
        </w:rPr>
      </w:pPr>
      <w:bookmarkStart w:id="5" w:name="_Toc130862580"/>
      <w:r>
        <w:lastRenderedPageBreak/>
        <w:t>Binary Comparison</w:t>
      </w:r>
      <w:r w:rsidR="00CF5961">
        <w:br/>
      </w:r>
      <w:r w:rsidR="008C5D34">
        <w:rPr>
          <w:noProof/>
          <w:sz w:val="12"/>
          <w:szCs w:val="12"/>
        </w:rPr>
        <w:pict w14:anchorId="330E4625">
          <v:rect id="_x0000_i1028" style="width:451.3pt;height:1.5pt" o:hrstd="t" o:hr="t" fillcolor="#a0a0a0" stroked="f"/>
        </w:pict>
      </w:r>
      <w:bookmarkEnd w:id="5"/>
    </w:p>
    <w:p w14:paraId="73CDD0CA" w14:textId="3524BAE9" w:rsidR="00D74459" w:rsidRDefault="00810AFC" w:rsidP="00D74459">
      <w:r>
        <w:t>We first</w:t>
      </w:r>
      <w:r w:rsidR="00F1615F">
        <w:t xml:space="preserve"> perform a </w:t>
      </w:r>
      <w:r w:rsidR="00C543A0">
        <w:t>binary</w:t>
      </w:r>
      <w:r w:rsidR="00F1615F">
        <w:t xml:space="preserve"> comparison between </w:t>
      </w:r>
      <w:r w:rsidR="00340FEE">
        <w:t>male student attainment at coeducational schools</w:t>
      </w:r>
      <w:r w:rsidR="00CA40A9">
        <w:t xml:space="preserve"> </w:t>
      </w:r>
      <w:r w:rsidR="001C5D9C">
        <w:t>and</w:t>
      </w:r>
      <w:r w:rsidR="00CA40A9">
        <w:t xml:space="preserve"> single-sex schools.</w:t>
      </w:r>
      <w:r w:rsidR="00E80341">
        <w:t xml:space="preserve"> This</w:t>
      </w:r>
      <w:r w:rsidR="00F20B36">
        <w:t xml:space="preserve"> provides the most direct com</w:t>
      </w:r>
      <w:r w:rsidR="00782725">
        <w:t>parison between coeducational and single-sex schools and</w:t>
      </w:r>
      <w:r w:rsidR="00E80341">
        <w:t xml:space="preserve"> serves as a baseline for </w:t>
      </w:r>
      <w:r w:rsidR="00F20B36">
        <w:t>disaggregated comparisons later in the report.</w:t>
      </w:r>
    </w:p>
    <w:p w14:paraId="10FFC612" w14:textId="77777777" w:rsidR="00CA40A9" w:rsidRPr="00D74459" w:rsidRDefault="00CA40A9" w:rsidP="00D74459"/>
    <w:p w14:paraId="4A0BDCA5" w14:textId="4B2D5014" w:rsidR="00D63A98" w:rsidRDefault="00D63A98" w:rsidP="00D63A98">
      <w:pPr>
        <w:pStyle w:val="Caption"/>
      </w:pPr>
      <w:bookmarkStart w:id="6" w:name="_Ref129600495"/>
      <w:bookmarkStart w:id="7" w:name="_Ref129600550"/>
      <w:r>
        <w:t xml:space="preserve">Table </w:t>
      </w:r>
      <w:r w:rsidR="008C5D34">
        <w:fldChar w:fldCharType="begin"/>
      </w:r>
      <w:r w:rsidR="008C5D34">
        <w:instrText xml:space="preserve"> SEQ Table \* ARABIC </w:instrText>
      </w:r>
      <w:r w:rsidR="008C5D34">
        <w:fldChar w:fldCharType="separate"/>
      </w:r>
      <w:r w:rsidR="008C5D34">
        <w:rPr>
          <w:noProof/>
        </w:rPr>
        <w:t>1</w:t>
      </w:r>
      <w:r w:rsidR="008C5D34">
        <w:rPr>
          <w:noProof/>
        </w:rPr>
        <w:fldChar w:fldCharType="end"/>
      </w:r>
      <w:bookmarkEnd w:id="6"/>
      <w:r>
        <w:t xml:space="preserve">. Percentage of male NZ secondary school leavers attaining </w:t>
      </w:r>
      <w:r w:rsidRPr="00CC2A4E">
        <w:t>each</w:t>
      </w:r>
      <w:r>
        <w:t xml:space="preserve"> level of qualification, disaggregated by </w:t>
      </w:r>
      <w:r w:rsidR="00F31BF3">
        <w:t>school type</w:t>
      </w:r>
      <w:r w:rsidR="00BE52E7">
        <w:t xml:space="preserve"> (n = </w:t>
      </w:r>
      <w:r w:rsidR="00BE52E7" w:rsidRPr="00691CBD">
        <w:t>155</w:t>
      </w:r>
      <w:r w:rsidR="00BE52E7">
        <w:t xml:space="preserve"> </w:t>
      </w:r>
      <w:r w:rsidR="00BE52E7" w:rsidRPr="00691CBD">
        <w:t>630</w:t>
      </w:r>
      <w:r w:rsidR="00BE52E7">
        <w:t>).</w:t>
      </w:r>
      <w:bookmarkEnd w:id="7"/>
    </w:p>
    <w:tbl>
      <w:tblPr>
        <w:tblStyle w:val="TableGrid"/>
        <w:tblW w:w="4536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76"/>
        <w:gridCol w:w="1276"/>
      </w:tblGrid>
      <w:tr w:rsidR="00D63A98" w14:paraId="205F192A" w14:textId="77777777" w:rsidTr="008C07EF">
        <w:trPr>
          <w:trHeight w:val="340"/>
        </w:trPr>
        <w:tc>
          <w:tcPr>
            <w:tcW w:w="1985" w:type="dxa"/>
            <w:vMerge w:val="restart"/>
            <w:tcBorders>
              <w:top w:val="double" w:sz="4" w:space="0" w:color="auto"/>
            </w:tcBorders>
            <w:vAlign w:val="center"/>
          </w:tcPr>
          <w:p w14:paraId="441C8A92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Highest Qualification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15FCDAB5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 xml:space="preserve">Percentage of </w:t>
            </w:r>
            <w:r w:rsidRPr="00D67BB0">
              <w:rPr>
                <w:rFonts w:cstheme="minorBidi"/>
                <w:b/>
                <w:bCs/>
                <w:color w:val="auto"/>
              </w:rPr>
              <w:t>Students</w:t>
            </w:r>
          </w:p>
        </w:tc>
      </w:tr>
      <w:tr w:rsidR="00D63A98" w14:paraId="7904F8E3" w14:textId="77777777" w:rsidTr="008C07EF">
        <w:trPr>
          <w:trHeight w:val="340"/>
        </w:trPr>
        <w:tc>
          <w:tcPr>
            <w:tcW w:w="1985" w:type="dxa"/>
            <w:vMerge/>
            <w:tcBorders>
              <w:bottom w:val="double" w:sz="4" w:space="0" w:color="auto"/>
            </w:tcBorders>
            <w:vAlign w:val="center"/>
          </w:tcPr>
          <w:p w14:paraId="7B5517B4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A7B3E1E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Co-Ed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50AC3C4" w14:textId="775F1719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Single</w:t>
            </w:r>
            <w:r w:rsidR="000B36E5">
              <w:rPr>
                <w:rFonts w:cstheme="minorHAnsi"/>
                <w:b/>
                <w:bCs/>
                <w:color w:val="auto"/>
              </w:rPr>
              <w:t>-</w:t>
            </w:r>
            <w:r w:rsidRPr="00D67BB0">
              <w:rPr>
                <w:rFonts w:cstheme="minorHAnsi"/>
                <w:b/>
                <w:bCs/>
                <w:color w:val="auto"/>
              </w:rPr>
              <w:t>Sex</w:t>
            </w:r>
          </w:p>
        </w:tc>
      </w:tr>
      <w:tr w:rsidR="00D63A98" w14:paraId="73ED498C" w14:textId="77777777" w:rsidTr="008C07EF">
        <w:trPr>
          <w:trHeight w:val="340"/>
        </w:trPr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14:paraId="4ECD0FA1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2BDD745F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14.3%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69C63507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6.3%</w:t>
            </w:r>
          </w:p>
        </w:tc>
      </w:tr>
      <w:tr w:rsidR="00D63A98" w14:paraId="2819379F" w14:textId="77777777" w:rsidTr="008C07EF">
        <w:trPr>
          <w:trHeight w:val="340"/>
        </w:trPr>
        <w:tc>
          <w:tcPr>
            <w:tcW w:w="1985" w:type="dxa"/>
            <w:vAlign w:val="center"/>
          </w:tcPr>
          <w:p w14:paraId="712B714C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vAlign w:val="center"/>
          </w:tcPr>
          <w:p w14:paraId="2AA6711D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10.6%</w:t>
            </w:r>
          </w:p>
        </w:tc>
        <w:tc>
          <w:tcPr>
            <w:tcW w:w="1276" w:type="dxa"/>
            <w:vAlign w:val="center"/>
          </w:tcPr>
          <w:p w14:paraId="4E4E2CCB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7.0%</w:t>
            </w:r>
          </w:p>
        </w:tc>
      </w:tr>
      <w:tr w:rsidR="00D63A98" w14:paraId="22865016" w14:textId="77777777" w:rsidTr="008C07EF">
        <w:trPr>
          <w:trHeight w:val="340"/>
        </w:trPr>
        <w:tc>
          <w:tcPr>
            <w:tcW w:w="1985" w:type="dxa"/>
            <w:vAlign w:val="center"/>
          </w:tcPr>
          <w:p w14:paraId="6A779A5D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vAlign w:val="center"/>
          </w:tcPr>
          <w:p w14:paraId="0969C631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28.9%</w:t>
            </w:r>
          </w:p>
        </w:tc>
        <w:tc>
          <w:tcPr>
            <w:tcW w:w="1276" w:type="dxa"/>
            <w:vAlign w:val="center"/>
          </w:tcPr>
          <w:p w14:paraId="39E50890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24.5%</w:t>
            </w:r>
          </w:p>
        </w:tc>
      </w:tr>
      <w:tr w:rsidR="00D63A98" w14:paraId="442630A6" w14:textId="77777777" w:rsidTr="008C07EF">
        <w:trPr>
          <w:trHeight w:val="340"/>
        </w:trPr>
        <w:tc>
          <w:tcPr>
            <w:tcW w:w="1985" w:type="dxa"/>
            <w:vAlign w:val="center"/>
          </w:tcPr>
          <w:p w14:paraId="15BB1251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vAlign w:val="center"/>
          </w:tcPr>
          <w:p w14:paraId="44BA7B5A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16.3%</w:t>
            </w:r>
          </w:p>
        </w:tc>
        <w:tc>
          <w:tcPr>
            <w:tcW w:w="1276" w:type="dxa"/>
            <w:vAlign w:val="center"/>
          </w:tcPr>
          <w:p w14:paraId="411B01F0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13.5%</w:t>
            </w:r>
          </w:p>
        </w:tc>
      </w:tr>
      <w:tr w:rsidR="00D63A98" w14:paraId="74622553" w14:textId="77777777" w:rsidTr="008C07EF">
        <w:trPr>
          <w:trHeight w:val="340"/>
        </w:trPr>
        <w:tc>
          <w:tcPr>
            <w:tcW w:w="1985" w:type="dxa"/>
            <w:vAlign w:val="center"/>
          </w:tcPr>
          <w:p w14:paraId="08252FB1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vAlign w:val="center"/>
          </w:tcPr>
          <w:p w14:paraId="15A3558C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29.9%</w:t>
            </w:r>
          </w:p>
        </w:tc>
        <w:tc>
          <w:tcPr>
            <w:tcW w:w="1276" w:type="dxa"/>
            <w:vAlign w:val="center"/>
          </w:tcPr>
          <w:p w14:paraId="361590D6" w14:textId="77777777" w:rsidR="00D63A98" w:rsidRDefault="00D63A9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48.7%</w:t>
            </w:r>
          </w:p>
        </w:tc>
      </w:tr>
    </w:tbl>
    <w:p w14:paraId="3475155F" w14:textId="435DD0E9" w:rsidR="00D63A98" w:rsidRDefault="00D63A98" w:rsidP="00524A0C">
      <w:pPr>
        <w:rPr>
          <w:rFonts w:cstheme="minorHAnsi"/>
          <w:color w:val="auto"/>
        </w:rPr>
      </w:pPr>
    </w:p>
    <w:p w14:paraId="012454B6" w14:textId="1636AE55" w:rsidR="005D1B9A" w:rsidRDefault="00782725" w:rsidP="00524A0C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All data in this report will be presented in table form </w:t>
      </w:r>
      <w:r w:rsidR="0062029A">
        <w:rPr>
          <w:rFonts w:cstheme="minorHAnsi"/>
          <w:color w:val="auto"/>
        </w:rPr>
        <w:t>to allow precise numerical comparisons</w:t>
      </w:r>
      <w:r>
        <w:rPr>
          <w:rFonts w:cstheme="minorHAnsi"/>
          <w:color w:val="auto"/>
        </w:rPr>
        <w:t xml:space="preserve"> and as a stacked bar chart</w:t>
      </w:r>
      <w:r w:rsidR="0062029A">
        <w:rPr>
          <w:rFonts w:cstheme="minorHAnsi"/>
          <w:color w:val="auto"/>
        </w:rPr>
        <w:t xml:space="preserve"> to identify general patterns</w:t>
      </w:r>
      <w:r>
        <w:rPr>
          <w:rFonts w:cstheme="minorHAnsi"/>
          <w:color w:val="auto"/>
        </w:rPr>
        <w:t>.</w:t>
      </w:r>
    </w:p>
    <w:p w14:paraId="24118D4D" w14:textId="50668D90" w:rsidR="00E4037C" w:rsidRDefault="00E4037C" w:rsidP="00524A0C">
      <w:pPr>
        <w:rPr>
          <w:rFonts w:cstheme="minorHAnsi"/>
          <w:color w:val="auto"/>
        </w:rPr>
      </w:pPr>
    </w:p>
    <w:p w14:paraId="532A616A" w14:textId="1ED1A523" w:rsidR="002152F0" w:rsidRDefault="00304E42" w:rsidP="002152F0">
      <w:pPr>
        <w:rPr>
          <w:rFonts w:cstheme="minorHAnsi"/>
          <w:color w:val="auto"/>
        </w:rPr>
      </w:pPr>
      <w:r>
        <w:rPr>
          <w:rFonts w:cstheme="minorHAnsi"/>
          <w:noProof/>
          <w:color w:val="auto"/>
        </w:rPr>
        <w:drawing>
          <wp:inline distT="0" distB="0" distL="0" distR="0" wp14:anchorId="3B139E4E" wp14:editId="6880588A">
            <wp:extent cx="57245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CA75" w14:textId="0D6A9B2F" w:rsidR="004B4BC2" w:rsidRDefault="00CC2A4E" w:rsidP="00CC2A4E">
      <w:pPr>
        <w:pStyle w:val="Caption"/>
        <w:rPr>
          <w:rFonts w:cstheme="minorHAnsi"/>
          <w:color w:val="auto"/>
        </w:rPr>
      </w:pPr>
      <w:bookmarkStart w:id="8" w:name="_Ref129537651"/>
      <w:r>
        <w:t xml:space="preserve">Figure </w:t>
      </w:r>
      <w:r w:rsidR="008C5D34">
        <w:fldChar w:fldCharType="begin"/>
      </w:r>
      <w:r w:rsidR="008C5D34">
        <w:instrText xml:space="preserve"> SEQ Figure \* ARABIC </w:instrText>
      </w:r>
      <w:r w:rsidR="008C5D34">
        <w:fldChar w:fldCharType="separate"/>
      </w:r>
      <w:r w:rsidR="008C5D34">
        <w:rPr>
          <w:noProof/>
        </w:rPr>
        <w:t>1</w:t>
      </w:r>
      <w:r w:rsidR="008C5D34">
        <w:rPr>
          <w:noProof/>
        </w:rPr>
        <w:fldChar w:fldCharType="end"/>
      </w:r>
      <w:bookmarkEnd w:id="8"/>
      <w:r>
        <w:t xml:space="preserve">. </w:t>
      </w:r>
      <w:r w:rsidR="008E6F22">
        <w:t xml:space="preserve">Generated from </w:t>
      </w:r>
      <w:r w:rsidR="00E907CE">
        <w:fldChar w:fldCharType="begin"/>
      </w:r>
      <w:r w:rsidR="00E907CE">
        <w:instrText xml:space="preserve"> REF _Ref129600550 \h </w:instrText>
      </w:r>
      <w:r w:rsidR="00E907CE">
        <w:fldChar w:fldCharType="separate"/>
      </w:r>
      <w:r w:rsidR="008C5D34">
        <w:t xml:space="preserve">Table </w:t>
      </w:r>
      <w:r w:rsidR="008C5D34">
        <w:rPr>
          <w:noProof/>
        </w:rPr>
        <w:t>1</w:t>
      </w:r>
      <w:r w:rsidR="008C5D34">
        <w:t xml:space="preserve">. Percentage of male NZ secondary school leavers attaining </w:t>
      </w:r>
      <w:r w:rsidR="008C5D34" w:rsidRPr="00CC2A4E">
        <w:t>each</w:t>
      </w:r>
      <w:r w:rsidR="008C5D34">
        <w:t xml:space="preserve"> level of qualification, disaggregated by school type (n = </w:t>
      </w:r>
      <w:r w:rsidR="008C5D34" w:rsidRPr="00691CBD">
        <w:t>155</w:t>
      </w:r>
      <w:r w:rsidR="008C5D34">
        <w:t xml:space="preserve"> </w:t>
      </w:r>
      <w:r w:rsidR="008C5D34" w:rsidRPr="00691CBD">
        <w:t>630</w:t>
      </w:r>
      <w:r w:rsidR="008C5D34">
        <w:t>).</w:t>
      </w:r>
      <w:r w:rsidR="00E907CE">
        <w:fldChar w:fldCharType="end"/>
      </w:r>
    </w:p>
    <w:p w14:paraId="32B673F1" w14:textId="72819AB9" w:rsidR="00E4037C" w:rsidRDefault="00E4037C">
      <w:pPr>
        <w:spacing w:line="259" w:lineRule="auto"/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2BF5D873" w14:textId="596349ED" w:rsidR="00FE4072" w:rsidRDefault="00FE4072" w:rsidP="00FE4072">
      <w:pPr>
        <w:pStyle w:val="Heading2"/>
      </w:pPr>
      <w:bookmarkStart w:id="9" w:name="_Toc130862581"/>
      <w:r>
        <w:lastRenderedPageBreak/>
        <w:t>Comparison</w:t>
      </w:r>
      <w:r w:rsidR="00924FDA">
        <w:t xml:space="preserve"> of Achievement Rates</w:t>
      </w:r>
      <w:bookmarkEnd w:id="9"/>
    </w:p>
    <w:p w14:paraId="68BDF8B0" w14:textId="7DA2F47C" w:rsidR="007216A1" w:rsidRDefault="00524A0C" w:rsidP="002152F0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From </w:t>
      </w:r>
      <w:r w:rsidR="003C46EB">
        <w:rPr>
          <w:rFonts w:cstheme="minorHAnsi"/>
          <w:color w:val="auto"/>
        </w:rPr>
        <w:fldChar w:fldCharType="begin"/>
      </w:r>
      <w:r w:rsidR="003C46EB">
        <w:rPr>
          <w:rFonts w:cstheme="minorHAnsi"/>
          <w:color w:val="auto"/>
        </w:rPr>
        <w:instrText xml:space="preserve"> REF _Ref129600495 \h </w:instrText>
      </w:r>
      <w:r w:rsidR="003C46EB">
        <w:rPr>
          <w:rFonts w:cstheme="minorHAnsi"/>
          <w:color w:val="auto"/>
        </w:rPr>
      </w:r>
      <w:r w:rsidR="003C46EB">
        <w:rPr>
          <w:rFonts w:cstheme="minorHAnsi"/>
          <w:color w:val="auto"/>
        </w:rPr>
        <w:fldChar w:fldCharType="separate"/>
      </w:r>
      <w:r w:rsidR="008C5D34">
        <w:t xml:space="preserve">Table </w:t>
      </w:r>
      <w:r w:rsidR="008C5D34">
        <w:rPr>
          <w:noProof/>
        </w:rPr>
        <w:t>1</w:t>
      </w:r>
      <w:r w:rsidR="003C46EB"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>,</w:t>
      </w:r>
      <w:r w:rsidR="00FA0B26">
        <w:rPr>
          <w:rFonts w:cstheme="minorHAnsi"/>
          <w:color w:val="auto"/>
        </w:rPr>
        <w:t xml:space="preserve"> </w:t>
      </w:r>
      <w:r>
        <w:rPr>
          <w:rFonts w:cstheme="minorHAnsi"/>
          <w:color w:val="auto"/>
        </w:rPr>
        <w:t>the</w:t>
      </w:r>
      <w:r w:rsidR="00624FB1">
        <w:rPr>
          <w:rFonts w:cstheme="minorHAnsi"/>
          <w:color w:val="auto"/>
        </w:rPr>
        <w:t xml:space="preserve"> male attainment rate</w:t>
      </w:r>
      <w:r w:rsidR="00FC3A34">
        <w:rPr>
          <w:rFonts w:cstheme="minorHAnsi"/>
          <w:color w:val="auto"/>
        </w:rPr>
        <w:t xml:space="preserve"> </w:t>
      </w:r>
      <w:r w:rsidR="00305C71">
        <w:rPr>
          <w:rFonts w:cstheme="minorHAnsi"/>
          <w:color w:val="auto"/>
        </w:rPr>
        <w:t>was</w:t>
      </w:r>
      <w:r w:rsidR="00FC3A34">
        <w:rPr>
          <w:rFonts w:cstheme="minorHAnsi"/>
          <w:color w:val="auto"/>
        </w:rPr>
        <w:t xml:space="preserve"> between 8.0 and </w:t>
      </w:r>
      <w:r w:rsidR="00D60539">
        <w:rPr>
          <w:rFonts w:cstheme="minorHAnsi"/>
          <w:color w:val="auto"/>
        </w:rPr>
        <w:t>18.8 percentage points higher</w:t>
      </w:r>
      <w:r w:rsidR="003C46EB">
        <w:rPr>
          <w:rFonts w:cstheme="minorHAnsi"/>
          <w:color w:val="auto"/>
        </w:rPr>
        <w:t xml:space="preserve"> across all achievement levels</w:t>
      </w:r>
      <w:r w:rsidR="00C8405D">
        <w:rPr>
          <w:rFonts w:cstheme="minorHAnsi"/>
          <w:color w:val="auto"/>
        </w:rPr>
        <w:t xml:space="preserve"> for </w:t>
      </w:r>
      <w:r w:rsidR="000D59CF">
        <w:rPr>
          <w:rFonts w:cstheme="minorHAnsi"/>
          <w:color w:val="auto"/>
        </w:rPr>
        <w:t>single-sex</w:t>
      </w:r>
      <w:r w:rsidR="00C8405D">
        <w:rPr>
          <w:rFonts w:cstheme="minorHAnsi"/>
          <w:color w:val="auto"/>
        </w:rPr>
        <w:t xml:space="preserve"> schools</w:t>
      </w:r>
      <w:r w:rsidR="00624FB1">
        <w:rPr>
          <w:rFonts w:cstheme="minorHAnsi"/>
          <w:color w:val="auto"/>
        </w:rPr>
        <w:t xml:space="preserve"> than </w:t>
      </w:r>
      <w:r w:rsidR="00E31056">
        <w:rPr>
          <w:rFonts w:cstheme="minorHAnsi"/>
          <w:color w:val="auto"/>
        </w:rPr>
        <w:t xml:space="preserve">for </w:t>
      </w:r>
      <w:r w:rsidR="00624FB1">
        <w:rPr>
          <w:rFonts w:cstheme="minorHAnsi"/>
          <w:color w:val="auto"/>
        </w:rPr>
        <w:t xml:space="preserve">coeducational </w:t>
      </w:r>
      <w:r w:rsidR="00034E22">
        <w:rPr>
          <w:rFonts w:cstheme="minorHAnsi"/>
          <w:color w:val="auto"/>
        </w:rPr>
        <w:t>schools</w:t>
      </w:r>
      <w:r w:rsidR="00305C71">
        <w:rPr>
          <w:rFonts w:cstheme="minorHAnsi"/>
          <w:color w:val="auto"/>
        </w:rPr>
        <w:t xml:space="preserve"> from 2017 to 2021</w:t>
      </w:r>
      <w:r w:rsidR="002C6E73">
        <w:rPr>
          <w:rFonts w:cstheme="minorHAnsi"/>
          <w:color w:val="auto"/>
        </w:rPr>
        <w:t>. This is</w:t>
      </w:r>
      <w:r w:rsidR="00EE0823">
        <w:rPr>
          <w:rFonts w:cstheme="minorHAnsi"/>
          <w:color w:val="auto"/>
        </w:rPr>
        <w:t xml:space="preserve"> </w:t>
      </w:r>
      <w:r w:rsidR="007E6893">
        <w:rPr>
          <w:rFonts w:cstheme="minorHAnsi"/>
          <w:color w:val="auto"/>
        </w:rPr>
        <w:t>most prominent</w:t>
      </w:r>
      <w:r w:rsidR="00EE0823">
        <w:rPr>
          <w:rFonts w:cstheme="minorHAnsi"/>
          <w:color w:val="auto"/>
        </w:rPr>
        <w:t xml:space="preserve"> </w:t>
      </w:r>
      <w:r w:rsidR="007E6893">
        <w:rPr>
          <w:rFonts w:cstheme="minorHAnsi"/>
          <w:color w:val="auto"/>
        </w:rPr>
        <w:t xml:space="preserve">at the higher levels, </w:t>
      </w:r>
      <w:r w:rsidR="00B972FB">
        <w:rPr>
          <w:rFonts w:cstheme="minorHAnsi"/>
          <w:color w:val="auto"/>
        </w:rPr>
        <w:t>with</w:t>
      </w:r>
      <w:r w:rsidR="00AB1423">
        <w:rPr>
          <w:rFonts w:cstheme="minorHAnsi"/>
          <w:color w:val="auto"/>
        </w:rPr>
        <w:t xml:space="preserve"> </w:t>
      </w:r>
      <w:r w:rsidR="00B972FB">
        <w:rPr>
          <w:rFonts w:cstheme="minorHAnsi"/>
          <w:color w:val="auto"/>
        </w:rPr>
        <w:t>the</w:t>
      </w:r>
      <w:r w:rsidR="00AB1423">
        <w:rPr>
          <w:rFonts w:cstheme="minorHAnsi"/>
          <w:color w:val="auto"/>
        </w:rPr>
        <w:t xml:space="preserve"> UE rate </w:t>
      </w:r>
      <w:r w:rsidR="00914802">
        <w:rPr>
          <w:rFonts w:cstheme="minorHAnsi"/>
          <w:color w:val="auto"/>
        </w:rPr>
        <w:t xml:space="preserve">almost </w:t>
      </w:r>
      <w:r w:rsidR="00147E53">
        <w:rPr>
          <w:rFonts w:cstheme="minorHAnsi"/>
          <w:color w:val="auto"/>
        </w:rPr>
        <w:t>20 percentage</w:t>
      </w:r>
      <w:r w:rsidR="00D761A2">
        <w:rPr>
          <w:rFonts w:cstheme="minorHAnsi"/>
          <w:color w:val="auto"/>
        </w:rPr>
        <w:t xml:space="preserve"> points higher</w:t>
      </w:r>
      <w:r w:rsidR="00AB1423">
        <w:rPr>
          <w:rFonts w:cstheme="minorHAnsi"/>
          <w:color w:val="auto"/>
        </w:rPr>
        <w:t xml:space="preserve"> </w:t>
      </w:r>
      <w:r w:rsidR="00B972FB">
        <w:rPr>
          <w:rFonts w:cstheme="minorHAnsi"/>
          <w:color w:val="auto"/>
        </w:rPr>
        <w:t xml:space="preserve">for </w:t>
      </w:r>
      <w:r w:rsidR="00E31056">
        <w:rPr>
          <w:rFonts w:cstheme="minorHAnsi"/>
          <w:color w:val="auto"/>
        </w:rPr>
        <w:t>single-sex</w:t>
      </w:r>
      <w:r w:rsidR="00B972FB">
        <w:rPr>
          <w:rFonts w:cstheme="minorHAnsi"/>
          <w:color w:val="auto"/>
        </w:rPr>
        <w:t xml:space="preserve"> schools </w:t>
      </w:r>
      <w:r w:rsidR="00AB1423">
        <w:rPr>
          <w:rFonts w:cstheme="minorHAnsi"/>
          <w:color w:val="auto"/>
        </w:rPr>
        <w:t>than coeducational schools.</w:t>
      </w:r>
    </w:p>
    <w:p w14:paraId="0F99C6B0" w14:textId="14EAF234" w:rsidR="002B5BEB" w:rsidRDefault="002B5BEB" w:rsidP="002B5BEB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</w:t>
      </w:r>
      <w:r w:rsidR="00FA1679">
        <w:rPr>
          <w:rFonts w:cstheme="minorHAnsi"/>
          <w:color w:val="auto"/>
        </w:rPr>
        <w:t xml:space="preserve">UE </w:t>
      </w:r>
      <w:r w:rsidR="00B23CC3">
        <w:rPr>
          <w:rFonts w:cstheme="minorHAnsi"/>
          <w:color w:val="auto"/>
        </w:rPr>
        <w:t xml:space="preserve">attainment </w:t>
      </w:r>
      <w:r w:rsidR="00FA1679">
        <w:rPr>
          <w:rFonts w:cstheme="minorHAnsi"/>
          <w:color w:val="auto"/>
        </w:rPr>
        <w:t xml:space="preserve">rate is 18.8 percentage points higher for </w:t>
      </w:r>
      <w:r w:rsidR="00F749A7">
        <w:rPr>
          <w:rFonts w:cstheme="minorHAnsi"/>
          <w:color w:val="auto"/>
        </w:rPr>
        <w:t>single-sex</w:t>
      </w:r>
      <w:r w:rsidR="00902A1B">
        <w:rPr>
          <w:rFonts w:cstheme="minorHAnsi"/>
          <w:color w:val="auto"/>
        </w:rPr>
        <w:t xml:space="preserve"> schools</w:t>
      </w:r>
      <w:r w:rsidR="00DC5BED">
        <w:rPr>
          <w:rFonts w:cstheme="minorHAnsi"/>
          <w:color w:val="auto"/>
        </w:rPr>
        <w:t>.</w:t>
      </w:r>
    </w:p>
    <w:p w14:paraId="041A1BBE" w14:textId="1FC815B6" w:rsidR="0046132F" w:rsidRDefault="0046132F" w:rsidP="0046132F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The level 3 pass rate is 1</w:t>
      </w:r>
      <w:r w:rsidR="00E34FA8">
        <w:rPr>
          <w:rFonts w:cstheme="minorHAnsi"/>
          <w:color w:val="auto"/>
        </w:rPr>
        <w:t>6.2</w:t>
      </w:r>
      <w:r>
        <w:rPr>
          <w:rFonts w:cstheme="minorHAnsi"/>
          <w:color w:val="auto"/>
        </w:rPr>
        <w:t xml:space="preserve"> percentage points higher for </w:t>
      </w:r>
      <w:r w:rsidR="00F749A7">
        <w:rPr>
          <w:rFonts w:cstheme="minorHAnsi"/>
          <w:color w:val="auto"/>
        </w:rPr>
        <w:t>single-sex</w:t>
      </w:r>
      <w:r>
        <w:rPr>
          <w:rFonts w:cstheme="minorHAnsi"/>
          <w:color w:val="auto"/>
        </w:rPr>
        <w:t xml:space="preserve"> schools</w:t>
      </w:r>
      <w:r w:rsidR="00DC5BED">
        <w:rPr>
          <w:rFonts w:cstheme="minorHAnsi"/>
          <w:color w:val="auto"/>
        </w:rPr>
        <w:t>.</w:t>
      </w:r>
    </w:p>
    <w:p w14:paraId="5EFC4431" w14:textId="56E63580" w:rsidR="0046132F" w:rsidRDefault="0046132F" w:rsidP="0046132F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The level 2 pass rate is 1</w:t>
      </w:r>
      <w:r w:rsidR="00FA68FF">
        <w:rPr>
          <w:rFonts w:cstheme="minorHAnsi"/>
          <w:color w:val="auto"/>
        </w:rPr>
        <w:t>1</w:t>
      </w:r>
      <w:r>
        <w:rPr>
          <w:rFonts w:cstheme="minorHAnsi"/>
          <w:color w:val="auto"/>
        </w:rPr>
        <w:t>.</w:t>
      </w:r>
      <w:r w:rsidR="00FA68FF">
        <w:rPr>
          <w:rFonts w:cstheme="minorHAnsi"/>
          <w:color w:val="auto"/>
        </w:rPr>
        <w:t>6</w:t>
      </w:r>
      <w:r>
        <w:rPr>
          <w:rFonts w:cstheme="minorHAnsi"/>
          <w:color w:val="auto"/>
        </w:rPr>
        <w:t xml:space="preserve"> percentage points higher for </w:t>
      </w:r>
      <w:r w:rsidR="00F749A7">
        <w:rPr>
          <w:rFonts w:cstheme="minorHAnsi"/>
          <w:color w:val="auto"/>
        </w:rPr>
        <w:t>single-sex</w:t>
      </w:r>
      <w:r>
        <w:rPr>
          <w:rFonts w:cstheme="minorHAnsi"/>
          <w:color w:val="auto"/>
        </w:rPr>
        <w:t xml:space="preserve"> schools</w:t>
      </w:r>
      <w:r w:rsidR="00DC5BED">
        <w:rPr>
          <w:rFonts w:cstheme="minorHAnsi"/>
          <w:color w:val="auto"/>
        </w:rPr>
        <w:t>.</w:t>
      </w:r>
    </w:p>
    <w:p w14:paraId="53957498" w14:textId="4822EEA4" w:rsidR="007216A1" w:rsidRPr="00DC5BED" w:rsidRDefault="0046132F" w:rsidP="0035555C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 w:rsidRPr="00DC5BED">
        <w:rPr>
          <w:rFonts w:cstheme="minorHAnsi"/>
          <w:color w:val="auto"/>
        </w:rPr>
        <w:t xml:space="preserve">The level 1 pass rate is </w:t>
      </w:r>
      <w:r w:rsidR="00B23CC3" w:rsidRPr="00DC5BED">
        <w:rPr>
          <w:rFonts w:cstheme="minorHAnsi"/>
          <w:color w:val="auto"/>
        </w:rPr>
        <w:t>8</w:t>
      </w:r>
      <w:r w:rsidRPr="00DC5BED">
        <w:rPr>
          <w:rFonts w:cstheme="minorHAnsi"/>
          <w:color w:val="auto"/>
        </w:rPr>
        <w:t>.</w:t>
      </w:r>
      <w:r w:rsidR="00B23CC3" w:rsidRPr="00DC5BED">
        <w:rPr>
          <w:rFonts w:cstheme="minorHAnsi"/>
          <w:color w:val="auto"/>
        </w:rPr>
        <w:t>0</w:t>
      </w:r>
      <w:r w:rsidRPr="00DC5BED">
        <w:rPr>
          <w:rFonts w:cstheme="minorHAnsi"/>
          <w:color w:val="auto"/>
        </w:rPr>
        <w:t xml:space="preserve"> percentage points higher for </w:t>
      </w:r>
      <w:r w:rsidR="00F749A7">
        <w:rPr>
          <w:rFonts w:cstheme="minorHAnsi"/>
          <w:color w:val="auto"/>
        </w:rPr>
        <w:t>single-sex</w:t>
      </w:r>
      <w:r w:rsidRPr="00DC5BED">
        <w:rPr>
          <w:rFonts w:cstheme="minorHAnsi"/>
          <w:color w:val="auto"/>
        </w:rPr>
        <w:t xml:space="preserve"> schools</w:t>
      </w:r>
      <w:r w:rsidR="00DC5BED">
        <w:rPr>
          <w:rFonts w:cstheme="minorHAnsi"/>
          <w:color w:val="auto"/>
        </w:rPr>
        <w:t>.</w:t>
      </w:r>
    </w:p>
    <w:p w14:paraId="6ABC9DBD" w14:textId="5780D891" w:rsidR="00590F8F" w:rsidRDefault="00590F8F" w:rsidP="002152F0">
      <w:pPr>
        <w:rPr>
          <w:rFonts w:cstheme="minorHAnsi"/>
          <w:color w:val="auto"/>
        </w:rPr>
      </w:pPr>
      <w:r w:rsidRPr="00590F8F">
        <w:rPr>
          <w:rFonts w:cstheme="minorHAnsi"/>
          <w:color w:val="auto"/>
        </w:rPr>
        <w:t xml:space="preserve">This is strong evidence that males tend to perform better in </w:t>
      </w:r>
      <w:r w:rsidR="00F749A7">
        <w:rPr>
          <w:rFonts w:cstheme="minorHAnsi"/>
          <w:color w:val="auto"/>
        </w:rPr>
        <w:t>single-sex</w:t>
      </w:r>
      <w:r w:rsidRPr="00590F8F">
        <w:rPr>
          <w:rFonts w:cstheme="minorHAnsi"/>
          <w:color w:val="auto"/>
        </w:rPr>
        <w:t xml:space="preserve"> schools than in coeducational schools. </w:t>
      </w:r>
      <w:r w:rsidR="00112AE3">
        <w:rPr>
          <w:rFonts w:cstheme="minorHAnsi"/>
          <w:color w:val="auto"/>
        </w:rPr>
        <w:t xml:space="preserve">Because the </w:t>
      </w:r>
      <w:r w:rsidR="00405801">
        <w:rPr>
          <w:rFonts w:cstheme="minorHAnsi"/>
          <w:color w:val="auto"/>
        </w:rPr>
        <w:t>number of students sampled is so large (</w:t>
      </w:r>
      <w:r w:rsidR="00405801" w:rsidRPr="00405801">
        <w:rPr>
          <w:rFonts w:cstheme="minorHAnsi"/>
          <w:color w:val="auto"/>
        </w:rPr>
        <w:t>n = 155 630</w:t>
      </w:r>
      <w:r w:rsidR="00405801">
        <w:rPr>
          <w:rFonts w:cstheme="minorHAnsi"/>
          <w:color w:val="auto"/>
        </w:rPr>
        <w:t>)</w:t>
      </w:r>
      <w:r w:rsidR="00A63FA8">
        <w:rPr>
          <w:rFonts w:cstheme="minorHAnsi"/>
          <w:color w:val="auto"/>
        </w:rPr>
        <w:t xml:space="preserve">, we can </w:t>
      </w:r>
      <w:r w:rsidR="00C113B8">
        <w:rPr>
          <w:rFonts w:cstheme="minorHAnsi"/>
          <w:color w:val="auto"/>
        </w:rPr>
        <w:t>assert that this difference is statistically significant</w:t>
      </w:r>
      <w:r w:rsidR="00987988">
        <w:rPr>
          <w:rFonts w:cstheme="minorHAnsi"/>
          <w:color w:val="auto"/>
        </w:rPr>
        <w:t xml:space="preserve"> in correlation</w:t>
      </w:r>
      <w:r w:rsidR="009335E2">
        <w:rPr>
          <w:rFonts w:cstheme="minorHAnsi"/>
          <w:color w:val="auto"/>
        </w:rPr>
        <w:t xml:space="preserve">. </w:t>
      </w:r>
      <w:r w:rsidRPr="00590F8F">
        <w:rPr>
          <w:rFonts w:cstheme="minorHAnsi"/>
          <w:color w:val="auto"/>
        </w:rPr>
        <w:t xml:space="preserve">However, it is </w:t>
      </w:r>
      <w:r w:rsidR="003A61B1">
        <w:rPr>
          <w:rFonts w:cstheme="minorHAnsi"/>
          <w:color w:val="auto"/>
        </w:rPr>
        <w:t>essential</w:t>
      </w:r>
      <w:r w:rsidRPr="00590F8F">
        <w:rPr>
          <w:rFonts w:cstheme="minorHAnsi"/>
          <w:color w:val="auto"/>
        </w:rPr>
        <w:t xml:space="preserve"> to note that, while </w:t>
      </w:r>
      <w:r w:rsidRPr="003867F0">
        <w:rPr>
          <w:rFonts w:cstheme="minorHAnsi"/>
          <w:i/>
          <w:iCs/>
          <w:color w:val="auto"/>
        </w:rPr>
        <w:t>correlated</w:t>
      </w:r>
      <w:r w:rsidRPr="00590F8F">
        <w:rPr>
          <w:rFonts w:cstheme="minorHAnsi"/>
          <w:color w:val="auto"/>
        </w:rPr>
        <w:t xml:space="preserve">, the nature of this type of analysis is not statistically sufficient to </w:t>
      </w:r>
      <w:r w:rsidR="00B04AB5">
        <w:rPr>
          <w:rFonts w:cstheme="minorHAnsi"/>
          <w:color w:val="auto"/>
        </w:rPr>
        <w:t>claim</w:t>
      </w:r>
      <w:r w:rsidRPr="00590F8F">
        <w:rPr>
          <w:rFonts w:cstheme="minorHAnsi"/>
          <w:color w:val="auto"/>
        </w:rPr>
        <w:t xml:space="preserve"> </w:t>
      </w:r>
      <w:r w:rsidRPr="003867F0">
        <w:rPr>
          <w:rFonts w:cstheme="minorHAnsi"/>
          <w:i/>
          <w:iCs/>
          <w:color w:val="auto"/>
        </w:rPr>
        <w:t>causality</w:t>
      </w:r>
      <w:r w:rsidRPr="00590F8F">
        <w:rPr>
          <w:rFonts w:cstheme="minorHAnsi"/>
          <w:color w:val="auto"/>
        </w:rPr>
        <w:t xml:space="preserve"> between school</w:t>
      </w:r>
      <w:r w:rsidR="00EE22CA">
        <w:rPr>
          <w:rFonts w:cstheme="minorHAnsi"/>
          <w:color w:val="auto"/>
        </w:rPr>
        <w:t xml:space="preserve"> </w:t>
      </w:r>
      <w:r w:rsidR="00BE0093">
        <w:rPr>
          <w:rFonts w:cstheme="minorHAnsi"/>
          <w:color w:val="auto"/>
        </w:rPr>
        <w:t>type</w:t>
      </w:r>
      <w:r w:rsidRPr="00590F8F">
        <w:rPr>
          <w:rFonts w:cstheme="minorHAnsi"/>
          <w:color w:val="auto"/>
        </w:rPr>
        <w:t xml:space="preserve"> and academic outcome. The reasons behind this correlation are likely to be complex.</w:t>
      </w:r>
    </w:p>
    <w:p w14:paraId="15A457A7" w14:textId="10509169" w:rsidR="008F2A95" w:rsidRDefault="008C095A" w:rsidP="008F2A95">
      <w:pPr>
        <w:pStyle w:val="Heading2"/>
      </w:pPr>
      <w:bookmarkStart w:id="10" w:name="_Toc130862582"/>
      <w:r>
        <w:t xml:space="preserve">Spread in </w:t>
      </w:r>
      <w:r w:rsidR="00F20DED">
        <w:t>Achievement</w:t>
      </w:r>
      <w:bookmarkEnd w:id="10"/>
    </w:p>
    <w:p w14:paraId="674CB673" w14:textId="7DC856F4" w:rsidR="0060607B" w:rsidRDefault="008D7B99" w:rsidP="002152F0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It</w:t>
      </w:r>
      <w:r w:rsidR="00FB6792">
        <w:rPr>
          <w:rFonts w:cstheme="minorHAnsi"/>
          <w:color w:val="auto"/>
        </w:rPr>
        <w:t xml:space="preserve"> </w:t>
      </w:r>
      <w:r w:rsidR="00E02ADC">
        <w:rPr>
          <w:rFonts w:cstheme="minorHAnsi"/>
          <w:color w:val="auto"/>
        </w:rPr>
        <w:t>can</w:t>
      </w:r>
      <w:r>
        <w:rPr>
          <w:rFonts w:cstheme="minorHAnsi"/>
          <w:color w:val="auto"/>
        </w:rPr>
        <w:t xml:space="preserve"> </w:t>
      </w:r>
      <w:r w:rsidR="00E02ADC">
        <w:rPr>
          <w:rFonts w:cstheme="minorHAnsi"/>
          <w:color w:val="auto"/>
        </w:rPr>
        <w:t>be</w:t>
      </w:r>
      <w:r w:rsidR="00E22A6E">
        <w:rPr>
          <w:rFonts w:cstheme="minorHAnsi"/>
          <w:color w:val="auto"/>
        </w:rPr>
        <w:t xml:space="preserve"> observed </w:t>
      </w:r>
      <w:r w:rsidR="00FB6792">
        <w:rPr>
          <w:rFonts w:cstheme="minorHAnsi"/>
          <w:color w:val="auto"/>
        </w:rPr>
        <w:t xml:space="preserve">from </w:t>
      </w:r>
      <w:r w:rsidR="00FB6792">
        <w:rPr>
          <w:rFonts w:cstheme="minorHAnsi"/>
          <w:color w:val="auto"/>
        </w:rPr>
        <w:fldChar w:fldCharType="begin"/>
      </w:r>
      <w:r w:rsidR="00FB6792">
        <w:rPr>
          <w:rFonts w:cstheme="minorHAnsi"/>
          <w:color w:val="auto"/>
        </w:rPr>
        <w:instrText xml:space="preserve"> REF _Ref129537651 \h </w:instrText>
      </w:r>
      <w:r w:rsidR="00FB6792">
        <w:rPr>
          <w:rFonts w:cstheme="minorHAnsi"/>
          <w:color w:val="auto"/>
        </w:rPr>
      </w:r>
      <w:r w:rsidR="00FB6792"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1</w:t>
      </w:r>
      <w:r w:rsidR="00FB6792">
        <w:rPr>
          <w:rFonts w:cstheme="minorHAnsi"/>
          <w:color w:val="auto"/>
        </w:rPr>
        <w:fldChar w:fldCharType="end"/>
      </w:r>
      <w:r w:rsidR="00FB6792">
        <w:rPr>
          <w:rFonts w:cstheme="minorHAnsi"/>
          <w:color w:val="auto"/>
        </w:rPr>
        <w:t xml:space="preserve"> that </w:t>
      </w:r>
      <w:r w:rsidR="00914802">
        <w:rPr>
          <w:rFonts w:cstheme="minorHAnsi"/>
          <w:color w:val="auto"/>
        </w:rPr>
        <w:t>UE</w:t>
      </w:r>
      <w:r w:rsidR="00A44CBB">
        <w:rPr>
          <w:rFonts w:cstheme="minorHAnsi"/>
          <w:color w:val="auto"/>
        </w:rPr>
        <w:t xml:space="preserve"> attainment</w:t>
      </w:r>
      <w:r w:rsidR="00914802">
        <w:rPr>
          <w:rFonts w:cstheme="minorHAnsi"/>
          <w:color w:val="auto"/>
        </w:rPr>
        <w:t xml:space="preserve"> is</w:t>
      </w:r>
      <w:r w:rsidR="00F71222">
        <w:rPr>
          <w:rFonts w:cstheme="minorHAnsi"/>
          <w:color w:val="auto"/>
        </w:rPr>
        <w:t xml:space="preserve"> </w:t>
      </w:r>
      <w:r w:rsidR="00914802">
        <w:rPr>
          <w:rFonts w:cstheme="minorHAnsi"/>
          <w:color w:val="auto"/>
        </w:rPr>
        <w:t xml:space="preserve">the widest band </w:t>
      </w:r>
      <w:r w:rsidR="00147E53">
        <w:rPr>
          <w:rFonts w:cstheme="minorHAnsi"/>
          <w:color w:val="auto"/>
        </w:rPr>
        <w:t xml:space="preserve">for </w:t>
      </w:r>
      <w:r w:rsidR="001017A4">
        <w:rPr>
          <w:rFonts w:cstheme="minorHAnsi"/>
          <w:color w:val="auto"/>
        </w:rPr>
        <w:t xml:space="preserve">both coeducational and </w:t>
      </w:r>
      <w:r w:rsidR="00F749A7">
        <w:rPr>
          <w:rFonts w:cstheme="minorHAnsi"/>
          <w:color w:val="auto"/>
        </w:rPr>
        <w:t>single-sex</w:t>
      </w:r>
      <w:r w:rsidR="001017A4">
        <w:rPr>
          <w:rFonts w:cstheme="minorHAnsi"/>
          <w:color w:val="auto"/>
        </w:rPr>
        <w:t xml:space="preserve"> schools</w:t>
      </w:r>
      <w:r w:rsidR="00FA3838">
        <w:rPr>
          <w:rFonts w:cstheme="minorHAnsi"/>
          <w:color w:val="auto"/>
        </w:rPr>
        <w:t xml:space="preserve">, with lower </w:t>
      </w:r>
      <w:r w:rsidR="00A44CBB">
        <w:rPr>
          <w:rFonts w:cstheme="minorHAnsi"/>
          <w:color w:val="auto"/>
        </w:rPr>
        <w:t xml:space="preserve">qualification </w:t>
      </w:r>
      <w:r w:rsidR="00FA3838">
        <w:rPr>
          <w:rFonts w:cstheme="minorHAnsi"/>
          <w:color w:val="auto"/>
        </w:rPr>
        <w:t>bands</w:t>
      </w:r>
      <w:r w:rsidR="006600A3">
        <w:rPr>
          <w:rFonts w:cstheme="minorHAnsi"/>
          <w:color w:val="auto"/>
        </w:rPr>
        <w:t xml:space="preserve"> tending to</w:t>
      </w:r>
      <w:r w:rsidR="00A02D58">
        <w:rPr>
          <w:rFonts w:cstheme="minorHAnsi"/>
          <w:color w:val="auto"/>
        </w:rPr>
        <w:t xml:space="preserve"> </w:t>
      </w:r>
      <w:r w:rsidR="006600A3">
        <w:rPr>
          <w:rFonts w:cstheme="minorHAnsi"/>
          <w:color w:val="auto"/>
        </w:rPr>
        <w:t>be narrower</w:t>
      </w:r>
      <w:r w:rsidR="00FA3838">
        <w:rPr>
          <w:rFonts w:cstheme="minorHAnsi"/>
          <w:color w:val="auto"/>
        </w:rPr>
        <w:t>.</w:t>
      </w:r>
      <w:r w:rsidR="00F32E75">
        <w:rPr>
          <w:rFonts w:cstheme="minorHAnsi"/>
          <w:color w:val="auto"/>
        </w:rPr>
        <w:t xml:space="preserve"> This effect is more exaggerated for </w:t>
      </w:r>
      <w:r w:rsidR="002B7963">
        <w:rPr>
          <w:rFonts w:cstheme="minorHAnsi"/>
          <w:color w:val="auto"/>
        </w:rPr>
        <w:t xml:space="preserve">male </w:t>
      </w:r>
      <w:r w:rsidR="00F749A7">
        <w:rPr>
          <w:rFonts w:cstheme="minorHAnsi"/>
          <w:color w:val="auto"/>
        </w:rPr>
        <w:t>single-sex</w:t>
      </w:r>
      <w:r w:rsidR="002B7963">
        <w:rPr>
          <w:rFonts w:cstheme="minorHAnsi"/>
          <w:color w:val="auto"/>
        </w:rPr>
        <w:t xml:space="preserve"> leavers as the </w:t>
      </w:r>
      <w:r w:rsidR="00B34AED">
        <w:rPr>
          <w:rFonts w:cstheme="minorHAnsi"/>
          <w:color w:val="auto"/>
        </w:rPr>
        <w:t>higher percentage of</w:t>
      </w:r>
      <w:r w:rsidR="002B7963">
        <w:rPr>
          <w:rFonts w:cstheme="minorHAnsi"/>
          <w:color w:val="auto"/>
        </w:rPr>
        <w:t xml:space="preserve"> UE</w:t>
      </w:r>
      <w:r w:rsidR="00B34AED">
        <w:rPr>
          <w:rFonts w:cstheme="minorHAnsi"/>
          <w:color w:val="auto"/>
        </w:rPr>
        <w:t xml:space="preserve"> achievers forces </w:t>
      </w:r>
      <w:r w:rsidR="00194212">
        <w:rPr>
          <w:rFonts w:cstheme="minorHAnsi"/>
          <w:color w:val="auto"/>
        </w:rPr>
        <w:t>the percentage</w:t>
      </w:r>
      <w:r w:rsidR="002616E2">
        <w:rPr>
          <w:rFonts w:cstheme="minorHAnsi"/>
          <w:color w:val="auto"/>
        </w:rPr>
        <w:t>s</w:t>
      </w:r>
      <w:r w:rsidR="00194212">
        <w:rPr>
          <w:rFonts w:cstheme="minorHAnsi"/>
          <w:color w:val="auto"/>
        </w:rPr>
        <w:t xml:space="preserve"> of leavers with no qualification </w:t>
      </w:r>
      <w:r w:rsidR="00040B97">
        <w:rPr>
          <w:rFonts w:cstheme="minorHAnsi"/>
          <w:color w:val="auto"/>
        </w:rPr>
        <w:t xml:space="preserve">or </w:t>
      </w:r>
      <w:r w:rsidR="002616E2">
        <w:rPr>
          <w:rFonts w:cstheme="minorHAnsi"/>
          <w:color w:val="auto"/>
        </w:rPr>
        <w:t xml:space="preserve">only </w:t>
      </w:r>
      <w:r w:rsidR="00194212">
        <w:rPr>
          <w:rFonts w:cstheme="minorHAnsi"/>
          <w:color w:val="auto"/>
        </w:rPr>
        <w:t>level 1</w:t>
      </w:r>
      <w:r w:rsidR="00040B97">
        <w:rPr>
          <w:rFonts w:cstheme="minorHAnsi"/>
          <w:color w:val="auto"/>
        </w:rPr>
        <w:t xml:space="preserve"> </w:t>
      </w:r>
      <w:r w:rsidR="00F749A7">
        <w:rPr>
          <w:rFonts w:cstheme="minorHAnsi"/>
          <w:color w:val="auto"/>
        </w:rPr>
        <w:t xml:space="preserve">to be </w:t>
      </w:r>
      <w:r w:rsidR="00040B97">
        <w:rPr>
          <w:rFonts w:cstheme="minorHAnsi"/>
          <w:color w:val="auto"/>
        </w:rPr>
        <w:t>much smaller than</w:t>
      </w:r>
      <w:r w:rsidR="002616E2">
        <w:rPr>
          <w:rFonts w:cstheme="minorHAnsi"/>
          <w:color w:val="auto"/>
        </w:rPr>
        <w:t xml:space="preserve"> that of coeducational schools. </w:t>
      </w:r>
      <w:r w:rsidR="00CC74C6">
        <w:rPr>
          <w:rFonts w:cstheme="minorHAnsi"/>
          <w:color w:val="auto"/>
        </w:rPr>
        <w:t xml:space="preserve">This is a consequence of higher male achievement rates at </w:t>
      </w:r>
      <w:r w:rsidR="00F749A7">
        <w:rPr>
          <w:rFonts w:cstheme="minorHAnsi"/>
          <w:color w:val="auto"/>
        </w:rPr>
        <w:t>single-sex</w:t>
      </w:r>
      <w:r w:rsidR="006A6240">
        <w:rPr>
          <w:rFonts w:cstheme="minorHAnsi"/>
          <w:color w:val="auto"/>
        </w:rPr>
        <w:t xml:space="preserve"> schools compared to coeducational schools from 2017 - 2021.</w:t>
      </w:r>
    </w:p>
    <w:p w14:paraId="778E2FF8" w14:textId="1EA3F5F0" w:rsidR="001F394C" w:rsidRDefault="0060607B" w:rsidP="00E4037C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Also w</w:t>
      </w:r>
      <w:r w:rsidR="00F8285F">
        <w:rPr>
          <w:rFonts w:cstheme="minorHAnsi"/>
          <w:color w:val="auto"/>
        </w:rPr>
        <w:t xml:space="preserve">orthy of note </w:t>
      </w:r>
      <w:r w:rsidR="00A44CBB">
        <w:rPr>
          <w:rFonts w:cstheme="minorHAnsi"/>
          <w:color w:val="auto"/>
        </w:rPr>
        <w:t xml:space="preserve">are the </w:t>
      </w:r>
      <w:r w:rsidR="003A61B1">
        <w:rPr>
          <w:rFonts w:cstheme="minorHAnsi"/>
          <w:color w:val="auto"/>
        </w:rPr>
        <w:t>broad</w:t>
      </w:r>
      <w:r w:rsidR="00A44CBB">
        <w:rPr>
          <w:rFonts w:cstheme="minorHAnsi"/>
          <w:color w:val="auto"/>
        </w:rPr>
        <w:t xml:space="preserve"> level 2 attainment bands </w:t>
      </w:r>
      <w:r w:rsidR="005E2A71">
        <w:rPr>
          <w:rFonts w:cstheme="minorHAnsi"/>
          <w:color w:val="auto"/>
        </w:rPr>
        <w:t xml:space="preserve">for both coeducational and </w:t>
      </w:r>
      <w:r w:rsidR="00F749A7">
        <w:rPr>
          <w:rFonts w:cstheme="minorHAnsi"/>
          <w:color w:val="auto"/>
        </w:rPr>
        <w:t>single-sex</w:t>
      </w:r>
      <w:r w:rsidR="005E2A71">
        <w:rPr>
          <w:rFonts w:cstheme="minorHAnsi"/>
          <w:color w:val="auto"/>
        </w:rPr>
        <w:t xml:space="preserve"> schools. </w:t>
      </w:r>
      <w:r w:rsidR="009E64D6">
        <w:rPr>
          <w:rFonts w:cstheme="minorHAnsi"/>
          <w:color w:val="auto"/>
        </w:rPr>
        <w:t>They</w:t>
      </w:r>
      <w:r w:rsidR="005E2A71">
        <w:rPr>
          <w:rFonts w:cstheme="minorHAnsi"/>
          <w:color w:val="auto"/>
        </w:rPr>
        <w:t xml:space="preserve"> suggest an </w:t>
      </w:r>
      <w:r w:rsidR="003B0990" w:rsidRPr="003B0990">
        <w:rPr>
          <w:rFonts w:cstheme="minorHAnsi"/>
          <w:color w:val="auto"/>
        </w:rPr>
        <w:t>anomalous</w:t>
      </w:r>
      <w:r w:rsidR="003B0990">
        <w:rPr>
          <w:rFonts w:cstheme="minorHAnsi"/>
          <w:color w:val="auto"/>
        </w:rPr>
        <w:t>ly</w:t>
      </w:r>
      <w:r w:rsidR="003B0990" w:rsidRPr="003B0990">
        <w:rPr>
          <w:rFonts w:cstheme="minorHAnsi"/>
          <w:color w:val="auto"/>
        </w:rPr>
        <w:t xml:space="preserve"> </w:t>
      </w:r>
      <w:r w:rsidR="005E2A71">
        <w:rPr>
          <w:rFonts w:cstheme="minorHAnsi"/>
          <w:color w:val="auto"/>
        </w:rPr>
        <w:t xml:space="preserve">high number of </w:t>
      </w:r>
      <w:r w:rsidR="007768B5">
        <w:rPr>
          <w:rFonts w:cstheme="minorHAnsi"/>
          <w:color w:val="auto"/>
        </w:rPr>
        <w:t>s</w:t>
      </w:r>
      <w:r w:rsidR="003B0990">
        <w:rPr>
          <w:rFonts w:cstheme="minorHAnsi"/>
          <w:color w:val="auto"/>
        </w:rPr>
        <w:t xml:space="preserve">tudents from both types of school </w:t>
      </w:r>
      <w:r w:rsidR="00213870">
        <w:rPr>
          <w:rFonts w:cstheme="minorHAnsi"/>
          <w:color w:val="auto"/>
        </w:rPr>
        <w:t>do not pursue</w:t>
      </w:r>
      <w:r w:rsidR="00456E8D">
        <w:rPr>
          <w:rFonts w:cstheme="minorHAnsi"/>
          <w:color w:val="auto"/>
        </w:rPr>
        <w:t xml:space="preserve"> the NCEA pathway</w:t>
      </w:r>
      <w:r w:rsidR="00B91317">
        <w:rPr>
          <w:rFonts w:cstheme="minorHAnsi"/>
          <w:color w:val="auto"/>
        </w:rPr>
        <w:t xml:space="preserve"> to level 3 or UE</w:t>
      </w:r>
      <w:r w:rsidR="005B295A">
        <w:rPr>
          <w:rFonts w:cstheme="minorHAnsi"/>
          <w:color w:val="auto"/>
        </w:rPr>
        <w:t>, instead leaving after year 12.</w:t>
      </w:r>
      <w:r w:rsidR="0067335D">
        <w:rPr>
          <w:rFonts w:cstheme="minorHAnsi"/>
          <w:color w:val="auto"/>
        </w:rPr>
        <w:t xml:space="preserve"> </w:t>
      </w:r>
      <w:r w:rsidR="00FA6607">
        <w:rPr>
          <w:rFonts w:cstheme="minorHAnsi"/>
          <w:color w:val="auto"/>
        </w:rPr>
        <w:t>One</w:t>
      </w:r>
      <w:r w:rsidR="0067335D">
        <w:rPr>
          <w:rFonts w:cstheme="minorHAnsi"/>
          <w:color w:val="auto"/>
        </w:rPr>
        <w:t xml:space="preserve"> possible explanation of this phenomenon is that </w:t>
      </w:r>
      <w:r w:rsidR="005B295A">
        <w:rPr>
          <w:rFonts w:cstheme="minorHAnsi"/>
          <w:color w:val="auto"/>
        </w:rPr>
        <w:t>a significant number of students</w:t>
      </w:r>
      <w:r w:rsidR="001A3319">
        <w:rPr>
          <w:rFonts w:cstheme="minorHAnsi"/>
          <w:color w:val="auto"/>
        </w:rPr>
        <w:t xml:space="preserve"> </w:t>
      </w:r>
      <w:r w:rsidR="00C84910">
        <w:rPr>
          <w:rFonts w:cstheme="minorHAnsi"/>
          <w:color w:val="auto"/>
        </w:rPr>
        <w:t>take up the opportunity to</w:t>
      </w:r>
      <w:r w:rsidR="001A3319">
        <w:rPr>
          <w:rFonts w:cstheme="minorHAnsi"/>
          <w:color w:val="auto"/>
        </w:rPr>
        <w:t xml:space="preserve"> legally leave school upon</w:t>
      </w:r>
      <w:r w:rsidR="0067335D">
        <w:rPr>
          <w:rFonts w:cstheme="minorHAnsi"/>
          <w:color w:val="auto"/>
        </w:rPr>
        <w:t xml:space="preserve"> </w:t>
      </w:r>
      <w:r w:rsidR="00FA6607">
        <w:rPr>
          <w:rFonts w:cstheme="minorHAnsi"/>
          <w:color w:val="auto"/>
        </w:rPr>
        <w:t>turn</w:t>
      </w:r>
      <w:r w:rsidR="001A3319">
        <w:rPr>
          <w:rFonts w:cstheme="minorHAnsi"/>
          <w:color w:val="auto"/>
        </w:rPr>
        <w:t>ing</w:t>
      </w:r>
      <w:r w:rsidR="00FA6607">
        <w:rPr>
          <w:rFonts w:cstheme="minorHAnsi"/>
          <w:color w:val="auto"/>
        </w:rPr>
        <w:t xml:space="preserve"> </w:t>
      </w:r>
      <w:proofErr w:type="gramStart"/>
      <w:r w:rsidR="00FA6607">
        <w:rPr>
          <w:rFonts w:cstheme="minorHAnsi"/>
          <w:color w:val="auto"/>
        </w:rPr>
        <w:t>16</w:t>
      </w:r>
      <w:r w:rsidR="00C84910">
        <w:rPr>
          <w:rFonts w:cstheme="minorHAnsi"/>
          <w:color w:val="auto"/>
        </w:rPr>
        <w:t>, but</w:t>
      </w:r>
      <w:proofErr w:type="gramEnd"/>
      <w:r w:rsidR="00C84910">
        <w:rPr>
          <w:rFonts w:cstheme="minorHAnsi"/>
          <w:color w:val="auto"/>
        </w:rPr>
        <w:t xml:space="preserve"> decide to </w:t>
      </w:r>
      <w:r w:rsidR="0017386E">
        <w:rPr>
          <w:rFonts w:cstheme="minorHAnsi"/>
          <w:color w:val="auto"/>
        </w:rPr>
        <w:t>complet</w:t>
      </w:r>
      <w:r w:rsidR="00C84910">
        <w:rPr>
          <w:rFonts w:cstheme="minorHAnsi"/>
          <w:color w:val="auto"/>
        </w:rPr>
        <w:t xml:space="preserve">e their year of study first (typically </w:t>
      </w:r>
      <w:r w:rsidR="0017386E">
        <w:rPr>
          <w:rFonts w:cstheme="minorHAnsi"/>
          <w:color w:val="auto"/>
        </w:rPr>
        <w:t>NCEA level 2</w:t>
      </w:r>
      <w:r w:rsidR="00C84910">
        <w:rPr>
          <w:rFonts w:cstheme="minorHAnsi"/>
          <w:color w:val="auto"/>
        </w:rPr>
        <w:t xml:space="preserve"> in year 12).</w:t>
      </w:r>
      <w:r w:rsidR="00F225A8">
        <w:rPr>
          <w:rFonts w:cstheme="minorHAnsi"/>
          <w:color w:val="auto"/>
        </w:rPr>
        <w:t xml:space="preserve"> An understanding of</w:t>
      </w:r>
      <w:r w:rsidR="00415BDD">
        <w:rPr>
          <w:rFonts w:cstheme="minorHAnsi"/>
          <w:color w:val="auto"/>
        </w:rPr>
        <w:t xml:space="preserve"> these</w:t>
      </w:r>
      <w:r w:rsidR="00F225A8">
        <w:rPr>
          <w:rFonts w:cstheme="minorHAnsi"/>
          <w:color w:val="auto"/>
        </w:rPr>
        <w:t xml:space="preserve"> </w:t>
      </w:r>
      <w:r w:rsidR="00415BDD">
        <w:rPr>
          <w:rFonts w:cstheme="minorHAnsi"/>
          <w:color w:val="auto"/>
        </w:rPr>
        <w:t>students’</w:t>
      </w:r>
      <w:r w:rsidR="00F225A8">
        <w:rPr>
          <w:rFonts w:cstheme="minorHAnsi"/>
          <w:color w:val="auto"/>
        </w:rPr>
        <w:t xml:space="preserve"> reasons for leaving sc</w:t>
      </w:r>
      <w:r w:rsidR="00415BDD">
        <w:rPr>
          <w:rFonts w:cstheme="minorHAnsi"/>
          <w:color w:val="auto"/>
        </w:rPr>
        <w:t>hool after year 12 (e.g.</w:t>
      </w:r>
      <w:r w:rsidR="00356861">
        <w:rPr>
          <w:rFonts w:cstheme="minorHAnsi"/>
          <w:color w:val="auto"/>
        </w:rPr>
        <w:t>,</w:t>
      </w:r>
      <w:r w:rsidR="00415BDD">
        <w:rPr>
          <w:rFonts w:cstheme="minorHAnsi"/>
          <w:color w:val="auto"/>
        </w:rPr>
        <w:t xml:space="preserve"> </w:t>
      </w:r>
      <w:r w:rsidR="00356861">
        <w:rPr>
          <w:rFonts w:cstheme="minorHAnsi"/>
          <w:color w:val="auto"/>
        </w:rPr>
        <w:t xml:space="preserve">potentially </w:t>
      </w:r>
      <w:r w:rsidR="00415BDD">
        <w:rPr>
          <w:rFonts w:cstheme="minorHAnsi"/>
          <w:color w:val="auto"/>
        </w:rPr>
        <w:t xml:space="preserve">to </w:t>
      </w:r>
      <w:r w:rsidR="00C10352">
        <w:rPr>
          <w:rFonts w:cstheme="minorHAnsi"/>
          <w:color w:val="auto"/>
        </w:rPr>
        <w:t>pursue</w:t>
      </w:r>
      <w:r w:rsidR="00415BDD">
        <w:rPr>
          <w:rFonts w:cstheme="minorHAnsi"/>
          <w:color w:val="auto"/>
        </w:rPr>
        <w:t xml:space="preserve"> trades</w:t>
      </w:r>
      <w:r w:rsidR="00356861">
        <w:rPr>
          <w:rFonts w:cstheme="minorHAnsi"/>
          <w:color w:val="auto"/>
        </w:rPr>
        <w:t xml:space="preserve">) </w:t>
      </w:r>
      <w:r w:rsidR="00415BDD">
        <w:rPr>
          <w:rFonts w:cstheme="minorHAnsi"/>
          <w:color w:val="auto"/>
        </w:rPr>
        <w:t>is required</w:t>
      </w:r>
      <w:r w:rsidR="00356861">
        <w:rPr>
          <w:rFonts w:cstheme="minorHAnsi"/>
          <w:color w:val="auto"/>
        </w:rPr>
        <w:t xml:space="preserve"> before </w:t>
      </w:r>
      <w:r w:rsidR="00AB7D67">
        <w:rPr>
          <w:rFonts w:cstheme="minorHAnsi"/>
          <w:color w:val="auto"/>
        </w:rPr>
        <w:t xml:space="preserve">a judgement </w:t>
      </w:r>
      <w:r w:rsidR="003457EF">
        <w:rPr>
          <w:rFonts w:cstheme="minorHAnsi"/>
          <w:color w:val="auto"/>
        </w:rPr>
        <w:t xml:space="preserve">can be made </w:t>
      </w:r>
      <w:r w:rsidR="009A42C1">
        <w:rPr>
          <w:rFonts w:cstheme="minorHAnsi"/>
          <w:color w:val="auto"/>
        </w:rPr>
        <w:t>on</w:t>
      </w:r>
      <w:r w:rsidR="00AB7D67">
        <w:rPr>
          <w:rFonts w:cstheme="minorHAnsi"/>
          <w:color w:val="auto"/>
        </w:rPr>
        <w:t xml:space="preserve"> whether </w:t>
      </w:r>
      <w:r w:rsidR="00A00200">
        <w:rPr>
          <w:rFonts w:cstheme="minorHAnsi"/>
          <w:color w:val="auto"/>
        </w:rPr>
        <w:t>this is an issue.</w:t>
      </w:r>
    </w:p>
    <w:p w14:paraId="1BE80A95" w14:textId="283AFCC2" w:rsidR="002152F0" w:rsidRDefault="002152F0" w:rsidP="002152F0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4C826238" w14:textId="60CA4FDD" w:rsidR="002152F0" w:rsidRDefault="004538CE" w:rsidP="00CF5961">
      <w:pPr>
        <w:pStyle w:val="Heading1"/>
        <w:rPr>
          <w:noProof/>
          <w:sz w:val="12"/>
          <w:szCs w:val="12"/>
        </w:rPr>
      </w:pPr>
      <w:bookmarkStart w:id="11" w:name="_Toc130862583"/>
      <w:r>
        <w:lastRenderedPageBreak/>
        <w:t>Disaggregated by Year</w:t>
      </w:r>
      <w:r w:rsidR="00CF5961">
        <w:br/>
      </w:r>
      <w:r w:rsidR="008C5D34">
        <w:rPr>
          <w:noProof/>
          <w:sz w:val="12"/>
          <w:szCs w:val="12"/>
        </w:rPr>
        <w:pict w14:anchorId="177F7506">
          <v:rect id="_x0000_i1029" style="width:451.3pt;height:1.5pt" o:hrstd="t" o:hr="t" fillcolor="#a0a0a0" stroked="f"/>
        </w:pict>
      </w:r>
      <w:bookmarkEnd w:id="11"/>
    </w:p>
    <w:p w14:paraId="7E3B5072" w14:textId="7B393F0B" w:rsidR="00371778" w:rsidRPr="007C47F7" w:rsidRDefault="00371778" w:rsidP="00371778">
      <w:pPr>
        <w:pStyle w:val="Caption"/>
        <w:rPr>
          <w:rFonts w:cstheme="minorBidi"/>
          <w:color w:val="auto"/>
        </w:rPr>
      </w:pPr>
      <w:bookmarkStart w:id="12" w:name="_Ref130205640"/>
      <w:bookmarkStart w:id="13" w:name="_Ref129796344"/>
      <w:r>
        <w:t xml:space="preserve">Table </w:t>
      </w:r>
      <w:r w:rsidR="008C5D34">
        <w:fldChar w:fldCharType="begin"/>
      </w:r>
      <w:r w:rsidR="008C5D34">
        <w:instrText xml:space="preserve"> SEQ Table \* ARABIC </w:instrText>
      </w:r>
      <w:r w:rsidR="008C5D34">
        <w:fldChar w:fldCharType="separate"/>
      </w:r>
      <w:r w:rsidR="008C5D34">
        <w:rPr>
          <w:noProof/>
        </w:rPr>
        <w:t>2</w:t>
      </w:r>
      <w:r w:rsidR="008C5D34">
        <w:rPr>
          <w:noProof/>
        </w:rPr>
        <w:fldChar w:fldCharType="end"/>
      </w:r>
      <w:bookmarkEnd w:id="12"/>
      <w:r>
        <w:t xml:space="preserve">. Percentage of male NZ secondary school leavers attaining </w:t>
      </w:r>
      <w:r w:rsidRPr="00CC2A4E">
        <w:t>each</w:t>
      </w:r>
      <w:r>
        <w:t xml:space="preserve"> level of qualification, disaggregated by </w:t>
      </w:r>
      <w:r w:rsidR="00F31BF3">
        <w:t>school type</w:t>
      </w:r>
      <w:r>
        <w:t xml:space="preserve"> and year of leaving</w:t>
      </w:r>
      <w:r w:rsidR="00691CBD">
        <w:t xml:space="preserve"> (n = </w:t>
      </w:r>
      <w:r w:rsidR="00691CBD" w:rsidRPr="00691CBD">
        <w:t>155</w:t>
      </w:r>
      <w:r w:rsidR="00691CBD">
        <w:t xml:space="preserve"> </w:t>
      </w:r>
      <w:r w:rsidR="00691CBD" w:rsidRPr="00691CBD">
        <w:t>630</w:t>
      </w:r>
      <w:r w:rsidR="00691CBD">
        <w:t>)</w:t>
      </w:r>
      <w:r>
        <w:t>.</w:t>
      </w:r>
      <w:bookmarkEnd w:id="13"/>
    </w:p>
    <w:tbl>
      <w:tblPr>
        <w:tblStyle w:val="TableGrid"/>
        <w:tblW w:w="5812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1276"/>
        <w:gridCol w:w="1276"/>
      </w:tblGrid>
      <w:tr w:rsidR="00371778" w14:paraId="1D6F54CA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448A1AFA" w14:textId="77777777" w:rsidR="00371778" w:rsidRPr="00D67BB0" w:rsidRDefault="00371778" w:rsidP="008C07EF">
            <w:pPr>
              <w:jc w:val="center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Year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vAlign w:val="center"/>
          </w:tcPr>
          <w:p w14:paraId="0139C283" w14:textId="77777777" w:rsidR="00371778" w:rsidRDefault="0037177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Highest Qualification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1FE7DF54" w14:textId="77777777" w:rsidR="00371778" w:rsidRDefault="0037177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 xml:space="preserve">Percentage of </w:t>
            </w:r>
            <w:r w:rsidRPr="00D67BB0">
              <w:rPr>
                <w:rFonts w:cstheme="minorBidi"/>
                <w:b/>
                <w:bCs/>
                <w:color w:val="auto"/>
              </w:rPr>
              <w:t>Students</w:t>
            </w:r>
          </w:p>
        </w:tc>
      </w:tr>
      <w:tr w:rsidR="00371778" w14:paraId="46B44A82" w14:textId="77777777" w:rsidTr="008C07EF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53147BFF" w14:textId="77777777" w:rsidR="00371778" w:rsidRDefault="00371778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vAlign w:val="center"/>
          </w:tcPr>
          <w:p w14:paraId="53E5C714" w14:textId="77777777" w:rsidR="00371778" w:rsidRDefault="00371778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1133FE7" w14:textId="77777777" w:rsidR="00371778" w:rsidRDefault="0037177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Co-Ed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4A876180" w14:textId="36863483" w:rsidR="00371778" w:rsidRDefault="00371778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Single</w:t>
            </w:r>
            <w:r w:rsidR="000B36E5">
              <w:rPr>
                <w:rFonts w:cstheme="minorHAnsi"/>
                <w:b/>
                <w:bCs/>
                <w:color w:val="auto"/>
              </w:rPr>
              <w:t>-</w:t>
            </w:r>
            <w:r w:rsidRPr="00D67BB0">
              <w:rPr>
                <w:rFonts w:cstheme="minorHAnsi"/>
                <w:b/>
                <w:bCs/>
                <w:color w:val="auto"/>
              </w:rPr>
              <w:t>Sex</w:t>
            </w:r>
          </w:p>
        </w:tc>
      </w:tr>
      <w:tr w:rsidR="00C77135" w14:paraId="70DE1317" w14:textId="77777777" w:rsidTr="00C77135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0D9B435B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2017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1873C3A4" w14:textId="7777777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2C252C4B" w14:textId="5230108C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12.8%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2920F830" w14:textId="73478CBA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5.3%</w:t>
            </w:r>
          </w:p>
        </w:tc>
      </w:tr>
      <w:tr w:rsidR="00C77135" w14:paraId="6E7CEE59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28F4867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1DD95264" w14:textId="7777777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53A77EF" w14:textId="5092D01C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11.2%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F17C8BE" w14:textId="525428CD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6.5%</w:t>
            </w:r>
          </w:p>
        </w:tc>
      </w:tr>
      <w:tr w:rsidR="00C77135" w14:paraId="57172A6E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49D0B78E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71E99BA" w14:textId="7777777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BFC57EE" w14:textId="0E066E51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31.9%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AC5F365" w14:textId="78C570DF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26.0%</w:t>
            </w:r>
          </w:p>
        </w:tc>
      </w:tr>
      <w:tr w:rsidR="00C77135" w14:paraId="441BCC41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2EC39567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20476949" w14:textId="7777777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E9ED954" w14:textId="05BC9C6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14.9%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F04541D" w14:textId="4711C93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13.3%</w:t>
            </w:r>
          </w:p>
        </w:tc>
      </w:tr>
      <w:tr w:rsidR="00C77135" w14:paraId="1D1FE653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7977ACC8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7F2C6652" w14:textId="77777777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655E46C2" w14:textId="788D169B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29.1%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6CCD5AC3" w14:textId="0F2F4AB1" w:rsidR="00C77135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48.9%</w:t>
            </w:r>
          </w:p>
        </w:tc>
      </w:tr>
      <w:tr w:rsidR="00C77135" w14:paraId="5C60FEDD" w14:textId="77777777" w:rsidTr="00C77135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6BD3BED0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2018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354C2866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5B6AE31" w14:textId="572A8CE3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13.8%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C455F2D" w14:textId="3D7DF804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5.8%</w:t>
            </w:r>
          </w:p>
        </w:tc>
      </w:tr>
      <w:tr w:rsidR="00C77135" w14:paraId="76E0558C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01E42FF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3FCFAE3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B31D6E4" w14:textId="3FE118D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11.4%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20DCF8E" w14:textId="668A9D1D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7.4%</w:t>
            </w:r>
          </w:p>
        </w:tc>
      </w:tr>
      <w:tr w:rsidR="00C77135" w14:paraId="796A65B6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73EC955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EBE83E4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DD69CA4" w14:textId="7D5E972F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30.6%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D441F1D" w14:textId="5995B9F8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25.2%</w:t>
            </w:r>
          </w:p>
        </w:tc>
      </w:tr>
      <w:tr w:rsidR="00C77135" w14:paraId="059F4816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01CCF094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2E36222D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DC9EBF8" w14:textId="5135CBE2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15.2%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66E6ED8" w14:textId="5891772E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13.2%</w:t>
            </w:r>
          </w:p>
        </w:tc>
      </w:tr>
      <w:tr w:rsidR="00C77135" w14:paraId="50789753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4A9D31F5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0B92662A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A660ACA" w14:textId="1911B6B2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29.1%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7B89D56" w14:textId="60EDEE52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48.4%</w:t>
            </w:r>
          </w:p>
        </w:tc>
      </w:tr>
      <w:tr w:rsidR="00C77135" w14:paraId="0CA5ACE8" w14:textId="77777777" w:rsidTr="00C77135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3D523600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2019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15EE7897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7895037B" w14:textId="066E4B1A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15.1%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7B38298" w14:textId="53E4FFBE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6.6%</w:t>
            </w:r>
          </w:p>
        </w:tc>
      </w:tr>
      <w:tr w:rsidR="00C77135" w14:paraId="5CE7C799" w14:textId="77777777" w:rsidTr="00C77135">
        <w:trPr>
          <w:trHeight w:val="340"/>
        </w:trPr>
        <w:tc>
          <w:tcPr>
            <w:tcW w:w="1276" w:type="dxa"/>
            <w:vMerge/>
            <w:vAlign w:val="center"/>
          </w:tcPr>
          <w:p w14:paraId="4AE6EFC9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1889D201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A4A3DFC" w14:textId="4F8521C1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10.7%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D38F3A5" w14:textId="033B0AEE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7.4%</w:t>
            </w:r>
          </w:p>
        </w:tc>
      </w:tr>
      <w:tr w:rsidR="00C77135" w14:paraId="3A59781D" w14:textId="77777777" w:rsidTr="00C77135">
        <w:trPr>
          <w:trHeight w:val="340"/>
        </w:trPr>
        <w:tc>
          <w:tcPr>
            <w:tcW w:w="1276" w:type="dxa"/>
            <w:vMerge/>
            <w:vAlign w:val="center"/>
          </w:tcPr>
          <w:p w14:paraId="42E11D70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13317E5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0288D99" w14:textId="40084375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29.3%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ECD0585" w14:textId="525E34C0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24.3%</w:t>
            </w:r>
          </w:p>
        </w:tc>
      </w:tr>
      <w:tr w:rsidR="00C77135" w14:paraId="37CEDD4C" w14:textId="77777777" w:rsidTr="00C77135">
        <w:trPr>
          <w:trHeight w:val="340"/>
        </w:trPr>
        <w:tc>
          <w:tcPr>
            <w:tcW w:w="1276" w:type="dxa"/>
            <w:vMerge/>
            <w:vAlign w:val="center"/>
          </w:tcPr>
          <w:p w14:paraId="1561BE3D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1CBEB7F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7164FF6" w14:textId="2EDA5FA1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16.4%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E066EA0" w14:textId="528A5E3F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13.4%</w:t>
            </w:r>
          </w:p>
        </w:tc>
      </w:tr>
      <w:tr w:rsidR="00C77135" w14:paraId="58158046" w14:textId="77777777" w:rsidTr="00C77135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160C790A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778C3298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587DF9BD" w14:textId="5D0A55EB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28.5%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73E29FB3" w14:textId="36F1B329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48.3%</w:t>
            </w:r>
          </w:p>
        </w:tc>
      </w:tr>
      <w:tr w:rsidR="00C77135" w14:paraId="0AFF58A7" w14:textId="77777777" w:rsidTr="00C77135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4BE6ED26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2020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75249DF9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18CD4B20" w14:textId="640356BA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14.2%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16C7D33C" w14:textId="2DFE2BD9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6.3%</w:t>
            </w:r>
          </w:p>
        </w:tc>
      </w:tr>
      <w:tr w:rsidR="00C77135" w14:paraId="41DF308E" w14:textId="77777777" w:rsidTr="00C77135">
        <w:trPr>
          <w:trHeight w:val="340"/>
        </w:trPr>
        <w:tc>
          <w:tcPr>
            <w:tcW w:w="1276" w:type="dxa"/>
            <w:vMerge/>
            <w:vAlign w:val="center"/>
          </w:tcPr>
          <w:p w14:paraId="00F8A676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E169B49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45035FC" w14:textId="0D7D05D1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9.3%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433CA28" w14:textId="20DD48AA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6.2%</w:t>
            </w:r>
          </w:p>
        </w:tc>
      </w:tr>
      <w:tr w:rsidR="00C77135" w14:paraId="07208637" w14:textId="77777777" w:rsidTr="00C77135">
        <w:trPr>
          <w:trHeight w:val="340"/>
        </w:trPr>
        <w:tc>
          <w:tcPr>
            <w:tcW w:w="1276" w:type="dxa"/>
            <w:vMerge/>
            <w:vAlign w:val="center"/>
          </w:tcPr>
          <w:p w14:paraId="2A569120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60A54C9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5638CE4" w14:textId="062BB49C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25.6%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720F9EB" w14:textId="3CCCBF49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22.7%</w:t>
            </w:r>
          </w:p>
        </w:tc>
      </w:tr>
      <w:tr w:rsidR="00C77135" w14:paraId="47BBDCFF" w14:textId="77777777" w:rsidTr="00C77135">
        <w:trPr>
          <w:trHeight w:val="340"/>
        </w:trPr>
        <w:tc>
          <w:tcPr>
            <w:tcW w:w="1276" w:type="dxa"/>
            <w:vMerge/>
            <w:vAlign w:val="center"/>
          </w:tcPr>
          <w:p w14:paraId="05C9974B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21BDCB46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92C0AA9" w14:textId="5F07908B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17.9%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9A19AC8" w14:textId="1BFC11CA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14.2%</w:t>
            </w:r>
          </w:p>
        </w:tc>
      </w:tr>
      <w:tr w:rsidR="00C77135" w14:paraId="7FB147B8" w14:textId="77777777" w:rsidTr="00C77135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0D1A03AC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3A0B9994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6A0F902A" w14:textId="1FD303C3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33.0%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721A8D72" w14:textId="37C9AEDF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50.6%</w:t>
            </w:r>
          </w:p>
        </w:tc>
      </w:tr>
      <w:tr w:rsidR="00C77135" w14:paraId="5CCEE175" w14:textId="77777777" w:rsidTr="00C77135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4F19610B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2021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1BACBEF0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D25ABCB" w14:textId="5C3A6202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15.5%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393C63D6" w14:textId="041793DA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7.8%</w:t>
            </w:r>
          </w:p>
        </w:tc>
      </w:tr>
      <w:tr w:rsidR="00C77135" w14:paraId="4F941938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07AC21BF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1974080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2925D78" w14:textId="02E11AAD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10.3%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4189EE2" w14:textId="0C918EAD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7.4%</w:t>
            </w:r>
          </w:p>
        </w:tc>
      </w:tr>
      <w:tr w:rsidR="00C77135" w14:paraId="65A905CB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7F98605E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13B5ECFD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5515CAF" w14:textId="79B8030E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27.2%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D5D76F2" w14:textId="541B4E2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24.2%</w:t>
            </w:r>
          </w:p>
        </w:tc>
      </w:tr>
      <w:tr w:rsidR="00C77135" w14:paraId="1763C825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20501B75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C3A21C2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D2DE98B" w14:textId="1ADFAB30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16.9%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56539B7" w14:textId="34E75C23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13.4%</w:t>
            </w:r>
          </w:p>
        </w:tc>
      </w:tr>
      <w:tr w:rsidR="00C77135" w14:paraId="6C6356D1" w14:textId="77777777" w:rsidTr="00C77135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6A0202CA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6A31E6EE" w14:textId="77777777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177539B7" w14:textId="1D032B52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30.0%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733E19F" w14:textId="5E1F756A" w:rsidR="00C77135" w:rsidRPr="00D67BB0" w:rsidRDefault="00C77135" w:rsidP="00C77135">
            <w:pPr>
              <w:jc w:val="center"/>
              <w:rPr>
                <w:rFonts w:cstheme="minorHAnsi"/>
                <w:color w:val="auto"/>
              </w:rPr>
            </w:pPr>
            <w:r w:rsidRPr="000B6976">
              <w:t>47.2%</w:t>
            </w:r>
          </w:p>
        </w:tc>
      </w:tr>
    </w:tbl>
    <w:p w14:paraId="3A0689C3" w14:textId="77777777" w:rsidR="00371778" w:rsidRDefault="00371778" w:rsidP="0037177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3E5BB795" w14:textId="7827CABC" w:rsidR="008C287C" w:rsidRDefault="00304E42" w:rsidP="008C287C">
      <w:pPr>
        <w:rPr>
          <w:rFonts w:cstheme="minorHAnsi"/>
          <w:color w:val="auto"/>
        </w:rPr>
      </w:pPr>
      <w:r>
        <w:rPr>
          <w:rFonts w:cstheme="minorHAnsi"/>
          <w:noProof/>
          <w:color w:val="auto"/>
        </w:rPr>
        <w:lastRenderedPageBreak/>
        <w:drawing>
          <wp:inline distT="0" distB="0" distL="0" distR="0" wp14:anchorId="27F05603" wp14:editId="1F0AB0A7">
            <wp:extent cx="57245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AE83" w14:textId="705CE98E" w:rsidR="008C287C" w:rsidRDefault="008C287C" w:rsidP="008C287C">
      <w:pPr>
        <w:pStyle w:val="Caption"/>
        <w:rPr>
          <w:rFonts w:cstheme="minorHAnsi"/>
          <w:color w:val="auto"/>
        </w:rPr>
      </w:pPr>
      <w:bookmarkStart w:id="14" w:name="_Ref130657393"/>
      <w:r>
        <w:t xml:space="preserve">Figure </w:t>
      </w:r>
      <w:r w:rsidR="008C5D34">
        <w:fldChar w:fldCharType="begin"/>
      </w:r>
      <w:r w:rsidR="008C5D34">
        <w:instrText xml:space="preserve"> SEQ Figure \* ARABIC </w:instrText>
      </w:r>
      <w:r w:rsidR="008C5D34">
        <w:fldChar w:fldCharType="separate"/>
      </w:r>
      <w:r w:rsidR="008C5D34">
        <w:rPr>
          <w:noProof/>
        </w:rPr>
        <w:t>2</w:t>
      </w:r>
      <w:r w:rsidR="008C5D34">
        <w:rPr>
          <w:noProof/>
        </w:rPr>
        <w:fldChar w:fldCharType="end"/>
      </w:r>
      <w:bookmarkEnd w:id="14"/>
      <w:r>
        <w:t xml:space="preserve">. Generated from </w:t>
      </w:r>
      <w:r>
        <w:fldChar w:fldCharType="begin"/>
      </w:r>
      <w:r>
        <w:instrText xml:space="preserve"> REF _Ref129796344 \h </w:instrText>
      </w:r>
      <w:r>
        <w:fldChar w:fldCharType="separate"/>
      </w:r>
      <w:r w:rsidR="008C5D34">
        <w:t xml:space="preserve">Table </w:t>
      </w:r>
      <w:r w:rsidR="008C5D34">
        <w:rPr>
          <w:noProof/>
        </w:rPr>
        <w:t>2</w:t>
      </w:r>
      <w:r w:rsidR="008C5D34">
        <w:t xml:space="preserve">. Percentage of male NZ secondary school leavers attaining </w:t>
      </w:r>
      <w:r w:rsidR="008C5D34" w:rsidRPr="00CC2A4E">
        <w:t>each</w:t>
      </w:r>
      <w:r w:rsidR="008C5D34">
        <w:t xml:space="preserve"> level of qualification, disaggregated by school type and year of leaving (n = </w:t>
      </w:r>
      <w:r w:rsidR="008C5D34" w:rsidRPr="00691CBD">
        <w:t>155</w:t>
      </w:r>
      <w:r w:rsidR="008C5D34">
        <w:t xml:space="preserve"> </w:t>
      </w:r>
      <w:r w:rsidR="008C5D34" w:rsidRPr="00691CBD">
        <w:t>630</w:t>
      </w:r>
      <w:r w:rsidR="008C5D34">
        <w:t>).</w:t>
      </w:r>
      <w:r>
        <w:fldChar w:fldCharType="end"/>
      </w:r>
    </w:p>
    <w:p w14:paraId="4C66C19A" w14:textId="2B3F9885" w:rsidR="008C287C" w:rsidRDefault="008C287C"/>
    <w:p w14:paraId="491C96E1" w14:textId="7628DB67" w:rsidR="007A1B51" w:rsidRDefault="007A1B51" w:rsidP="007A1B51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section compares male attainment between school types </w:t>
      </w:r>
      <w:r w:rsidR="001C5D9C">
        <w:rPr>
          <w:rFonts w:cstheme="minorHAnsi"/>
          <w:color w:val="auto"/>
        </w:rPr>
        <w:t>from 2017 to</w:t>
      </w:r>
      <w:r>
        <w:rPr>
          <w:rFonts w:cstheme="minorHAnsi"/>
          <w:color w:val="auto"/>
        </w:rPr>
        <w:t xml:space="preserve"> 2021. We disaggregate over time to check </w:t>
      </w:r>
      <w:r w:rsidR="001914B2">
        <w:rPr>
          <w:rFonts w:cstheme="minorHAnsi"/>
          <w:color w:val="auto"/>
        </w:rPr>
        <w:t xml:space="preserve">that </w:t>
      </w:r>
      <w:r>
        <w:rPr>
          <w:rFonts w:cstheme="minorHAnsi"/>
          <w:color w:val="auto"/>
        </w:rPr>
        <w:t>the single-sex advantage observed in the binary comparison is not an isolated event, and to investigate the long-term trend in male achievement between school types. Additionally, this analysis will reveal the effects, if any, of Covid-19 on learning and achievement in 2020 and 2021.</w:t>
      </w:r>
    </w:p>
    <w:p w14:paraId="6116793F" w14:textId="77777777" w:rsidR="00FB1BB8" w:rsidRDefault="00FB1BB8" w:rsidP="00FB1BB8">
      <w:pPr>
        <w:pStyle w:val="Heading2"/>
      </w:pPr>
      <w:bookmarkStart w:id="15" w:name="_Toc130862584"/>
      <w:r>
        <w:t>Trend Over Time</w:t>
      </w:r>
      <w:bookmarkEnd w:id="15"/>
    </w:p>
    <w:p w14:paraId="0EBFAC84" w14:textId="34F3CFE0" w:rsidR="00522D49" w:rsidRDefault="007A1B51" w:rsidP="002F1C2A">
      <w:pPr>
        <w:rPr>
          <w:rFonts w:cstheme="minorHAnsi"/>
          <w:color w:val="auto"/>
        </w:rPr>
      </w:pP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_Ref130657393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2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 xml:space="preserve"> shows that</w:t>
      </w:r>
      <w:r w:rsidR="00D47AF4">
        <w:rPr>
          <w:rFonts w:cstheme="minorHAnsi"/>
          <w:color w:val="auto"/>
        </w:rPr>
        <w:t xml:space="preserve"> </w:t>
      </w:r>
      <w:r w:rsidR="000437EF">
        <w:rPr>
          <w:rFonts w:cstheme="minorHAnsi"/>
          <w:color w:val="auto"/>
        </w:rPr>
        <w:t xml:space="preserve">males from </w:t>
      </w:r>
      <w:r w:rsidR="00D47AF4">
        <w:rPr>
          <w:rFonts w:cstheme="minorHAnsi"/>
          <w:color w:val="auto"/>
        </w:rPr>
        <w:t>s</w:t>
      </w:r>
      <w:r w:rsidR="0036566B">
        <w:rPr>
          <w:rFonts w:cstheme="minorHAnsi"/>
          <w:color w:val="auto"/>
        </w:rPr>
        <w:t xml:space="preserve">ingle-sex schools </w:t>
      </w:r>
      <w:r w:rsidR="009843D2">
        <w:rPr>
          <w:rFonts w:cstheme="minorHAnsi"/>
          <w:color w:val="auto"/>
        </w:rPr>
        <w:t>perform</w:t>
      </w:r>
      <w:r w:rsidR="00CA0879">
        <w:rPr>
          <w:rFonts w:cstheme="minorHAnsi"/>
          <w:color w:val="auto"/>
        </w:rPr>
        <w:t>ed</w:t>
      </w:r>
      <w:r w:rsidR="009843D2">
        <w:rPr>
          <w:rFonts w:cstheme="minorHAnsi"/>
          <w:color w:val="auto"/>
        </w:rPr>
        <w:t xml:space="preserve"> consistently better than </w:t>
      </w:r>
      <w:r w:rsidR="000437EF">
        <w:rPr>
          <w:rFonts w:cstheme="minorHAnsi"/>
          <w:color w:val="auto"/>
        </w:rPr>
        <w:t xml:space="preserve">males from </w:t>
      </w:r>
      <w:r w:rsidR="0027346F">
        <w:rPr>
          <w:rFonts w:cstheme="minorHAnsi"/>
          <w:color w:val="auto"/>
        </w:rPr>
        <w:t>coeducational schools</w:t>
      </w:r>
      <w:r w:rsidR="00B17102">
        <w:rPr>
          <w:rFonts w:cstheme="minorHAnsi"/>
          <w:color w:val="auto"/>
        </w:rPr>
        <w:t xml:space="preserve"> at </w:t>
      </w:r>
      <w:r w:rsidR="00BB2A39">
        <w:rPr>
          <w:rFonts w:cstheme="minorHAnsi"/>
          <w:color w:val="auto"/>
        </w:rPr>
        <w:t>each level</w:t>
      </w:r>
      <w:r w:rsidR="00E037DB">
        <w:rPr>
          <w:rFonts w:cstheme="minorHAnsi"/>
          <w:color w:val="auto"/>
        </w:rPr>
        <w:t xml:space="preserve"> </w:t>
      </w:r>
      <w:r w:rsidR="00B86414">
        <w:rPr>
          <w:rFonts w:cstheme="minorHAnsi"/>
          <w:color w:val="auto"/>
        </w:rPr>
        <w:t>from</w:t>
      </w:r>
      <w:r w:rsidR="00E037DB">
        <w:rPr>
          <w:rFonts w:cstheme="minorHAnsi"/>
          <w:color w:val="auto"/>
        </w:rPr>
        <w:t xml:space="preserve"> 2017 – 2021</w:t>
      </w:r>
      <w:r w:rsidR="007875DD">
        <w:rPr>
          <w:rFonts w:cstheme="minorHAnsi"/>
          <w:color w:val="auto"/>
        </w:rPr>
        <w:t xml:space="preserve">, </w:t>
      </w:r>
      <w:r w:rsidR="0026763D">
        <w:rPr>
          <w:rFonts w:cstheme="minorHAnsi"/>
          <w:color w:val="auto"/>
        </w:rPr>
        <w:t xml:space="preserve">reinforcing the </w:t>
      </w:r>
      <w:r w:rsidR="00C749A7">
        <w:rPr>
          <w:rFonts w:cstheme="minorHAnsi"/>
          <w:color w:val="auto"/>
        </w:rPr>
        <w:t xml:space="preserve">binary </w:t>
      </w:r>
      <w:r w:rsidR="0023177C">
        <w:rPr>
          <w:rFonts w:cstheme="minorHAnsi"/>
          <w:color w:val="auto"/>
        </w:rPr>
        <w:t>observation</w:t>
      </w:r>
      <w:r w:rsidR="008A146C">
        <w:rPr>
          <w:rFonts w:cstheme="minorHAnsi"/>
          <w:color w:val="auto"/>
        </w:rPr>
        <w:t>.</w:t>
      </w:r>
      <w:r w:rsidR="00522D49">
        <w:rPr>
          <w:rFonts w:cstheme="minorHAnsi"/>
          <w:color w:val="auto"/>
        </w:rPr>
        <w:t xml:space="preserve"> A higher proportion of males at single-sex schools attained UE than both UE and level 3 in coeducational schools for four of the five years considered</w:t>
      </w:r>
      <w:r w:rsidR="006D7B0D">
        <w:rPr>
          <w:rFonts w:cstheme="minorHAnsi"/>
          <w:color w:val="auto"/>
        </w:rPr>
        <w:t>, while t</w:t>
      </w:r>
      <w:r w:rsidR="00222522">
        <w:rPr>
          <w:rFonts w:cstheme="minorHAnsi"/>
          <w:color w:val="auto"/>
        </w:rPr>
        <w:t>he</w:t>
      </w:r>
      <w:r w:rsidR="005E392A">
        <w:rPr>
          <w:rFonts w:cstheme="minorHAnsi"/>
          <w:color w:val="auto"/>
        </w:rPr>
        <w:t xml:space="preserve"> </w:t>
      </w:r>
      <w:r w:rsidR="003A68DE">
        <w:rPr>
          <w:rFonts w:cstheme="minorHAnsi"/>
          <w:color w:val="auto"/>
        </w:rPr>
        <w:t>non-attainment</w:t>
      </w:r>
      <w:r w:rsidR="00EF076D">
        <w:rPr>
          <w:rFonts w:cstheme="minorHAnsi"/>
          <w:color w:val="auto"/>
        </w:rPr>
        <w:t xml:space="preserve"> rate </w:t>
      </w:r>
      <w:r w:rsidR="00F61ACC">
        <w:rPr>
          <w:rFonts w:cstheme="minorHAnsi"/>
          <w:color w:val="auto"/>
        </w:rPr>
        <w:t xml:space="preserve">was </w:t>
      </w:r>
      <w:r w:rsidR="000437EF">
        <w:rPr>
          <w:rFonts w:cstheme="minorHAnsi"/>
          <w:color w:val="auto"/>
        </w:rPr>
        <w:t xml:space="preserve">less than half for single-sex schools compared to </w:t>
      </w:r>
      <w:r w:rsidR="00417A69">
        <w:rPr>
          <w:rFonts w:cstheme="minorHAnsi"/>
          <w:color w:val="auto"/>
        </w:rPr>
        <w:t>coeducational schools</w:t>
      </w:r>
      <w:r w:rsidR="00002E63">
        <w:rPr>
          <w:rFonts w:cstheme="minorHAnsi"/>
          <w:color w:val="auto"/>
        </w:rPr>
        <w:t xml:space="preserve"> for all five years</w:t>
      </w:r>
      <w:r w:rsidR="00417A69">
        <w:rPr>
          <w:rFonts w:cstheme="minorHAnsi"/>
          <w:color w:val="auto"/>
        </w:rPr>
        <w:t>.</w:t>
      </w:r>
      <w:r w:rsidR="00002E63">
        <w:rPr>
          <w:rFonts w:cstheme="minorHAnsi"/>
          <w:color w:val="auto"/>
        </w:rPr>
        <w:t xml:space="preserve"> </w:t>
      </w:r>
      <w:r w:rsidR="00FC204E">
        <w:rPr>
          <w:rFonts w:cstheme="minorHAnsi"/>
          <w:color w:val="auto"/>
        </w:rPr>
        <w:t>This</w:t>
      </w:r>
      <w:r w:rsidR="00B15268">
        <w:rPr>
          <w:rFonts w:cstheme="minorHAnsi"/>
          <w:color w:val="auto"/>
        </w:rPr>
        <w:t xml:space="preserve"> sustained difference</w:t>
      </w:r>
      <w:r w:rsidR="00FC204E">
        <w:rPr>
          <w:rFonts w:cstheme="minorHAnsi"/>
          <w:color w:val="auto"/>
        </w:rPr>
        <w:t xml:space="preserve"> </w:t>
      </w:r>
      <w:r w:rsidR="00CF675A">
        <w:rPr>
          <w:rFonts w:cstheme="minorHAnsi"/>
          <w:color w:val="auto"/>
        </w:rPr>
        <w:t xml:space="preserve">rules out </w:t>
      </w:r>
      <w:r w:rsidR="00B15268">
        <w:rPr>
          <w:rFonts w:cstheme="minorHAnsi"/>
          <w:color w:val="auto"/>
        </w:rPr>
        <w:t>the</w:t>
      </w:r>
      <w:r w:rsidR="00EB72A3">
        <w:rPr>
          <w:rFonts w:cstheme="minorHAnsi"/>
          <w:color w:val="auto"/>
        </w:rPr>
        <w:t xml:space="preserve"> single-sex advantage </w:t>
      </w:r>
      <w:r w:rsidR="00B15268">
        <w:rPr>
          <w:rFonts w:cstheme="minorHAnsi"/>
          <w:color w:val="auto"/>
        </w:rPr>
        <w:t>being a</w:t>
      </w:r>
      <w:r w:rsidR="00394D76">
        <w:rPr>
          <w:rFonts w:cstheme="minorHAnsi"/>
          <w:color w:val="auto"/>
        </w:rPr>
        <w:t xml:space="preserve"> one-off </w:t>
      </w:r>
      <w:r w:rsidR="00422E8C">
        <w:rPr>
          <w:rFonts w:cstheme="minorHAnsi"/>
          <w:color w:val="auto"/>
        </w:rPr>
        <w:t>anomaly</w:t>
      </w:r>
      <w:r w:rsidR="0079654F">
        <w:rPr>
          <w:rFonts w:cstheme="minorHAnsi"/>
          <w:color w:val="auto"/>
        </w:rPr>
        <w:t>.</w:t>
      </w:r>
    </w:p>
    <w:p w14:paraId="4388F83F" w14:textId="54900222" w:rsidR="00091D9A" w:rsidRDefault="003064CC" w:rsidP="002F1C2A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Both school types experienced a slight peak in attainment in 2020</w:t>
      </w:r>
      <w:r w:rsidR="005236D5">
        <w:rPr>
          <w:rFonts w:cstheme="minorHAnsi"/>
          <w:color w:val="auto"/>
        </w:rPr>
        <w:t>.</w:t>
      </w:r>
      <w:r w:rsidR="00F21469">
        <w:rPr>
          <w:rFonts w:cstheme="minorHAnsi"/>
          <w:color w:val="auto"/>
        </w:rPr>
        <w:t xml:space="preserve"> This is likely </w:t>
      </w:r>
      <w:proofErr w:type="gramStart"/>
      <w:r w:rsidR="00F21469">
        <w:rPr>
          <w:rFonts w:cstheme="minorHAnsi"/>
          <w:color w:val="auto"/>
        </w:rPr>
        <w:t xml:space="preserve">due to the </w:t>
      </w:r>
      <w:r w:rsidR="0071558D">
        <w:rPr>
          <w:rFonts w:cstheme="minorHAnsi"/>
          <w:color w:val="auto"/>
        </w:rPr>
        <w:t>effects</w:t>
      </w:r>
      <w:proofErr w:type="gramEnd"/>
      <w:r w:rsidR="0071558D">
        <w:rPr>
          <w:rFonts w:cstheme="minorHAnsi"/>
          <w:color w:val="auto"/>
        </w:rPr>
        <w:t xml:space="preserve"> of the Covid</w:t>
      </w:r>
      <w:r w:rsidR="0071558D">
        <w:rPr>
          <w:rFonts w:cstheme="minorHAnsi"/>
          <w:color w:val="auto"/>
        </w:rPr>
        <w:noBreakHyphen/>
        <w:t>19 pandemic from 2020 to 2021</w:t>
      </w:r>
      <w:r w:rsidR="00AF0AFD">
        <w:rPr>
          <w:rFonts w:cstheme="minorHAnsi"/>
          <w:color w:val="auto"/>
        </w:rPr>
        <w:t>,</w:t>
      </w:r>
      <w:r w:rsidR="0071558D">
        <w:rPr>
          <w:rFonts w:cstheme="minorHAnsi"/>
          <w:color w:val="auto"/>
        </w:rPr>
        <w:t xml:space="preserve"> which drastically changed the delivery style of learning</w:t>
      </w:r>
      <w:r w:rsidR="0081014A">
        <w:rPr>
          <w:rFonts w:cstheme="minorHAnsi"/>
          <w:color w:val="auto"/>
        </w:rPr>
        <w:t xml:space="preserve"> and would have impacted the ability of students to perform academically. The increase can be attributed to </w:t>
      </w:r>
      <w:r w:rsidR="004A32E8">
        <w:rPr>
          <w:rFonts w:cstheme="minorHAnsi"/>
          <w:color w:val="auto"/>
        </w:rPr>
        <w:t xml:space="preserve">various countermeasures employed by </w:t>
      </w:r>
      <w:r w:rsidR="00ED388E">
        <w:rPr>
          <w:rFonts w:cstheme="minorHAnsi"/>
          <w:color w:val="auto"/>
        </w:rPr>
        <w:t>NZQA</w:t>
      </w:r>
      <w:r w:rsidR="00091D9A">
        <w:rPr>
          <w:rFonts w:cstheme="minorHAnsi"/>
          <w:color w:val="auto"/>
        </w:rPr>
        <w:t xml:space="preserve"> </w:t>
      </w:r>
      <w:r w:rsidR="00ED388E">
        <w:rPr>
          <w:rFonts w:cstheme="minorHAnsi"/>
          <w:color w:val="auto"/>
        </w:rPr>
        <w:t xml:space="preserve">to </w:t>
      </w:r>
      <w:r w:rsidR="003177E3">
        <w:rPr>
          <w:rFonts w:cstheme="minorHAnsi"/>
          <w:color w:val="auto"/>
        </w:rPr>
        <w:t xml:space="preserve">offset </w:t>
      </w:r>
      <w:r w:rsidR="00C81A70">
        <w:rPr>
          <w:rFonts w:cstheme="minorHAnsi"/>
          <w:color w:val="auto"/>
        </w:rPr>
        <w:t>the</w:t>
      </w:r>
      <w:r w:rsidR="003177E3">
        <w:rPr>
          <w:rFonts w:cstheme="minorHAnsi"/>
          <w:color w:val="auto"/>
        </w:rPr>
        <w:t xml:space="preserve"> </w:t>
      </w:r>
      <w:r w:rsidR="00C81A70">
        <w:rPr>
          <w:rFonts w:cstheme="minorHAnsi"/>
          <w:color w:val="auto"/>
        </w:rPr>
        <w:t xml:space="preserve">disruption to </w:t>
      </w:r>
      <w:r w:rsidR="001F6D99">
        <w:rPr>
          <w:rFonts w:cstheme="minorHAnsi"/>
          <w:color w:val="auto"/>
        </w:rPr>
        <w:t>education</w:t>
      </w:r>
      <w:r w:rsidR="00091D9A">
        <w:rPr>
          <w:rFonts w:cstheme="minorHAnsi"/>
          <w:color w:val="auto"/>
        </w:rPr>
        <w:t>, including Learning Recognition credits</w:t>
      </w:r>
      <w:r w:rsidR="00C81A70">
        <w:rPr>
          <w:rStyle w:val="FootnoteReference"/>
          <w:rFonts w:cstheme="minorHAnsi"/>
          <w:color w:val="auto"/>
        </w:rPr>
        <w:footnoteReference w:id="4"/>
      </w:r>
      <w:r w:rsidR="00C81A70">
        <w:rPr>
          <w:rFonts w:cstheme="minorHAnsi"/>
          <w:color w:val="auto"/>
        </w:rPr>
        <w:t xml:space="preserve">, which </w:t>
      </w:r>
      <w:r w:rsidR="000B2F25">
        <w:rPr>
          <w:rFonts w:cstheme="minorHAnsi"/>
          <w:color w:val="auto"/>
        </w:rPr>
        <w:t xml:space="preserve">presumably erred on the </w:t>
      </w:r>
      <w:r w:rsidR="00B00849">
        <w:rPr>
          <w:rFonts w:cstheme="minorHAnsi"/>
          <w:color w:val="auto"/>
        </w:rPr>
        <w:t>side of caution.</w:t>
      </w:r>
      <w:r w:rsidR="00091D9A">
        <w:rPr>
          <w:rFonts w:cstheme="minorHAnsi"/>
          <w:color w:val="auto"/>
        </w:rPr>
        <w:t xml:space="preserve"> However, </w:t>
      </w:r>
      <w:r w:rsidR="002A46A7">
        <w:rPr>
          <w:rFonts w:cstheme="minorHAnsi"/>
          <w:color w:val="auto"/>
        </w:rPr>
        <w:t>it is surprising that a similar phenomenon was not observed in 2021,</w:t>
      </w:r>
      <w:r w:rsidR="00463AE4">
        <w:rPr>
          <w:rFonts w:cstheme="minorHAnsi"/>
          <w:color w:val="auto"/>
        </w:rPr>
        <w:t xml:space="preserve"> </w:t>
      </w:r>
      <w:r w:rsidR="00AC7519">
        <w:rPr>
          <w:rFonts w:cstheme="minorHAnsi"/>
          <w:color w:val="auto"/>
        </w:rPr>
        <w:t xml:space="preserve">once students had already had a year to acclimate to online learning and </w:t>
      </w:r>
      <w:r w:rsidR="00091D9A">
        <w:rPr>
          <w:rFonts w:cstheme="minorHAnsi"/>
          <w:color w:val="auto"/>
        </w:rPr>
        <w:t>Unexpected Event Grades for Auckland students</w:t>
      </w:r>
      <w:r w:rsidR="00AC7519">
        <w:rPr>
          <w:rFonts w:cstheme="minorHAnsi"/>
          <w:color w:val="auto"/>
        </w:rPr>
        <w:t xml:space="preserve"> were </w:t>
      </w:r>
      <w:r w:rsidR="00AC7519">
        <w:rPr>
          <w:rFonts w:cstheme="minorHAnsi"/>
          <w:color w:val="auto"/>
        </w:rPr>
        <w:lastRenderedPageBreak/>
        <w:t>announced</w:t>
      </w:r>
      <w:r w:rsidR="00AC7519">
        <w:rPr>
          <w:rStyle w:val="FootnoteReference"/>
          <w:rFonts w:cstheme="minorHAnsi"/>
          <w:color w:val="auto"/>
        </w:rPr>
        <w:footnoteReference w:id="5"/>
      </w:r>
      <w:r w:rsidR="00AC7519">
        <w:rPr>
          <w:rFonts w:cstheme="minorHAnsi"/>
          <w:color w:val="auto"/>
        </w:rPr>
        <w:t>.</w:t>
      </w:r>
      <w:r w:rsidR="00513946">
        <w:rPr>
          <w:rFonts w:cstheme="minorHAnsi"/>
          <w:color w:val="auto"/>
        </w:rPr>
        <w:t xml:space="preserve"> Covid-19 may have </w:t>
      </w:r>
      <w:r w:rsidR="00823B5F">
        <w:rPr>
          <w:rFonts w:cstheme="minorHAnsi"/>
          <w:color w:val="auto"/>
        </w:rPr>
        <w:t>had a cumulative negative impact on</w:t>
      </w:r>
      <w:r w:rsidR="00513946">
        <w:rPr>
          <w:rFonts w:cstheme="minorHAnsi"/>
          <w:color w:val="auto"/>
        </w:rPr>
        <w:t xml:space="preserve"> students’ </w:t>
      </w:r>
      <w:r w:rsidR="00B17FF5">
        <w:rPr>
          <w:rFonts w:cstheme="minorHAnsi"/>
          <w:color w:val="auto"/>
        </w:rPr>
        <w:t xml:space="preserve">ability to achieve, especially for junior students entering high school </w:t>
      </w:r>
      <w:r w:rsidR="0060389C">
        <w:rPr>
          <w:rFonts w:cstheme="minorHAnsi"/>
          <w:color w:val="auto"/>
        </w:rPr>
        <w:t xml:space="preserve">during </w:t>
      </w:r>
      <w:r w:rsidR="0023795E">
        <w:rPr>
          <w:rFonts w:cstheme="minorHAnsi"/>
          <w:color w:val="auto"/>
        </w:rPr>
        <w:t xml:space="preserve">the </w:t>
      </w:r>
      <w:r w:rsidR="0060389C">
        <w:rPr>
          <w:rFonts w:cstheme="minorHAnsi"/>
          <w:color w:val="auto"/>
        </w:rPr>
        <w:t>online delivery</w:t>
      </w:r>
      <w:r w:rsidR="0023795E">
        <w:rPr>
          <w:rFonts w:cstheme="minorHAnsi"/>
          <w:color w:val="auto"/>
        </w:rPr>
        <w:t xml:space="preserve"> period</w:t>
      </w:r>
      <w:r w:rsidR="0060389C">
        <w:rPr>
          <w:rFonts w:cstheme="minorHAnsi"/>
          <w:color w:val="auto"/>
        </w:rPr>
        <w:t>.</w:t>
      </w:r>
    </w:p>
    <w:p w14:paraId="4387C924" w14:textId="036F06F7" w:rsidR="000376F4" w:rsidRDefault="0070111D" w:rsidP="000376F4">
      <w:pPr>
        <w:pStyle w:val="Heading2"/>
      </w:pPr>
      <w:bookmarkStart w:id="16" w:name="_Toc130862585"/>
      <w:r>
        <w:t>Trend</w:t>
      </w:r>
      <w:r w:rsidR="002069FB">
        <w:t xml:space="preserve"> in Differences</w:t>
      </w:r>
      <w:bookmarkEnd w:id="16"/>
    </w:p>
    <w:p w14:paraId="23773C7B" w14:textId="7E334AD9" w:rsidR="00D25315" w:rsidRDefault="00E22329" w:rsidP="002F1C2A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A</w:t>
      </w:r>
      <w:r w:rsidR="00E037DB">
        <w:rPr>
          <w:rFonts w:cstheme="minorHAnsi"/>
          <w:color w:val="auto"/>
        </w:rPr>
        <w:t xml:space="preserve">chievement rates remained </w:t>
      </w:r>
      <w:r w:rsidR="00A06B4F">
        <w:rPr>
          <w:rFonts w:cstheme="minorHAnsi"/>
          <w:color w:val="auto"/>
        </w:rPr>
        <w:t xml:space="preserve">relatively </w:t>
      </w:r>
      <w:r w:rsidR="00E037DB">
        <w:rPr>
          <w:rFonts w:cstheme="minorHAnsi"/>
          <w:color w:val="auto"/>
        </w:rPr>
        <w:t>steady at both coeducational and single-sex schools,</w:t>
      </w:r>
      <w:r w:rsidR="0060463E">
        <w:rPr>
          <w:rFonts w:cstheme="minorHAnsi"/>
          <w:color w:val="auto"/>
        </w:rPr>
        <w:t xml:space="preserve"> </w:t>
      </w:r>
      <w:r w:rsidR="00E037DB">
        <w:rPr>
          <w:rFonts w:cstheme="minorHAnsi"/>
          <w:color w:val="auto"/>
        </w:rPr>
        <w:t xml:space="preserve">with </w:t>
      </w:r>
      <w:r w:rsidR="00CF152D">
        <w:rPr>
          <w:rFonts w:cstheme="minorHAnsi"/>
          <w:color w:val="auto"/>
        </w:rPr>
        <w:t>the difference</w:t>
      </w:r>
      <w:r w:rsidR="00F60FD0">
        <w:rPr>
          <w:rFonts w:cstheme="minorHAnsi"/>
          <w:color w:val="auto"/>
        </w:rPr>
        <w:t xml:space="preserve"> in achievement rates</w:t>
      </w:r>
      <w:r w:rsidR="007803B1">
        <w:rPr>
          <w:rFonts w:cstheme="minorHAnsi"/>
          <w:color w:val="auto"/>
        </w:rPr>
        <w:t xml:space="preserve"> (single</w:t>
      </w:r>
      <w:r w:rsidR="00B30B99">
        <w:rPr>
          <w:rFonts w:cstheme="minorHAnsi"/>
          <w:color w:val="auto"/>
        </w:rPr>
        <w:noBreakHyphen/>
      </w:r>
      <w:r w:rsidR="007803B1">
        <w:rPr>
          <w:rFonts w:cstheme="minorHAnsi"/>
          <w:color w:val="auto"/>
        </w:rPr>
        <w:t>sex</w:t>
      </w:r>
      <w:r w:rsidR="00B30B99">
        <w:rPr>
          <w:rFonts w:cstheme="minorHAnsi"/>
          <w:color w:val="auto"/>
        </w:rPr>
        <w:t> </w:t>
      </w:r>
      <w:r w:rsidR="000C75A7">
        <w:rPr>
          <w:rFonts w:cstheme="minorHAnsi"/>
          <w:color w:val="auto"/>
        </w:rPr>
        <w:t>-</w:t>
      </w:r>
      <w:r w:rsidR="00B30B99">
        <w:rPr>
          <w:rFonts w:cstheme="minorHAnsi"/>
          <w:color w:val="auto"/>
        </w:rPr>
        <w:t> </w:t>
      </w:r>
      <w:r w:rsidR="007803B1">
        <w:rPr>
          <w:rFonts w:cstheme="minorHAnsi"/>
          <w:color w:val="auto"/>
        </w:rPr>
        <w:t>coeducational)</w:t>
      </w:r>
      <w:r w:rsidR="00EA382C">
        <w:rPr>
          <w:rFonts w:cstheme="minorHAnsi"/>
          <w:color w:val="auto"/>
        </w:rPr>
        <w:t xml:space="preserve"> never </w:t>
      </w:r>
      <w:r w:rsidR="005741ED">
        <w:rPr>
          <w:rFonts w:cstheme="minorHAnsi"/>
          <w:color w:val="auto"/>
        </w:rPr>
        <w:t>varying</w:t>
      </w:r>
      <w:r w:rsidR="00EA382C">
        <w:rPr>
          <w:rFonts w:cstheme="minorHAnsi"/>
          <w:color w:val="auto"/>
        </w:rPr>
        <w:t xml:space="preserve"> by over </w:t>
      </w:r>
      <w:r w:rsidR="00FC0AC2">
        <w:rPr>
          <w:rFonts w:cstheme="minorHAnsi"/>
          <w:color w:val="auto"/>
        </w:rPr>
        <w:t>five</w:t>
      </w:r>
      <w:r w:rsidR="00C06A09">
        <w:rPr>
          <w:rFonts w:cstheme="minorHAnsi"/>
          <w:color w:val="auto"/>
        </w:rPr>
        <w:t xml:space="preserve"> percentage points over these five years</w:t>
      </w:r>
      <w:r w:rsidR="00E037DB">
        <w:rPr>
          <w:rFonts w:cstheme="minorHAnsi"/>
          <w:color w:val="auto"/>
        </w:rPr>
        <w:t>.</w:t>
      </w:r>
    </w:p>
    <w:p w14:paraId="5799BC69" w14:textId="443D1101" w:rsidR="003676C7" w:rsidRDefault="003676C7" w:rsidP="002F1C2A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Over the period 2017 – 2021:</w:t>
      </w:r>
    </w:p>
    <w:p w14:paraId="33FECCE2" w14:textId="14577F35" w:rsidR="00D25315" w:rsidRDefault="00D25315" w:rsidP="00D25315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</w:t>
      </w:r>
      <w:r w:rsidR="00F60FD0">
        <w:rPr>
          <w:rFonts w:cstheme="minorHAnsi"/>
          <w:color w:val="auto"/>
        </w:rPr>
        <w:t xml:space="preserve">difference in </w:t>
      </w:r>
      <w:r>
        <w:rPr>
          <w:rFonts w:cstheme="minorHAnsi"/>
          <w:color w:val="auto"/>
        </w:rPr>
        <w:t xml:space="preserve">UE attainment rate </w:t>
      </w:r>
      <w:r w:rsidR="00F60FD0">
        <w:rPr>
          <w:rFonts w:cstheme="minorHAnsi"/>
          <w:color w:val="auto"/>
        </w:rPr>
        <w:t>decreased from 19.8%</w:t>
      </w:r>
      <w:r w:rsidR="004868BA">
        <w:rPr>
          <w:rFonts w:cstheme="minorHAnsi"/>
          <w:color w:val="auto"/>
        </w:rPr>
        <w:t xml:space="preserve"> to 17.2%.</w:t>
      </w:r>
    </w:p>
    <w:p w14:paraId="4927D57E" w14:textId="5BD69948" w:rsidR="00C377EC" w:rsidRDefault="00C377EC" w:rsidP="00C377EC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The difference in level 3 pass rate decreased from 1</w:t>
      </w:r>
      <w:r w:rsidR="00EA2433">
        <w:rPr>
          <w:rFonts w:cstheme="minorHAnsi"/>
          <w:color w:val="auto"/>
        </w:rPr>
        <w:t>8.2</w:t>
      </w:r>
      <w:r>
        <w:rPr>
          <w:rFonts w:cstheme="minorHAnsi"/>
          <w:color w:val="auto"/>
        </w:rPr>
        <w:t>% to 1</w:t>
      </w:r>
      <w:r w:rsidR="00EA2433">
        <w:rPr>
          <w:rFonts w:cstheme="minorHAnsi"/>
          <w:color w:val="auto"/>
        </w:rPr>
        <w:t>3</w:t>
      </w:r>
      <w:r>
        <w:rPr>
          <w:rFonts w:cstheme="minorHAnsi"/>
          <w:color w:val="auto"/>
        </w:rPr>
        <w:t>.</w:t>
      </w:r>
      <w:r w:rsidR="00EA2433">
        <w:rPr>
          <w:rFonts w:cstheme="minorHAnsi"/>
          <w:color w:val="auto"/>
        </w:rPr>
        <w:t>7</w:t>
      </w:r>
      <w:r>
        <w:rPr>
          <w:rFonts w:cstheme="minorHAnsi"/>
          <w:color w:val="auto"/>
        </w:rPr>
        <w:t>%.</w:t>
      </w:r>
    </w:p>
    <w:p w14:paraId="7924878A" w14:textId="5E27174B" w:rsidR="00C377EC" w:rsidRDefault="00C377EC" w:rsidP="00C377EC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The difference in level 2 pass rate decreased from 1</w:t>
      </w:r>
      <w:r w:rsidR="00FD4C06">
        <w:rPr>
          <w:rFonts w:cstheme="minorHAnsi"/>
          <w:color w:val="auto"/>
        </w:rPr>
        <w:t>2</w:t>
      </w:r>
      <w:r>
        <w:rPr>
          <w:rFonts w:cstheme="minorHAnsi"/>
          <w:color w:val="auto"/>
        </w:rPr>
        <w:t>.</w:t>
      </w:r>
      <w:r w:rsidR="00FD4C06">
        <w:rPr>
          <w:rFonts w:cstheme="minorHAnsi"/>
          <w:color w:val="auto"/>
        </w:rPr>
        <w:t>3</w:t>
      </w:r>
      <w:r>
        <w:rPr>
          <w:rFonts w:cstheme="minorHAnsi"/>
          <w:color w:val="auto"/>
        </w:rPr>
        <w:t>% to 1</w:t>
      </w:r>
      <w:r w:rsidR="00FD4C06">
        <w:rPr>
          <w:rFonts w:cstheme="minorHAnsi"/>
          <w:color w:val="auto"/>
        </w:rPr>
        <w:t>0.7</w:t>
      </w:r>
      <w:r>
        <w:rPr>
          <w:rFonts w:cstheme="minorHAnsi"/>
          <w:color w:val="auto"/>
        </w:rPr>
        <w:t>%.</w:t>
      </w:r>
    </w:p>
    <w:p w14:paraId="4852F93B" w14:textId="008645BC" w:rsidR="00C377EC" w:rsidRDefault="00C377EC" w:rsidP="00C377EC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difference in </w:t>
      </w:r>
      <w:r w:rsidRPr="00DC5BED">
        <w:rPr>
          <w:rFonts w:cstheme="minorHAnsi"/>
          <w:color w:val="auto"/>
        </w:rPr>
        <w:t xml:space="preserve">level 1 pass </w:t>
      </w:r>
      <w:r>
        <w:rPr>
          <w:rFonts w:cstheme="minorHAnsi"/>
          <w:color w:val="auto"/>
        </w:rPr>
        <w:t xml:space="preserve">rate </w:t>
      </w:r>
      <w:r w:rsidR="003E1223">
        <w:rPr>
          <w:rFonts w:cstheme="minorHAnsi"/>
          <w:color w:val="auto"/>
        </w:rPr>
        <w:t>increased</w:t>
      </w:r>
      <w:r>
        <w:rPr>
          <w:rFonts w:cstheme="minorHAnsi"/>
          <w:color w:val="auto"/>
        </w:rPr>
        <w:t xml:space="preserve"> from </w:t>
      </w:r>
      <w:r w:rsidR="003E1223">
        <w:rPr>
          <w:rFonts w:cstheme="minorHAnsi"/>
          <w:color w:val="auto"/>
        </w:rPr>
        <w:t>7.6</w:t>
      </w:r>
      <w:r>
        <w:rPr>
          <w:rFonts w:cstheme="minorHAnsi"/>
          <w:color w:val="auto"/>
        </w:rPr>
        <w:t xml:space="preserve">% to </w:t>
      </w:r>
      <w:r w:rsidR="003E1223">
        <w:rPr>
          <w:rFonts w:cstheme="minorHAnsi"/>
          <w:color w:val="auto"/>
        </w:rPr>
        <w:t>7.8</w:t>
      </w:r>
      <w:r>
        <w:rPr>
          <w:rFonts w:cstheme="minorHAnsi"/>
          <w:color w:val="auto"/>
        </w:rPr>
        <w:t>%.</w:t>
      </w:r>
    </w:p>
    <w:p w14:paraId="2B51E407" w14:textId="77777777" w:rsidR="00C84B7B" w:rsidRDefault="00171EB3" w:rsidP="00171EB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Th</w:t>
      </w:r>
      <w:r w:rsidR="003E1223">
        <w:rPr>
          <w:rFonts w:cstheme="minorHAnsi"/>
          <w:color w:val="auto"/>
        </w:rPr>
        <w:t>ere</w:t>
      </w:r>
      <w:r w:rsidR="00C06A09">
        <w:rPr>
          <w:rFonts w:cstheme="minorHAnsi"/>
          <w:color w:val="auto"/>
        </w:rPr>
        <w:t xml:space="preserve"> appears to be </w:t>
      </w:r>
      <w:r w:rsidR="004B7290">
        <w:rPr>
          <w:rFonts w:cstheme="minorHAnsi"/>
          <w:color w:val="auto"/>
        </w:rPr>
        <w:t>a</w:t>
      </w:r>
      <w:r w:rsidR="00904379">
        <w:rPr>
          <w:rFonts w:cstheme="minorHAnsi"/>
          <w:color w:val="auto"/>
        </w:rPr>
        <w:t>n</w:t>
      </w:r>
      <w:r w:rsidR="004B7290">
        <w:rPr>
          <w:rFonts w:cstheme="minorHAnsi"/>
          <w:color w:val="auto"/>
        </w:rPr>
        <w:t xml:space="preserve"> </w:t>
      </w:r>
      <w:r w:rsidR="00C06A09">
        <w:rPr>
          <w:rFonts w:cstheme="minorHAnsi"/>
          <w:color w:val="auto"/>
        </w:rPr>
        <w:t xml:space="preserve">overall narrowing of the </w:t>
      </w:r>
      <w:r w:rsidR="00CD78EF">
        <w:rPr>
          <w:rFonts w:cstheme="minorHAnsi"/>
          <w:color w:val="auto"/>
        </w:rPr>
        <w:t>differences in attainment rates between males in coeducational and single-sex schools.</w:t>
      </w:r>
      <w:r w:rsidR="007861CB">
        <w:rPr>
          <w:rFonts w:cstheme="minorHAnsi"/>
          <w:color w:val="auto"/>
        </w:rPr>
        <w:t xml:space="preserve"> </w:t>
      </w:r>
      <w:r w:rsidR="003B1A67">
        <w:rPr>
          <w:rFonts w:cstheme="minorHAnsi"/>
          <w:color w:val="auto"/>
        </w:rPr>
        <w:t xml:space="preserve">This </w:t>
      </w:r>
      <w:r w:rsidR="00452A10">
        <w:rPr>
          <w:rFonts w:cstheme="minorHAnsi"/>
          <w:color w:val="auto"/>
        </w:rPr>
        <w:t>observation</w:t>
      </w:r>
      <w:r w:rsidR="003B1A67">
        <w:rPr>
          <w:rFonts w:cstheme="minorHAnsi"/>
          <w:color w:val="auto"/>
        </w:rPr>
        <w:t xml:space="preserve"> has been caused by decreasing </w:t>
      </w:r>
      <w:r w:rsidR="00545AEF">
        <w:rPr>
          <w:rFonts w:cstheme="minorHAnsi"/>
          <w:color w:val="auto"/>
        </w:rPr>
        <w:t xml:space="preserve">single-sex attainment rates and increasing coeducational attainment rates </w:t>
      </w:r>
      <w:r w:rsidR="00C7239D">
        <w:rPr>
          <w:rFonts w:cstheme="minorHAnsi"/>
          <w:color w:val="auto"/>
        </w:rPr>
        <w:t xml:space="preserve">on average </w:t>
      </w:r>
      <w:r w:rsidR="00545AEF">
        <w:rPr>
          <w:rFonts w:cstheme="minorHAnsi"/>
          <w:color w:val="auto"/>
        </w:rPr>
        <w:t>over the five year</w:t>
      </w:r>
      <w:r w:rsidR="00452A10">
        <w:rPr>
          <w:rFonts w:cstheme="minorHAnsi"/>
          <w:color w:val="auto"/>
        </w:rPr>
        <w:t>s</w:t>
      </w:r>
      <w:r w:rsidR="004A00D6">
        <w:rPr>
          <w:rFonts w:cstheme="minorHAnsi"/>
          <w:color w:val="auto"/>
        </w:rPr>
        <w:t>.</w:t>
      </w:r>
      <w:r w:rsidR="0027077C">
        <w:rPr>
          <w:rFonts w:cstheme="minorHAnsi"/>
          <w:color w:val="auto"/>
        </w:rPr>
        <w:t xml:space="preserve"> </w:t>
      </w:r>
      <w:r w:rsidR="00F67346">
        <w:rPr>
          <w:rFonts w:cstheme="minorHAnsi"/>
          <w:color w:val="auto"/>
        </w:rPr>
        <w:t>This is particularly pronounced for the level 3 pass rate, which narrowed by 4.5 percentage points from 18.2% to 13.7%</w:t>
      </w:r>
      <w:r w:rsidR="000B7E85">
        <w:rPr>
          <w:rFonts w:cstheme="minorHAnsi"/>
          <w:color w:val="auto"/>
        </w:rPr>
        <w:t xml:space="preserve">. </w:t>
      </w:r>
      <w:r w:rsidR="00C84B7B">
        <w:rPr>
          <w:rFonts w:cstheme="minorHAnsi"/>
          <w:color w:val="auto"/>
        </w:rPr>
        <w:t>This difference may</w:t>
      </w:r>
      <w:r w:rsidR="00554A94">
        <w:rPr>
          <w:rFonts w:cstheme="minorHAnsi"/>
          <w:color w:val="auto"/>
        </w:rPr>
        <w:t xml:space="preserve"> vanish in the future</w:t>
      </w:r>
      <w:r w:rsidR="00C84B7B">
        <w:rPr>
          <w:rFonts w:cstheme="minorHAnsi"/>
          <w:color w:val="auto"/>
        </w:rPr>
        <w:t>.</w:t>
      </w:r>
    </w:p>
    <w:p w14:paraId="1D55E8A2" w14:textId="630AAB13" w:rsidR="002140BF" w:rsidRDefault="00C84B7B" w:rsidP="00171EB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H</w:t>
      </w:r>
      <w:r w:rsidR="004A00D6">
        <w:rPr>
          <w:rFonts w:cstheme="minorHAnsi"/>
          <w:color w:val="auto"/>
        </w:rPr>
        <w:t>owever,</w:t>
      </w:r>
      <w:r w:rsidR="00C7239D">
        <w:rPr>
          <w:rFonts w:cstheme="minorHAnsi"/>
          <w:color w:val="auto"/>
        </w:rPr>
        <w:t xml:space="preserve"> these ch</w:t>
      </w:r>
      <w:r w:rsidR="00CB6D17">
        <w:rPr>
          <w:rFonts w:cstheme="minorHAnsi"/>
          <w:color w:val="auto"/>
        </w:rPr>
        <w:t>anges are typically on the order of a couple perc</w:t>
      </w:r>
      <w:r w:rsidR="00BF25E5">
        <w:rPr>
          <w:rFonts w:cstheme="minorHAnsi"/>
          <w:color w:val="auto"/>
        </w:rPr>
        <w:t>entage points and are not statistically significant.</w:t>
      </w:r>
      <w:r>
        <w:rPr>
          <w:rFonts w:cstheme="minorHAnsi"/>
          <w:color w:val="auto"/>
        </w:rPr>
        <w:t xml:space="preserve"> </w:t>
      </w:r>
      <w:r w:rsidR="007F216B">
        <w:rPr>
          <w:rFonts w:cstheme="minorHAnsi"/>
          <w:color w:val="auto"/>
        </w:rPr>
        <w:t xml:space="preserve">Comparisons </w:t>
      </w:r>
      <w:r w:rsidR="00420895">
        <w:rPr>
          <w:rFonts w:cstheme="minorHAnsi"/>
          <w:color w:val="auto"/>
        </w:rPr>
        <w:t xml:space="preserve">with earlier reports are hindered by </w:t>
      </w:r>
      <w:r w:rsidR="00420CE8">
        <w:rPr>
          <w:rFonts w:cstheme="minorHAnsi"/>
          <w:color w:val="auto"/>
        </w:rPr>
        <w:t>how</w:t>
      </w:r>
      <w:r w:rsidR="00940B2A">
        <w:rPr>
          <w:rFonts w:cstheme="minorHAnsi"/>
          <w:color w:val="auto"/>
        </w:rPr>
        <w:t xml:space="preserve"> previous analyses </w:t>
      </w:r>
      <w:r w:rsidR="009149ED">
        <w:rPr>
          <w:rFonts w:cstheme="minorHAnsi"/>
          <w:color w:val="auto"/>
        </w:rPr>
        <w:t>aggregated all male students into school</w:t>
      </w:r>
      <w:r w:rsidR="00F05E2D">
        <w:rPr>
          <w:rFonts w:cstheme="minorHAnsi"/>
          <w:color w:val="auto"/>
        </w:rPr>
        <w:t>s as statistical units</w:t>
      </w:r>
      <w:r w:rsidR="000B409B">
        <w:rPr>
          <w:rFonts w:cstheme="minorHAnsi"/>
          <w:color w:val="auto"/>
        </w:rPr>
        <w:t xml:space="preserve"> (</w:t>
      </w:r>
      <w:r w:rsidR="00F76BD2">
        <w:rPr>
          <w:rFonts w:cstheme="minorHAnsi"/>
          <w:color w:val="auto"/>
        </w:rPr>
        <w:t xml:space="preserve">resulting in more fluctuation and causing </w:t>
      </w:r>
      <w:r w:rsidR="00224656">
        <w:rPr>
          <w:rFonts w:cstheme="minorHAnsi"/>
          <w:color w:val="auto"/>
        </w:rPr>
        <w:t>males at larger schools to be underrepresented in the data</w:t>
      </w:r>
      <w:r w:rsidR="000B409B">
        <w:rPr>
          <w:rFonts w:cstheme="minorHAnsi"/>
          <w:color w:val="auto"/>
        </w:rPr>
        <w:t>)</w:t>
      </w:r>
      <w:r w:rsidR="00BD5350">
        <w:rPr>
          <w:rFonts w:cstheme="minorHAnsi"/>
          <w:color w:val="auto"/>
        </w:rPr>
        <w:t xml:space="preserve"> </w:t>
      </w:r>
      <w:r w:rsidR="001545F8">
        <w:rPr>
          <w:rFonts w:cstheme="minorHAnsi"/>
          <w:color w:val="auto"/>
        </w:rPr>
        <w:t>but</w:t>
      </w:r>
      <w:r w:rsidR="00F76BD2">
        <w:rPr>
          <w:rFonts w:cstheme="minorHAnsi"/>
          <w:color w:val="auto"/>
        </w:rPr>
        <w:t xml:space="preserve"> </w:t>
      </w:r>
      <w:r w:rsidR="00D86A3B">
        <w:rPr>
          <w:rFonts w:cstheme="minorHAnsi"/>
          <w:color w:val="auto"/>
        </w:rPr>
        <w:t xml:space="preserve">present both </w:t>
      </w:r>
      <w:r w:rsidR="001F0D7F">
        <w:rPr>
          <w:rFonts w:cstheme="minorHAnsi"/>
          <w:color w:val="auto"/>
        </w:rPr>
        <w:t>supporting and opposing trends.</w:t>
      </w:r>
      <w:r w:rsidR="002140BF">
        <w:rPr>
          <w:rFonts w:cstheme="minorHAnsi"/>
          <w:color w:val="auto"/>
        </w:rPr>
        <w:t xml:space="preserve"> </w:t>
      </w:r>
      <w:r w:rsidR="00CA230D">
        <w:rPr>
          <w:rFonts w:cstheme="minorHAnsi"/>
          <w:color w:val="auto"/>
        </w:rPr>
        <w:t>For instance,</w:t>
      </w:r>
      <w:r w:rsidR="00542E70">
        <w:rPr>
          <w:rFonts w:cstheme="minorHAnsi"/>
          <w:color w:val="auto"/>
        </w:rPr>
        <w:t xml:space="preserve"> </w:t>
      </w:r>
      <w:r w:rsidR="00CF6FD4">
        <w:rPr>
          <w:rFonts w:cstheme="minorHAnsi"/>
          <w:color w:val="auto"/>
        </w:rPr>
        <w:t>the</w:t>
      </w:r>
      <w:r w:rsidR="006816A7">
        <w:rPr>
          <w:rFonts w:cstheme="minorHAnsi"/>
          <w:color w:val="auto"/>
        </w:rPr>
        <w:t xml:space="preserve"> median</w:t>
      </w:r>
      <w:r w:rsidR="00CF6FD4">
        <w:rPr>
          <w:rFonts w:cstheme="minorHAnsi"/>
          <w:color w:val="auto"/>
        </w:rPr>
        <w:t xml:space="preserve"> difference </w:t>
      </w:r>
      <w:r w:rsidR="00803171">
        <w:rPr>
          <w:rFonts w:cstheme="minorHAnsi"/>
          <w:color w:val="auto"/>
        </w:rPr>
        <w:t xml:space="preserve">in </w:t>
      </w:r>
      <w:r w:rsidR="00CA230D">
        <w:rPr>
          <w:rFonts w:cstheme="minorHAnsi"/>
          <w:color w:val="auto"/>
        </w:rPr>
        <w:t>UE attainment</w:t>
      </w:r>
      <w:r w:rsidR="004147D6">
        <w:rPr>
          <w:rFonts w:cstheme="minorHAnsi"/>
          <w:color w:val="auto"/>
        </w:rPr>
        <w:t xml:space="preserve"> in decile 1 – 4 schools</w:t>
      </w:r>
      <w:r w:rsidR="00CA230D">
        <w:rPr>
          <w:rFonts w:cstheme="minorHAnsi"/>
          <w:color w:val="auto"/>
        </w:rPr>
        <w:t xml:space="preserve"> </w:t>
      </w:r>
      <w:r w:rsidR="00CF6FD4" w:rsidRPr="005B10E5">
        <w:rPr>
          <w:rFonts w:cstheme="minorHAnsi"/>
          <w:i/>
          <w:iCs/>
          <w:color w:val="auto"/>
        </w:rPr>
        <w:t>increased</w:t>
      </w:r>
      <w:r w:rsidR="00CA230D">
        <w:rPr>
          <w:rFonts w:cstheme="minorHAnsi"/>
          <w:color w:val="auto"/>
        </w:rPr>
        <w:t xml:space="preserve"> from </w:t>
      </w:r>
      <w:r w:rsidR="00271B96">
        <w:rPr>
          <w:rFonts w:cstheme="minorHAnsi"/>
          <w:color w:val="auto"/>
        </w:rPr>
        <w:t>approximately</w:t>
      </w:r>
      <w:r w:rsidR="00CF6FD4">
        <w:rPr>
          <w:rFonts w:cstheme="minorHAnsi"/>
          <w:color w:val="auto"/>
        </w:rPr>
        <w:t xml:space="preserve"> </w:t>
      </w:r>
      <w:r w:rsidR="004147D6">
        <w:rPr>
          <w:rFonts w:cstheme="minorHAnsi"/>
          <w:color w:val="auto"/>
        </w:rPr>
        <w:t xml:space="preserve">12% </w:t>
      </w:r>
      <w:r w:rsidR="000C75A7">
        <w:rPr>
          <w:rFonts w:cstheme="minorHAnsi"/>
          <w:color w:val="auto"/>
        </w:rPr>
        <w:t>(30% - 18%)</w:t>
      </w:r>
      <w:r w:rsidR="004147D6">
        <w:rPr>
          <w:rFonts w:cstheme="minorHAnsi"/>
          <w:color w:val="auto"/>
        </w:rPr>
        <w:t xml:space="preserve"> </w:t>
      </w:r>
      <w:r w:rsidR="00803171">
        <w:rPr>
          <w:rFonts w:cstheme="minorHAnsi"/>
          <w:color w:val="auto"/>
        </w:rPr>
        <w:t xml:space="preserve">in 2013 </w:t>
      </w:r>
      <w:r w:rsidR="004147D6">
        <w:rPr>
          <w:rFonts w:cstheme="minorHAnsi"/>
          <w:color w:val="auto"/>
        </w:rPr>
        <w:t>to</w:t>
      </w:r>
      <w:r w:rsidR="00803171">
        <w:rPr>
          <w:rFonts w:cstheme="minorHAnsi"/>
          <w:color w:val="auto"/>
        </w:rPr>
        <w:t xml:space="preserve"> 25%</w:t>
      </w:r>
      <w:r w:rsidR="004147D6">
        <w:rPr>
          <w:rFonts w:cstheme="minorHAnsi"/>
          <w:color w:val="auto"/>
        </w:rPr>
        <w:t xml:space="preserve"> (</w:t>
      </w:r>
      <w:r w:rsidR="00803171">
        <w:rPr>
          <w:rFonts w:cstheme="minorHAnsi"/>
          <w:color w:val="auto"/>
        </w:rPr>
        <w:t>35% - 10%) in 2016</w:t>
      </w:r>
      <w:r w:rsidR="00344F60">
        <w:rPr>
          <w:rStyle w:val="FootnoteReference"/>
          <w:rFonts w:cstheme="minorHAnsi"/>
          <w:color w:val="auto"/>
        </w:rPr>
        <w:footnoteReference w:id="6"/>
      </w:r>
      <w:r w:rsidR="0039507B">
        <w:rPr>
          <w:rFonts w:cstheme="minorHAnsi"/>
          <w:color w:val="auto"/>
        </w:rPr>
        <w:t xml:space="preserve">, with others </w:t>
      </w:r>
      <w:r w:rsidR="006816A7">
        <w:rPr>
          <w:rFonts w:cstheme="minorHAnsi"/>
          <w:color w:val="auto"/>
        </w:rPr>
        <w:t>remaining constant</w:t>
      </w:r>
      <w:r w:rsidR="00803171">
        <w:rPr>
          <w:rFonts w:cstheme="minorHAnsi"/>
          <w:color w:val="auto"/>
        </w:rPr>
        <w:t>.</w:t>
      </w:r>
    </w:p>
    <w:p w14:paraId="4AA7EAD5" w14:textId="2D1A6DC8" w:rsidR="00467044" w:rsidRDefault="00910618" w:rsidP="0015413B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Hence, </w:t>
      </w:r>
      <w:r w:rsidR="003A4A31">
        <w:rPr>
          <w:rFonts w:cstheme="minorHAnsi"/>
          <w:color w:val="auto"/>
        </w:rPr>
        <w:t>either</w:t>
      </w:r>
      <w:r>
        <w:rPr>
          <w:rFonts w:cstheme="minorHAnsi"/>
          <w:color w:val="auto"/>
        </w:rPr>
        <w:t xml:space="preserve"> </w:t>
      </w:r>
      <w:r w:rsidR="00E10878">
        <w:rPr>
          <w:rFonts w:cstheme="minorHAnsi"/>
          <w:color w:val="auto"/>
        </w:rPr>
        <w:t xml:space="preserve">the 2017 – 2021 trend is a new occurrence or </w:t>
      </w:r>
      <w:r w:rsidR="003A4A31">
        <w:rPr>
          <w:rFonts w:cstheme="minorHAnsi"/>
          <w:color w:val="auto"/>
        </w:rPr>
        <w:t>caused by random fluctuation. Because we cannot be sure, neither correlation nor causation can be claimed here.</w:t>
      </w:r>
      <w:r w:rsidR="002140BF">
        <w:rPr>
          <w:rFonts w:cstheme="minorHAnsi"/>
          <w:color w:val="auto"/>
        </w:rPr>
        <w:t xml:space="preserve"> </w:t>
      </w:r>
      <w:r w:rsidR="003A4A31">
        <w:rPr>
          <w:rFonts w:cstheme="minorHAnsi"/>
          <w:color w:val="auto"/>
        </w:rPr>
        <w:t xml:space="preserve">Also </w:t>
      </w:r>
      <w:r w:rsidR="003F53FE">
        <w:rPr>
          <w:rFonts w:cstheme="minorHAnsi"/>
          <w:color w:val="auto"/>
        </w:rPr>
        <w:t>important to recognise</w:t>
      </w:r>
      <w:r w:rsidR="003A4A31">
        <w:rPr>
          <w:rFonts w:cstheme="minorHAnsi"/>
          <w:color w:val="auto"/>
        </w:rPr>
        <w:t xml:space="preserve"> is</w:t>
      </w:r>
      <w:r w:rsidR="000918D3">
        <w:rPr>
          <w:rFonts w:cstheme="minorHAnsi"/>
          <w:color w:val="auto"/>
        </w:rPr>
        <w:t xml:space="preserve"> the influence of Covid-</w:t>
      </w:r>
      <w:r w:rsidR="00772126">
        <w:rPr>
          <w:rFonts w:cstheme="minorHAnsi"/>
          <w:color w:val="auto"/>
        </w:rPr>
        <w:t>19,</w:t>
      </w:r>
      <w:r w:rsidR="000918D3">
        <w:rPr>
          <w:rFonts w:cstheme="minorHAnsi"/>
          <w:color w:val="auto"/>
        </w:rPr>
        <w:t xml:space="preserve"> which </w:t>
      </w:r>
      <w:r w:rsidR="00F014FE">
        <w:rPr>
          <w:rFonts w:cstheme="minorHAnsi"/>
          <w:color w:val="auto"/>
        </w:rPr>
        <w:t>will likely</w:t>
      </w:r>
      <w:r w:rsidR="000918D3">
        <w:rPr>
          <w:rFonts w:cstheme="minorHAnsi"/>
          <w:color w:val="auto"/>
        </w:rPr>
        <w:t xml:space="preserve"> </w:t>
      </w:r>
      <w:r w:rsidR="00BA3092">
        <w:rPr>
          <w:rFonts w:cstheme="minorHAnsi"/>
          <w:color w:val="auto"/>
        </w:rPr>
        <w:t xml:space="preserve">generate </w:t>
      </w:r>
      <w:r w:rsidR="000918D3">
        <w:rPr>
          <w:rFonts w:cstheme="minorHAnsi"/>
          <w:color w:val="auto"/>
        </w:rPr>
        <w:t>short-term</w:t>
      </w:r>
      <w:r w:rsidR="00BA3092">
        <w:rPr>
          <w:rFonts w:cstheme="minorHAnsi"/>
          <w:color w:val="auto"/>
        </w:rPr>
        <w:t>, un</w:t>
      </w:r>
      <w:r w:rsidR="006C5AE7">
        <w:rPr>
          <w:rFonts w:cstheme="minorHAnsi"/>
          <w:color w:val="auto"/>
        </w:rPr>
        <w:t>predictable</w:t>
      </w:r>
      <w:r w:rsidR="0039507B">
        <w:rPr>
          <w:rFonts w:cstheme="minorHAnsi"/>
          <w:color w:val="auto"/>
        </w:rPr>
        <w:t xml:space="preserve"> fluctuations in </w:t>
      </w:r>
      <w:r w:rsidR="006C5AE7">
        <w:rPr>
          <w:rFonts w:cstheme="minorHAnsi"/>
          <w:color w:val="auto"/>
        </w:rPr>
        <w:t>the pattern</w:t>
      </w:r>
      <w:r w:rsidR="0039507B">
        <w:rPr>
          <w:rFonts w:cstheme="minorHAnsi"/>
          <w:color w:val="auto"/>
        </w:rPr>
        <w:t>.</w:t>
      </w:r>
      <w:r w:rsidR="00D675B3">
        <w:rPr>
          <w:rFonts w:cstheme="minorHAnsi"/>
          <w:color w:val="auto"/>
        </w:rPr>
        <w:t xml:space="preserve"> </w:t>
      </w:r>
      <w:r w:rsidR="000E54EE">
        <w:rPr>
          <w:rFonts w:cstheme="minorHAnsi"/>
          <w:color w:val="auto"/>
        </w:rPr>
        <w:t>Future</w:t>
      </w:r>
      <w:r w:rsidR="00D675B3">
        <w:rPr>
          <w:rFonts w:cstheme="minorHAnsi"/>
          <w:color w:val="auto"/>
        </w:rPr>
        <w:t xml:space="preserve"> data </w:t>
      </w:r>
      <w:r w:rsidR="000E54EE">
        <w:rPr>
          <w:rFonts w:cstheme="minorHAnsi"/>
          <w:color w:val="auto"/>
        </w:rPr>
        <w:t>gathered post-covid</w:t>
      </w:r>
      <w:r w:rsidR="00EF1391">
        <w:rPr>
          <w:rFonts w:cstheme="minorHAnsi"/>
          <w:color w:val="auto"/>
        </w:rPr>
        <w:t xml:space="preserve"> </w:t>
      </w:r>
      <w:r w:rsidR="000E54EE">
        <w:rPr>
          <w:rFonts w:cstheme="minorHAnsi"/>
          <w:color w:val="auto"/>
        </w:rPr>
        <w:t>may be able to shed a little more light on this emergent pattern.</w:t>
      </w:r>
    </w:p>
    <w:p w14:paraId="4EB74400" w14:textId="77777777" w:rsidR="000C4CF0" w:rsidRDefault="000C4CF0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7E884018" w14:textId="76E1C981" w:rsidR="000C4CF0" w:rsidRDefault="000C4CF0" w:rsidP="000C4CF0">
      <w:pPr>
        <w:pStyle w:val="Heading1"/>
        <w:rPr>
          <w:noProof/>
          <w:sz w:val="12"/>
          <w:szCs w:val="12"/>
        </w:rPr>
      </w:pPr>
      <w:bookmarkStart w:id="17" w:name="_Toc130862586"/>
      <w:r>
        <w:lastRenderedPageBreak/>
        <w:t xml:space="preserve">Disaggregated by </w:t>
      </w:r>
      <w:r w:rsidR="004A29E9">
        <w:t>Decile</w:t>
      </w:r>
      <w:r>
        <w:br/>
      </w:r>
      <w:r w:rsidR="008C5D34">
        <w:rPr>
          <w:noProof/>
          <w:sz w:val="12"/>
          <w:szCs w:val="12"/>
        </w:rPr>
        <w:pict w14:anchorId="0EC389C0">
          <v:rect id="_x0000_i1030" style="width:451.3pt;height:1.5pt" o:hrstd="t" o:hr="t" fillcolor="#a0a0a0" stroked="f"/>
        </w:pict>
      </w:r>
      <w:bookmarkEnd w:id="17"/>
    </w:p>
    <w:p w14:paraId="0DE6CAB8" w14:textId="2BD5F665" w:rsidR="00846876" w:rsidRDefault="00846876" w:rsidP="00846876">
      <w:pPr>
        <w:pStyle w:val="Caption"/>
        <w:rPr>
          <w:rFonts w:cstheme="minorHAnsi"/>
          <w:color w:val="auto"/>
        </w:rPr>
      </w:pPr>
      <w:bookmarkStart w:id="18" w:name="_Ref130754661"/>
      <w:bookmarkStart w:id="19" w:name="_Ref129812544"/>
      <w:r>
        <w:t xml:space="preserve">Table </w:t>
      </w:r>
      <w:r w:rsidR="008C5D34">
        <w:fldChar w:fldCharType="begin"/>
      </w:r>
      <w:r w:rsidR="008C5D34">
        <w:instrText xml:space="preserve"> SEQ Table \* ARABIC </w:instrText>
      </w:r>
      <w:r w:rsidR="008C5D34">
        <w:fldChar w:fldCharType="separate"/>
      </w:r>
      <w:r w:rsidR="008C5D34">
        <w:rPr>
          <w:noProof/>
        </w:rPr>
        <w:t>3</w:t>
      </w:r>
      <w:r w:rsidR="008C5D34">
        <w:rPr>
          <w:noProof/>
        </w:rPr>
        <w:fldChar w:fldCharType="end"/>
      </w:r>
      <w:bookmarkEnd w:id="18"/>
      <w:r>
        <w:t xml:space="preserve">. Percentage of male NZ secondary school leavers attaining </w:t>
      </w:r>
      <w:r w:rsidRPr="00CC2A4E">
        <w:t>each</w:t>
      </w:r>
      <w:r>
        <w:t xml:space="preserve"> level of qualification, disaggregated by </w:t>
      </w:r>
      <w:r w:rsidR="00F31BF3">
        <w:t>school type</w:t>
      </w:r>
      <w:r>
        <w:t xml:space="preserve"> and school </w:t>
      </w:r>
      <w:r w:rsidR="004A29E9">
        <w:t>decile</w:t>
      </w:r>
      <w:r w:rsidR="00691CBD">
        <w:t xml:space="preserve"> (n = </w:t>
      </w:r>
      <w:r w:rsidR="00691CBD" w:rsidRPr="00691CBD">
        <w:t>155</w:t>
      </w:r>
      <w:r w:rsidR="00691CBD">
        <w:t xml:space="preserve"> </w:t>
      </w:r>
      <w:r w:rsidR="00691CBD" w:rsidRPr="00691CBD">
        <w:t>630</w:t>
      </w:r>
      <w:r w:rsidR="00691CBD">
        <w:t>)</w:t>
      </w:r>
      <w:r>
        <w:t>.</w:t>
      </w:r>
      <w:bookmarkEnd w:id="19"/>
    </w:p>
    <w:tbl>
      <w:tblPr>
        <w:tblStyle w:val="TableGrid"/>
        <w:tblW w:w="5812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1276"/>
        <w:gridCol w:w="1276"/>
      </w:tblGrid>
      <w:tr w:rsidR="00846876" w14:paraId="5677C109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69FBACAA" w14:textId="708C044A" w:rsidR="00846876" w:rsidRPr="00D67BB0" w:rsidRDefault="004A29E9" w:rsidP="008C07EF">
            <w:pPr>
              <w:jc w:val="center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Decile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vAlign w:val="center"/>
          </w:tcPr>
          <w:p w14:paraId="771BDBF5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Highest Qualification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02D23CEB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 xml:space="preserve">Percentage of </w:t>
            </w:r>
            <w:r w:rsidRPr="00D67BB0">
              <w:rPr>
                <w:rFonts w:cstheme="minorBidi"/>
                <w:b/>
                <w:bCs/>
                <w:color w:val="auto"/>
              </w:rPr>
              <w:t>Students</w:t>
            </w:r>
          </w:p>
        </w:tc>
      </w:tr>
      <w:tr w:rsidR="00846876" w14:paraId="1FCD516D" w14:textId="77777777" w:rsidTr="008C07EF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4B3562EB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vAlign w:val="center"/>
          </w:tcPr>
          <w:p w14:paraId="5A20AA62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23569B6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Co-Ed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46254B7A" w14:textId="0C5C60B7" w:rsidR="00846876" w:rsidRDefault="003D2C82" w:rsidP="008C07EF">
            <w:pPr>
              <w:jc w:val="center"/>
              <w:rPr>
                <w:rFonts w:cstheme="minorHAnsi"/>
                <w:color w:val="auto"/>
              </w:rPr>
            </w:pPr>
            <w:proofErr w:type="gramStart"/>
            <w:r>
              <w:rPr>
                <w:rFonts w:cstheme="minorHAnsi"/>
                <w:b/>
                <w:bCs/>
                <w:color w:val="auto"/>
              </w:rPr>
              <w:t>Single-sex</w:t>
            </w:r>
            <w:proofErr w:type="gramEnd"/>
          </w:p>
        </w:tc>
      </w:tr>
      <w:tr w:rsidR="00AA7328" w14:paraId="30D4219C" w14:textId="77777777" w:rsidTr="00AA7328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22B98EBA" w14:textId="77178C4C" w:rsidR="00AA7328" w:rsidRPr="00724C06" w:rsidRDefault="004A29E9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Decile</w:t>
            </w:r>
            <w:r w:rsidR="0033797B">
              <w:rPr>
                <w:rFonts w:ascii="Calibri" w:hAnsi="Calibri" w:cs="Calibri"/>
                <w:color w:val="000000"/>
              </w:rPr>
              <w:br/>
            </w:r>
            <w:r w:rsidR="00AA7328">
              <w:rPr>
                <w:rFonts w:ascii="Calibri" w:hAnsi="Calibri" w:cs="Calibri"/>
                <w:color w:val="000000"/>
              </w:rPr>
              <w:t>1</w:t>
            </w:r>
            <w:r w:rsidR="00B943EF">
              <w:rPr>
                <w:rFonts w:ascii="Calibri" w:hAnsi="Calibri" w:cs="Calibri"/>
                <w:color w:val="000000"/>
              </w:rPr>
              <w:t xml:space="preserve"> - 2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43A53E07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35495ED2" w14:textId="127EDF1F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24.4%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5AC774AE" w14:textId="188C07E2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8.7%</w:t>
            </w:r>
          </w:p>
        </w:tc>
      </w:tr>
      <w:tr w:rsidR="00AA7328" w14:paraId="32530C5D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551A34D0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968F2EA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A3BF5AA" w14:textId="4414F26C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12.7%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94C61DB" w14:textId="3BD77F8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8.7%</w:t>
            </w:r>
          </w:p>
        </w:tc>
      </w:tr>
      <w:tr w:rsidR="00AA7328" w14:paraId="71D97686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370E24A7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4A0DE7B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A83D6EC" w14:textId="49C9BCD0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27.6%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ED8E517" w14:textId="27F1581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27.4%</w:t>
            </w:r>
          </w:p>
        </w:tc>
      </w:tr>
      <w:tr w:rsidR="00AA7328" w14:paraId="1D60A1D3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3EA4E459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6D8F2F0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BECBB66" w14:textId="232A8D16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24.8%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3DE2C92" w14:textId="09782333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21.3%</w:t>
            </w:r>
          </w:p>
        </w:tc>
      </w:tr>
      <w:tr w:rsidR="00AA7328" w14:paraId="0BE10E99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1F2CEBC1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195D0543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09F8D05" w14:textId="36381930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10.5%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3F1BCB4" w14:textId="0F738A9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33.9%</w:t>
            </w:r>
          </w:p>
        </w:tc>
      </w:tr>
      <w:tr w:rsidR="00AA7328" w14:paraId="1C212D66" w14:textId="77777777" w:rsidTr="00AA7328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53F9C8D1" w14:textId="6A4DB7D3" w:rsidR="00AA7328" w:rsidRPr="00D67BB0" w:rsidRDefault="00B943EF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Decile</w:t>
            </w:r>
            <w:r w:rsidR="0033797B">
              <w:rPr>
                <w:rFonts w:ascii="Calibri" w:hAnsi="Calibri" w:cs="Calibri"/>
                <w:color w:val="000000"/>
              </w:rPr>
              <w:br/>
            </w:r>
            <w:r w:rsidR="006472C2">
              <w:rPr>
                <w:rFonts w:ascii="Calibri" w:hAnsi="Calibri" w:cs="Calibri"/>
                <w:color w:val="000000"/>
              </w:rPr>
              <w:t>3 - 4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3099CD79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176C62BE" w14:textId="30CBA605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16.1%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3414C6F3" w14:textId="76CCEEE0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12.4%</w:t>
            </w:r>
          </w:p>
        </w:tc>
      </w:tr>
      <w:tr w:rsidR="00AA7328" w14:paraId="261EEBAD" w14:textId="77777777" w:rsidTr="00AA7328">
        <w:trPr>
          <w:trHeight w:val="340"/>
        </w:trPr>
        <w:tc>
          <w:tcPr>
            <w:tcW w:w="1276" w:type="dxa"/>
            <w:vMerge/>
            <w:vAlign w:val="center"/>
          </w:tcPr>
          <w:p w14:paraId="3FD762B8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44F2FD51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8ECE96A" w14:textId="051479D9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3C34AF1" w14:textId="1509C12C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9.3%</w:t>
            </w:r>
          </w:p>
        </w:tc>
      </w:tr>
      <w:tr w:rsidR="00AA7328" w14:paraId="7DA1431F" w14:textId="77777777" w:rsidTr="00AA7328">
        <w:trPr>
          <w:trHeight w:val="340"/>
        </w:trPr>
        <w:tc>
          <w:tcPr>
            <w:tcW w:w="1276" w:type="dxa"/>
            <w:vMerge/>
            <w:vAlign w:val="center"/>
          </w:tcPr>
          <w:p w14:paraId="0B440386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4B47DD95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F0C75EC" w14:textId="06CCB882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32.6%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C149B94" w14:textId="7D584F0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25.8%</w:t>
            </w:r>
          </w:p>
        </w:tc>
      </w:tr>
      <w:tr w:rsidR="00AA7328" w14:paraId="5E69A33B" w14:textId="77777777" w:rsidTr="00AA7328">
        <w:trPr>
          <w:trHeight w:val="340"/>
        </w:trPr>
        <w:tc>
          <w:tcPr>
            <w:tcW w:w="1276" w:type="dxa"/>
            <w:vMerge/>
            <w:vAlign w:val="center"/>
          </w:tcPr>
          <w:p w14:paraId="2E98EB9B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B937027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2424FA7" w14:textId="2B23BAB9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18.7%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4F67815" w14:textId="00A75572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21.1%</w:t>
            </w:r>
          </w:p>
        </w:tc>
      </w:tr>
      <w:tr w:rsidR="00AA7328" w14:paraId="22A05769" w14:textId="77777777" w:rsidTr="00AA7328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15A7F3F7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674702ED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A4820C8" w14:textId="5835489D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20.7%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C1E549A" w14:textId="2EC3AE03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31.4%</w:t>
            </w:r>
          </w:p>
        </w:tc>
      </w:tr>
      <w:tr w:rsidR="00AA7328" w14:paraId="00BD52EA" w14:textId="77777777" w:rsidTr="00AA7328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7C462B36" w14:textId="79FF57D7" w:rsidR="00AA7328" w:rsidRPr="00D67BB0" w:rsidRDefault="00B943EF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Decile</w:t>
            </w:r>
            <w:r w:rsidR="0033797B">
              <w:rPr>
                <w:rFonts w:ascii="Calibri" w:hAnsi="Calibri" w:cs="Calibri"/>
                <w:color w:val="000000"/>
              </w:rPr>
              <w:br/>
            </w:r>
            <w:r w:rsidR="006472C2">
              <w:rPr>
                <w:rFonts w:ascii="Calibri" w:hAnsi="Calibri" w:cs="Calibri"/>
                <w:color w:val="000000"/>
              </w:rPr>
              <w:t>5 - 6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2AF4AF2E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7F1353B" w14:textId="69FC2F68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13.7%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B93D0C7" w14:textId="25F704C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10.2%</w:t>
            </w:r>
          </w:p>
        </w:tc>
      </w:tr>
      <w:tr w:rsidR="00AA7328" w14:paraId="43E32918" w14:textId="77777777" w:rsidTr="00AA7328">
        <w:trPr>
          <w:trHeight w:val="340"/>
        </w:trPr>
        <w:tc>
          <w:tcPr>
            <w:tcW w:w="1276" w:type="dxa"/>
            <w:vMerge/>
            <w:vAlign w:val="center"/>
          </w:tcPr>
          <w:p w14:paraId="7A228EB5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1AC99C56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37F4185" w14:textId="0E308A7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12.6%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4016097" w14:textId="02D47CEF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10.4%</w:t>
            </w:r>
          </w:p>
        </w:tc>
      </w:tr>
      <w:tr w:rsidR="00AA7328" w14:paraId="3A45E97E" w14:textId="77777777" w:rsidTr="00AA7328">
        <w:trPr>
          <w:trHeight w:val="340"/>
        </w:trPr>
        <w:tc>
          <w:tcPr>
            <w:tcW w:w="1276" w:type="dxa"/>
            <w:vMerge/>
            <w:vAlign w:val="center"/>
          </w:tcPr>
          <w:p w14:paraId="7CAC45F2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8045902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9D7AAEB" w14:textId="4D161B9C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35.1%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1C4E9B0" w14:textId="56B9868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32.1%</w:t>
            </w:r>
          </w:p>
        </w:tc>
      </w:tr>
      <w:tr w:rsidR="00AA7328" w14:paraId="0306B6DC" w14:textId="77777777" w:rsidTr="00AA7328">
        <w:trPr>
          <w:trHeight w:val="340"/>
        </w:trPr>
        <w:tc>
          <w:tcPr>
            <w:tcW w:w="1276" w:type="dxa"/>
            <w:vMerge/>
            <w:vAlign w:val="center"/>
          </w:tcPr>
          <w:p w14:paraId="271B5779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EF7887C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93BDA7B" w14:textId="0151AEF1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16.1%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8398DED" w14:textId="63BAC5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15.5%</w:t>
            </w:r>
          </w:p>
        </w:tc>
      </w:tr>
      <w:tr w:rsidR="00AA7328" w14:paraId="410A43C5" w14:textId="77777777" w:rsidTr="00AA7328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33A1CFC5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61AC74BC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0073BAC" w14:textId="3041B8D5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22.5%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088F420" w14:textId="4D5C1DC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31.8%</w:t>
            </w:r>
          </w:p>
        </w:tc>
      </w:tr>
      <w:tr w:rsidR="00AA7328" w14:paraId="495B7F48" w14:textId="77777777" w:rsidTr="00AA7328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41D6B5BB" w14:textId="64A0C57C" w:rsidR="00AA7328" w:rsidRPr="00D67BB0" w:rsidRDefault="00B943EF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Decile</w:t>
            </w:r>
            <w:r w:rsidR="0033797B">
              <w:rPr>
                <w:rFonts w:ascii="Calibri" w:hAnsi="Calibri" w:cs="Calibri"/>
                <w:color w:val="000000"/>
              </w:rPr>
              <w:br/>
            </w:r>
            <w:r w:rsidR="006472C2">
              <w:rPr>
                <w:rFonts w:ascii="Calibri" w:hAnsi="Calibri" w:cs="Calibri"/>
                <w:color w:val="000000"/>
              </w:rPr>
              <w:t>7 - 8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6506A69D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B32D384" w14:textId="4B057D6F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9.2%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77E939CE" w14:textId="0F8C6E1E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5.1%</w:t>
            </w:r>
          </w:p>
        </w:tc>
      </w:tr>
      <w:tr w:rsidR="00AA7328" w14:paraId="6742A3EA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562ED947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E5256C0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7D6FB6A" w14:textId="757A974C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D77C80F" w14:textId="79C03FF2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6.9%</w:t>
            </w:r>
          </w:p>
        </w:tc>
      </w:tr>
      <w:tr w:rsidR="00AA7328" w14:paraId="4D46235B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02973841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E55CCD5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CA00290" w14:textId="4FF164C5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29.1%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18F308B" w14:textId="5CDC3898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27.7%</w:t>
            </w:r>
          </w:p>
        </w:tc>
      </w:tr>
      <w:tr w:rsidR="00AA7328" w14:paraId="4CC79539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6C73241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2DF9312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61A00DE" w14:textId="0BF4CEC6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EA00AB5" w14:textId="14F7E7AE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13.1%</w:t>
            </w:r>
          </w:p>
        </w:tc>
      </w:tr>
      <w:tr w:rsidR="00AA7328" w14:paraId="57C9498C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1FB492E3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6D73C682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D936456" w14:textId="10CA67DA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38.3%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6A7CFB80" w14:textId="2D0457BA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47.3%</w:t>
            </w:r>
          </w:p>
        </w:tc>
      </w:tr>
      <w:tr w:rsidR="00AA7328" w14:paraId="547E76AF" w14:textId="77777777" w:rsidTr="00AA7328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601756D9" w14:textId="50A78178" w:rsidR="00AA7328" w:rsidRPr="00D67BB0" w:rsidRDefault="00B943EF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Decile</w:t>
            </w:r>
            <w:r w:rsidR="0033797B">
              <w:rPr>
                <w:rFonts w:ascii="Calibri" w:hAnsi="Calibri" w:cs="Calibri"/>
                <w:color w:val="000000"/>
              </w:rPr>
              <w:br/>
            </w:r>
            <w:r w:rsidR="006472C2">
              <w:rPr>
                <w:rFonts w:ascii="Calibri" w:hAnsi="Calibri" w:cs="Calibri"/>
                <w:color w:val="000000"/>
              </w:rPr>
              <w:t>9 -</w:t>
            </w:r>
            <w:r w:rsidR="00F728C1">
              <w:rPr>
                <w:rFonts w:ascii="Calibri" w:hAnsi="Calibri" w:cs="Calibri"/>
                <w:color w:val="000000"/>
              </w:rPr>
              <w:t xml:space="preserve"> </w:t>
            </w:r>
            <w:r w:rsidR="006472C2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7A6BBE9C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127C6993" w14:textId="76FEB479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5.8%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9EAEC77" w14:textId="5805F362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2.5%</w:t>
            </w:r>
          </w:p>
        </w:tc>
      </w:tr>
      <w:tr w:rsidR="00AA7328" w14:paraId="1B2CE62C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29BEF2B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3330510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755F261" w14:textId="5AEB952D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6.0%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7405C98" w14:textId="555C30DE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3.3%</w:t>
            </w:r>
          </w:p>
        </w:tc>
      </w:tr>
      <w:tr w:rsidR="00AA7328" w14:paraId="03886B74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2486ED3E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7483365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7E89BA8" w14:textId="37FDE4E5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21.7%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1A86070" w14:textId="7C534933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14.0%</w:t>
            </w:r>
          </w:p>
        </w:tc>
      </w:tr>
      <w:tr w:rsidR="00AA7328" w14:paraId="465170E0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238EEE8D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D624D8C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F45C1C8" w14:textId="12D1021D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12.2%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2281243" w14:textId="0E8665A1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9.0%</w:t>
            </w:r>
          </w:p>
        </w:tc>
      </w:tr>
      <w:tr w:rsidR="00AA7328" w14:paraId="034E263A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3D6427BA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4654E90E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427D99CC" w14:textId="6CDAA84B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54.3%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67820D89" w14:textId="46BF0068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71.2%</w:t>
            </w:r>
          </w:p>
        </w:tc>
      </w:tr>
      <w:tr w:rsidR="00AA7328" w14:paraId="0E98A65D" w14:textId="77777777" w:rsidTr="00AA7328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681D304C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Applicable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42D2BA6A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29464715" w14:textId="3DB8C39D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821AA8D" w14:textId="36EA125A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20.5%</w:t>
            </w:r>
          </w:p>
        </w:tc>
      </w:tr>
      <w:tr w:rsidR="00AA7328" w14:paraId="6B718C2A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132E7AC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8EE7990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FBA7F7A" w14:textId="36B40303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0B92FF4" w14:textId="7E7E7745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6.8%</w:t>
            </w:r>
          </w:p>
        </w:tc>
      </w:tr>
      <w:tr w:rsidR="00AA7328" w14:paraId="155A97B5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7E1B1001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F41F42A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040EE8F" w14:textId="5E5518D5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60CD52A" w14:textId="6F714D39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59.1%</w:t>
            </w:r>
          </w:p>
        </w:tc>
      </w:tr>
      <w:tr w:rsidR="00AA7328" w14:paraId="1081E12A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4F7AC05D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3327FCF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35E01BD" w14:textId="3B2E174C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8758BD3" w14:textId="34A953FE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9.1%</w:t>
            </w:r>
          </w:p>
        </w:tc>
      </w:tr>
      <w:tr w:rsidR="00AA7328" w14:paraId="060E7A47" w14:textId="77777777" w:rsidTr="00AA7328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61A7D4FC" w14:textId="7777777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7EA2A162" w14:textId="77777777" w:rsidR="00AA7328" w:rsidRPr="00D67BB0" w:rsidRDefault="00AA7328" w:rsidP="00AA7328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401624A3" w14:textId="50943917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C885AC1" w14:textId="1581240B" w:rsidR="00AA7328" w:rsidRDefault="00AA7328" w:rsidP="00AA7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4.5%</w:t>
            </w:r>
          </w:p>
        </w:tc>
      </w:tr>
    </w:tbl>
    <w:p w14:paraId="7475B94D" w14:textId="77777777" w:rsidR="00846876" w:rsidRDefault="00846876" w:rsidP="00846876">
      <w:r>
        <w:br w:type="page"/>
      </w:r>
    </w:p>
    <w:p w14:paraId="44E18DC4" w14:textId="7568666A" w:rsidR="008D1AD1" w:rsidRDefault="00304E42" w:rsidP="008D1AD1">
      <w:pPr>
        <w:keepNext/>
      </w:pPr>
      <w:r>
        <w:rPr>
          <w:rFonts w:cstheme="minorHAnsi"/>
          <w:noProof/>
          <w:color w:val="auto"/>
        </w:rPr>
        <w:lastRenderedPageBreak/>
        <w:drawing>
          <wp:inline distT="0" distB="0" distL="0" distR="0" wp14:anchorId="0F789694" wp14:editId="49E1C5A7">
            <wp:extent cx="57245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98A0" w14:textId="1285B528" w:rsidR="008D1AD1" w:rsidRDefault="008D1AD1" w:rsidP="008469D4">
      <w:pPr>
        <w:pStyle w:val="Caption"/>
      </w:pPr>
      <w:bookmarkStart w:id="20" w:name="_Ref130746601"/>
      <w:r>
        <w:t xml:space="preserve">Figure </w:t>
      </w:r>
      <w:r w:rsidR="008C5D34">
        <w:fldChar w:fldCharType="begin"/>
      </w:r>
      <w:r w:rsidR="008C5D34">
        <w:instrText xml:space="preserve"> SEQ Figure \* ARABIC </w:instrText>
      </w:r>
      <w:r w:rsidR="008C5D34">
        <w:fldChar w:fldCharType="separate"/>
      </w:r>
      <w:r w:rsidR="008C5D34">
        <w:rPr>
          <w:noProof/>
        </w:rPr>
        <w:t>3</w:t>
      </w:r>
      <w:r w:rsidR="008C5D34">
        <w:rPr>
          <w:noProof/>
        </w:rPr>
        <w:fldChar w:fldCharType="end"/>
      </w:r>
      <w:bookmarkEnd w:id="20"/>
      <w:r>
        <w:t xml:space="preserve">. Generated from </w:t>
      </w:r>
      <w:r>
        <w:fldChar w:fldCharType="begin"/>
      </w:r>
      <w:r>
        <w:instrText xml:space="preserve"> REF _Ref129812544 \h </w:instrText>
      </w:r>
      <w:r>
        <w:fldChar w:fldCharType="separate"/>
      </w:r>
      <w:r w:rsidR="008C5D34">
        <w:t xml:space="preserve">Table </w:t>
      </w:r>
      <w:r w:rsidR="008C5D34">
        <w:rPr>
          <w:noProof/>
        </w:rPr>
        <w:t>3</w:t>
      </w:r>
      <w:r w:rsidR="008C5D34">
        <w:t xml:space="preserve">. Percentage of male NZ secondary school leavers attaining </w:t>
      </w:r>
      <w:r w:rsidR="008C5D34" w:rsidRPr="00CC2A4E">
        <w:t>each</w:t>
      </w:r>
      <w:r w:rsidR="008C5D34">
        <w:t xml:space="preserve"> level of qualification, disaggregated by school type and school decile (n = </w:t>
      </w:r>
      <w:r w:rsidR="008C5D34" w:rsidRPr="00691CBD">
        <w:t>155</w:t>
      </w:r>
      <w:r w:rsidR="008C5D34">
        <w:t xml:space="preserve"> </w:t>
      </w:r>
      <w:r w:rsidR="008C5D34" w:rsidRPr="00691CBD">
        <w:t>630</w:t>
      </w:r>
      <w:r w:rsidR="008C5D34">
        <w:t>).</w:t>
      </w:r>
      <w:r>
        <w:fldChar w:fldCharType="end"/>
      </w:r>
    </w:p>
    <w:p w14:paraId="3D567A4C" w14:textId="0D052991" w:rsidR="00EA2C2A" w:rsidRDefault="00EA2C2A"/>
    <w:p w14:paraId="07570D7F" w14:textId="77777777" w:rsidR="001B7D14" w:rsidRDefault="001C5D9C" w:rsidP="00C829F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As </w:t>
      </w:r>
      <w:r w:rsidR="003C1CB1">
        <w:rPr>
          <w:rFonts w:cstheme="minorHAnsi"/>
          <w:color w:val="auto"/>
        </w:rPr>
        <w:t xml:space="preserve">previously </w:t>
      </w:r>
      <w:r w:rsidR="00C73C48">
        <w:rPr>
          <w:rFonts w:cstheme="minorHAnsi"/>
          <w:color w:val="auto"/>
        </w:rPr>
        <w:t>emphasised</w:t>
      </w:r>
      <w:r>
        <w:rPr>
          <w:rFonts w:cstheme="minorHAnsi"/>
          <w:color w:val="auto"/>
        </w:rPr>
        <w:t xml:space="preserve">, the nature of this investigation means the observed correlation between school type and achievement rate cannot be attributed with certainty to single-sex schools </w:t>
      </w:r>
      <w:r>
        <w:rPr>
          <w:rFonts w:cstheme="minorHAnsi"/>
          <w:i/>
          <w:iCs/>
          <w:color w:val="auto"/>
        </w:rPr>
        <w:t>causing</w:t>
      </w:r>
      <w:r>
        <w:rPr>
          <w:rFonts w:cstheme="minorHAnsi"/>
          <w:color w:val="auto"/>
        </w:rPr>
        <w:t xml:space="preserve"> high achievement rates. It is possible, for instance, that the reputation of boys’ schools disproportionally attracts high-achieving students</w:t>
      </w:r>
      <w:r w:rsidR="00642ED5">
        <w:rPr>
          <w:rFonts w:cstheme="minorHAnsi"/>
          <w:color w:val="auto"/>
        </w:rPr>
        <w:t>;</w:t>
      </w:r>
      <w:r>
        <w:rPr>
          <w:rFonts w:cstheme="minorHAnsi"/>
          <w:color w:val="auto"/>
        </w:rPr>
        <w:t xml:space="preserve"> </w:t>
      </w:r>
      <w:r w:rsidR="00642ED5">
        <w:rPr>
          <w:rFonts w:cstheme="minorHAnsi"/>
          <w:color w:val="auto"/>
        </w:rPr>
        <w:t>alternatively,</w:t>
      </w:r>
      <w:r>
        <w:rPr>
          <w:rFonts w:cstheme="minorHAnsi"/>
          <w:color w:val="auto"/>
        </w:rPr>
        <w:t xml:space="preserve"> boys’ schools tend to be situated in urban areas where the population density </w:t>
      </w:r>
      <w:r w:rsidR="00642ED5">
        <w:rPr>
          <w:rFonts w:cstheme="minorHAnsi"/>
          <w:color w:val="auto"/>
        </w:rPr>
        <w:t>warrants</w:t>
      </w:r>
      <w:r>
        <w:rPr>
          <w:rFonts w:cstheme="minorHAnsi"/>
          <w:color w:val="auto"/>
        </w:rPr>
        <w:t xml:space="preserve"> </w:t>
      </w:r>
      <w:r w:rsidR="00642ED5">
        <w:rPr>
          <w:rFonts w:cstheme="minorHAnsi"/>
          <w:color w:val="auto"/>
        </w:rPr>
        <w:t>multiple</w:t>
      </w:r>
      <w:r>
        <w:rPr>
          <w:rFonts w:cstheme="minorHAnsi"/>
          <w:color w:val="auto"/>
        </w:rPr>
        <w:t xml:space="preserve"> schools</w:t>
      </w:r>
      <w:r w:rsidR="00642ED5">
        <w:rPr>
          <w:rFonts w:cstheme="minorHAnsi"/>
          <w:color w:val="auto"/>
        </w:rPr>
        <w:t xml:space="preserve"> in the same area</w:t>
      </w:r>
      <w:r>
        <w:rPr>
          <w:rFonts w:cstheme="minorHAnsi"/>
          <w:color w:val="auto"/>
        </w:rPr>
        <w:t>.</w:t>
      </w:r>
      <w:r w:rsidR="008F5CCB">
        <w:rPr>
          <w:rFonts w:cstheme="minorHAnsi"/>
          <w:color w:val="auto"/>
        </w:rPr>
        <w:t xml:space="preserve"> Other </w:t>
      </w:r>
      <w:r w:rsidR="001C6AD3">
        <w:rPr>
          <w:rFonts w:cstheme="minorHAnsi"/>
          <w:color w:val="auto"/>
        </w:rPr>
        <w:t>socioeconomic</w:t>
      </w:r>
      <w:r w:rsidR="008F5CCB">
        <w:rPr>
          <w:rFonts w:cstheme="minorHAnsi"/>
          <w:color w:val="auto"/>
        </w:rPr>
        <w:t xml:space="preserve"> feedback loops may </w:t>
      </w:r>
      <w:r w:rsidR="009300A3">
        <w:rPr>
          <w:rFonts w:cstheme="minorHAnsi"/>
          <w:color w:val="auto"/>
        </w:rPr>
        <w:t xml:space="preserve">also </w:t>
      </w:r>
      <w:r w:rsidR="008F5CCB">
        <w:rPr>
          <w:rFonts w:cstheme="minorHAnsi"/>
          <w:color w:val="auto"/>
        </w:rPr>
        <w:t>be in play.</w:t>
      </w:r>
    </w:p>
    <w:p w14:paraId="1523B9DD" w14:textId="350E797A" w:rsidR="00090EC1" w:rsidRDefault="008F5CCB" w:rsidP="00C829F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section disaggregates male achievement by </w:t>
      </w:r>
      <w:r w:rsidR="0033797B">
        <w:rPr>
          <w:rFonts w:cstheme="minorHAnsi"/>
          <w:color w:val="auto"/>
        </w:rPr>
        <w:t>decile</w:t>
      </w:r>
      <w:r w:rsidR="005533FE">
        <w:rPr>
          <w:rFonts w:cstheme="minorHAnsi"/>
          <w:color w:val="auto"/>
        </w:rPr>
        <w:t xml:space="preserve">. By </w:t>
      </w:r>
      <w:r w:rsidR="0089659A" w:rsidRPr="0089659A">
        <w:rPr>
          <w:rFonts w:cstheme="minorHAnsi"/>
          <w:color w:val="auto"/>
        </w:rPr>
        <w:t>stratifying</w:t>
      </w:r>
      <w:r w:rsidR="0089659A">
        <w:rPr>
          <w:rFonts w:cstheme="minorHAnsi"/>
          <w:color w:val="auto"/>
        </w:rPr>
        <w:t xml:space="preserve"> the data into</w:t>
      </w:r>
      <w:r w:rsidR="00D36BFA">
        <w:rPr>
          <w:rFonts w:cstheme="minorHAnsi"/>
          <w:color w:val="auto"/>
        </w:rPr>
        <w:t xml:space="preserve"> socioeconomic categories, we aim to separate the effects of socioeconomic conditions and school </w:t>
      </w:r>
      <w:r w:rsidR="00F31BF3">
        <w:rPr>
          <w:rFonts w:cstheme="minorHAnsi"/>
          <w:color w:val="auto"/>
        </w:rPr>
        <w:t>type</w:t>
      </w:r>
      <w:r w:rsidR="00D36BFA">
        <w:rPr>
          <w:rFonts w:cstheme="minorHAnsi"/>
          <w:color w:val="auto"/>
        </w:rPr>
        <w:t xml:space="preserve"> on achievement rates. This will allow us to analyse both independently of the confounding effects of the other.</w:t>
      </w:r>
    </w:p>
    <w:p w14:paraId="0F259C1F" w14:textId="43450FDE" w:rsidR="001C5D9C" w:rsidRDefault="001C5D9C" w:rsidP="00C829F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We </w:t>
      </w:r>
      <w:r w:rsidR="0033797B">
        <w:rPr>
          <w:rFonts w:cstheme="minorHAnsi"/>
          <w:color w:val="auto"/>
        </w:rPr>
        <w:t>merge</w:t>
      </w:r>
      <w:r w:rsidR="004C05A4">
        <w:rPr>
          <w:rFonts w:cstheme="minorHAnsi"/>
          <w:color w:val="auto"/>
        </w:rPr>
        <w:t>d</w:t>
      </w:r>
      <w:r w:rsidR="0033797B">
        <w:rPr>
          <w:rFonts w:cstheme="minorHAnsi"/>
          <w:color w:val="auto"/>
        </w:rPr>
        <w:t xml:space="preserve"> </w:t>
      </w:r>
      <w:r w:rsidR="00D36BFA">
        <w:rPr>
          <w:rFonts w:cstheme="minorHAnsi"/>
          <w:color w:val="auto"/>
        </w:rPr>
        <w:t>decile</w:t>
      </w:r>
      <w:r w:rsidR="0033797B">
        <w:rPr>
          <w:rFonts w:cstheme="minorHAnsi"/>
          <w:color w:val="auto"/>
        </w:rPr>
        <w:t xml:space="preserve"> groups into pairs</w:t>
      </w:r>
      <w:r>
        <w:rPr>
          <w:rFonts w:cstheme="minorHAnsi"/>
          <w:color w:val="auto"/>
        </w:rPr>
        <w:t xml:space="preserve"> to improve graph readability and to preserve comparability with previous reports</w:t>
      </w:r>
      <w:r w:rsidR="00D36BFA">
        <w:rPr>
          <w:rFonts w:cstheme="minorHAnsi"/>
          <w:color w:val="auto"/>
        </w:rPr>
        <w:t>,</w:t>
      </w:r>
      <w:r>
        <w:rPr>
          <w:rFonts w:cstheme="minorHAnsi"/>
          <w:color w:val="auto"/>
        </w:rPr>
        <w:t xml:space="preserve"> which followed the same format.</w:t>
      </w:r>
      <w:r w:rsidR="009300A3">
        <w:rPr>
          <w:rFonts w:cstheme="minorHAnsi"/>
          <w:color w:val="auto"/>
        </w:rPr>
        <w:t xml:space="preserve"> School leavers</w:t>
      </w:r>
      <w:r w:rsidR="00C60972">
        <w:rPr>
          <w:rFonts w:cstheme="minorHAnsi"/>
          <w:color w:val="auto"/>
        </w:rPr>
        <w:t xml:space="preserve"> </w:t>
      </w:r>
      <w:r w:rsidR="001C6AD3">
        <w:rPr>
          <w:rFonts w:cstheme="minorHAnsi"/>
          <w:color w:val="auto"/>
        </w:rPr>
        <w:t xml:space="preserve">to </w:t>
      </w:r>
      <w:r w:rsidR="003C3024">
        <w:rPr>
          <w:rFonts w:cstheme="minorHAnsi"/>
          <w:color w:val="auto"/>
        </w:rPr>
        <w:t>whom</w:t>
      </w:r>
      <w:r w:rsidR="00C60972">
        <w:rPr>
          <w:rFonts w:cstheme="minorHAnsi"/>
          <w:color w:val="auto"/>
        </w:rPr>
        <w:t xml:space="preserve"> </w:t>
      </w:r>
      <w:r w:rsidR="007D2C22">
        <w:rPr>
          <w:rFonts w:cstheme="minorHAnsi"/>
          <w:color w:val="auto"/>
        </w:rPr>
        <w:t xml:space="preserve">the </w:t>
      </w:r>
      <w:r w:rsidR="0033797B">
        <w:rPr>
          <w:rFonts w:cstheme="minorHAnsi"/>
          <w:color w:val="auto"/>
        </w:rPr>
        <w:t>decile</w:t>
      </w:r>
      <w:r w:rsidR="007D2C22">
        <w:rPr>
          <w:rFonts w:cstheme="minorHAnsi"/>
          <w:color w:val="auto"/>
        </w:rPr>
        <w:t xml:space="preserve"> system does not apply </w:t>
      </w:r>
      <w:r w:rsidR="003C3024">
        <w:rPr>
          <w:rFonts w:cstheme="minorHAnsi"/>
          <w:color w:val="auto"/>
        </w:rPr>
        <w:t>(</w:t>
      </w:r>
      <w:r w:rsidR="00E1574F">
        <w:rPr>
          <w:rFonts w:cstheme="minorHAnsi"/>
          <w:color w:val="auto"/>
        </w:rPr>
        <w:t xml:space="preserve">co-ed: n = </w:t>
      </w:r>
      <w:r w:rsidR="003C3024">
        <w:rPr>
          <w:rFonts w:cstheme="minorHAnsi"/>
          <w:color w:val="auto"/>
        </w:rPr>
        <w:t>6188</w:t>
      </w:r>
      <w:r w:rsidR="00E1574F">
        <w:rPr>
          <w:rFonts w:cstheme="minorHAnsi"/>
          <w:color w:val="auto"/>
        </w:rPr>
        <w:t>, single-sex: n = 44)</w:t>
      </w:r>
      <w:r w:rsidR="00A84B8C">
        <w:rPr>
          <w:rFonts w:cstheme="minorHAnsi"/>
          <w:color w:val="auto"/>
        </w:rPr>
        <w:t xml:space="preserve"> are not considered for this analysis but are </w:t>
      </w:r>
      <w:r w:rsidR="00F109A9">
        <w:rPr>
          <w:rFonts w:cstheme="minorHAnsi"/>
          <w:color w:val="auto"/>
        </w:rPr>
        <w:t>retained</w:t>
      </w:r>
      <w:r w:rsidR="00A84B8C">
        <w:rPr>
          <w:rFonts w:cstheme="minorHAnsi"/>
          <w:color w:val="auto"/>
        </w:rPr>
        <w:t xml:space="preserve"> in</w:t>
      </w:r>
      <w:r w:rsidR="0033797B">
        <w:rPr>
          <w:rFonts w:cstheme="minorHAnsi"/>
          <w:color w:val="auto"/>
        </w:rPr>
        <w:t xml:space="preserve"> </w:t>
      </w:r>
      <w:r w:rsidR="00A84B8C">
        <w:rPr>
          <w:rFonts w:cstheme="minorHAnsi"/>
          <w:color w:val="auto"/>
        </w:rPr>
        <w:fldChar w:fldCharType="begin"/>
      </w:r>
      <w:r w:rsidR="00A84B8C">
        <w:rPr>
          <w:rFonts w:cstheme="minorHAnsi"/>
          <w:color w:val="auto"/>
        </w:rPr>
        <w:instrText xml:space="preserve"> REF _Ref130754661 \h </w:instrText>
      </w:r>
      <w:r w:rsidR="00A84B8C">
        <w:rPr>
          <w:rFonts w:cstheme="minorHAnsi"/>
          <w:color w:val="auto"/>
        </w:rPr>
      </w:r>
      <w:r w:rsidR="00A84B8C">
        <w:rPr>
          <w:rFonts w:cstheme="minorHAnsi"/>
          <w:color w:val="auto"/>
        </w:rPr>
        <w:fldChar w:fldCharType="separate"/>
      </w:r>
      <w:r w:rsidR="008C5D34">
        <w:t xml:space="preserve">Table </w:t>
      </w:r>
      <w:r w:rsidR="008C5D34">
        <w:rPr>
          <w:noProof/>
        </w:rPr>
        <w:t>3</w:t>
      </w:r>
      <w:r w:rsidR="00A84B8C">
        <w:rPr>
          <w:rFonts w:cstheme="minorHAnsi"/>
          <w:color w:val="auto"/>
        </w:rPr>
        <w:fldChar w:fldCharType="end"/>
      </w:r>
      <w:r w:rsidR="00A84B8C">
        <w:rPr>
          <w:rFonts w:cstheme="minorHAnsi"/>
          <w:color w:val="auto"/>
        </w:rPr>
        <w:t xml:space="preserve"> and </w:t>
      </w:r>
      <w:r w:rsidR="00A84B8C">
        <w:rPr>
          <w:rFonts w:cstheme="minorHAnsi"/>
          <w:color w:val="auto"/>
        </w:rPr>
        <w:fldChar w:fldCharType="begin"/>
      </w:r>
      <w:r w:rsidR="00A84B8C">
        <w:rPr>
          <w:rFonts w:cstheme="minorHAnsi"/>
          <w:color w:val="auto"/>
        </w:rPr>
        <w:instrText xml:space="preserve"> REF _Ref130746601 \h </w:instrText>
      </w:r>
      <w:r w:rsidR="00A84B8C">
        <w:rPr>
          <w:rFonts w:cstheme="minorHAnsi"/>
          <w:color w:val="auto"/>
        </w:rPr>
      </w:r>
      <w:r w:rsidR="00A84B8C"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3</w:t>
      </w:r>
      <w:r w:rsidR="00A84B8C">
        <w:rPr>
          <w:rFonts w:cstheme="minorHAnsi"/>
          <w:color w:val="auto"/>
        </w:rPr>
        <w:fldChar w:fldCharType="end"/>
      </w:r>
      <w:r w:rsidR="00A84B8C">
        <w:rPr>
          <w:rFonts w:cstheme="minorHAnsi"/>
          <w:color w:val="auto"/>
        </w:rPr>
        <w:t xml:space="preserve"> </w:t>
      </w:r>
      <w:r w:rsidR="00F109A9">
        <w:rPr>
          <w:rFonts w:cstheme="minorHAnsi"/>
          <w:color w:val="auto"/>
        </w:rPr>
        <w:t>for transparency.</w:t>
      </w:r>
    </w:p>
    <w:p w14:paraId="689FE2F9" w14:textId="362BDBBB" w:rsidR="006D499F" w:rsidRDefault="00F608F0" w:rsidP="001B51D8">
      <w:pPr>
        <w:pStyle w:val="Heading2"/>
      </w:pPr>
      <w:bookmarkStart w:id="21" w:name="_Toc130862587"/>
      <w:r>
        <w:t>Trend</w:t>
      </w:r>
      <w:r w:rsidR="00C02897">
        <w:t xml:space="preserve"> Across </w:t>
      </w:r>
      <w:r w:rsidR="004677D0">
        <w:t>Decile</w:t>
      </w:r>
      <w:bookmarkEnd w:id="21"/>
    </w:p>
    <w:p w14:paraId="553D33D9" w14:textId="7E3F9149" w:rsidR="002B088A" w:rsidRDefault="00B96C1D" w:rsidP="00C829F3">
      <w:pPr>
        <w:rPr>
          <w:rFonts w:cstheme="minorHAnsi"/>
          <w:color w:val="auto"/>
        </w:rPr>
      </w:pPr>
      <w:r w:rsidRPr="00B96C1D">
        <w:rPr>
          <w:rFonts w:cstheme="minorHAnsi"/>
          <w:color w:val="auto"/>
        </w:rPr>
        <w:t xml:space="preserve">As expected, increasing </w:t>
      </w:r>
      <w:r w:rsidR="004677D0">
        <w:rPr>
          <w:rFonts w:cstheme="minorHAnsi"/>
          <w:color w:val="auto"/>
        </w:rPr>
        <w:t>decile</w:t>
      </w:r>
      <w:r w:rsidRPr="00B96C1D">
        <w:rPr>
          <w:rFonts w:cstheme="minorHAnsi"/>
          <w:color w:val="auto"/>
        </w:rPr>
        <w:t xml:space="preserve"> is correlated with increasing achievement rates and decreasing non-attainment rates across the board for both coeducational and single-sex schools</w:t>
      </w:r>
      <w:r w:rsidR="007C644A">
        <w:rPr>
          <w:rFonts w:cstheme="minorHAnsi"/>
          <w:color w:val="auto"/>
        </w:rPr>
        <w:t xml:space="preserve"> (</w:t>
      </w:r>
      <w:r w:rsidR="007C644A">
        <w:rPr>
          <w:rFonts w:cstheme="minorHAnsi"/>
          <w:color w:val="auto"/>
        </w:rPr>
        <w:fldChar w:fldCharType="begin"/>
      </w:r>
      <w:r w:rsidR="007C644A">
        <w:rPr>
          <w:rFonts w:cstheme="minorHAnsi"/>
          <w:color w:val="auto"/>
        </w:rPr>
        <w:instrText xml:space="preserve"> REF _Ref130746601 \h </w:instrText>
      </w:r>
      <w:r w:rsidR="007C644A">
        <w:rPr>
          <w:rFonts w:cstheme="minorHAnsi"/>
          <w:color w:val="auto"/>
        </w:rPr>
      </w:r>
      <w:r w:rsidR="007C644A"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3</w:t>
      </w:r>
      <w:r w:rsidR="007C644A">
        <w:rPr>
          <w:rFonts w:cstheme="minorHAnsi"/>
          <w:color w:val="auto"/>
        </w:rPr>
        <w:fldChar w:fldCharType="end"/>
      </w:r>
      <w:r w:rsidR="007C644A">
        <w:rPr>
          <w:rFonts w:cstheme="minorHAnsi"/>
          <w:color w:val="auto"/>
        </w:rPr>
        <w:t>)</w:t>
      </w:r>
      <w:r w:rsidR="00277A8E">
        <w:rPr>
          <w:rFonts w:cstheme="minorHAnsi"/>
          <w:color w:val="auto"/>
        </w:rPr>
        <w:t>.</w:t>
      </w:r>
    </w:p>
    <w:p w14:paraId="1B82BBB8" w14:textId="40383F33" w:rsidR="00B23F68" w:rsidRPr="00D41CDD" w:rsidRDefault="00277A8E" w:rsidP="00D41CDD">
      <w:pPr>
        <w:rPr>
          <w:rFonts w:cstheme="minorHAnsi"/>
          <w:color w:val="auto"/>
        </w:rPr>
      </w:pPr>
      <w:r w:rsidRPr="00D41CDD">
        <w:rPr>
          <w:rFonts w:cstheme="minorHAnsi"/>
          <w:color w:val="auto"/>
        </w:rPr>
        <w:t>UE rates increase from</w:t>
      </w:r>
      <w:r w:rsidR="00D41CDD">
        <w:rPr>
          <w:rFonts w:cstheme="minorHAnsi"/>
          <w:color w:val="auto"/>
        </w:rPr>
        <w:t>:</w:t>
      </w:r>
    </w:p>
    <w:p w14:paraId="28F934F5" w14:textId="6B116F95" w:rsidR="00277A8E" w:rsidRDefault="0052298E" w:rsidP="00D41CDD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10.5%</w:t>
      </w:r>
      <w:r w:rsidR="00045AC5">
        <w:rPr>
          <w:rFonts w:cstheme="minorHAnsi"/>
          <w:color w:val="auto"/>
        </w:rPr>
        <w:t xml:space="preserve">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1 - 2</w:t>
      </w:r>
      <w:r w:rsidR="00045AC5">
        <w:rPr>
          <w:rFonts w:cstheme="minorHAnsi"/>
          <w:color w:val="auto"/>
        </w:rPr>
        <w:t xml:space="preserve"> to</w:t>
      </w:r>
      <w:r w:rsidR="00BD5C27">
        <w:rPr>
          <w:rFonts w:cstheme="minorHAnsi"/>
          <w:color w:val="auto"/>
        </w:rPr>
        <w:t xml:space="preserve"> 54.3</w:t>
      </w:r>
      <w:r w:rsidR="00045AC5">
        <w:rPr>
          <w:rFonts w:cstheme="minorHAnsi"/>
          <w:color w:val="auto"/>
        </w:rPr>
        <w:t xml:space="preserve">% </w:t>
      </w:r>
      <w:r w:rsidR="00F32C6B">
        <w:rPr>
          <w:rFonts w:cstheme="minorHAnsi"/>
          <w:color w:val="auto"/>
        </w:rPr>
        <w:t xml:space="preserve">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9 - 10</w:t>
      </w:r>
      <w:r w:rsidR="00F32C6B">
        <w:rPr>
          <w:rFonts w:cstheme="minorHAnsi"/>
          <w:color w:val="auto"/>
        </w:rPr>
        <w:t xml:space="preserve"> for </w:t>
      </w:r>
      <w:r w:rsidR="00BD003C">
        <w:rPr>
          <w:rFonts w:cstheme="minorHAnsi"/>
          <w:color w:val="auto"/>
        </w:rPr>
        <w:t xml:space="preserve">males in </w:t>
      </w:r>
      <w:r w:rsidR="00DD392C">
        <w:rPr>
          <w:rFonts w:cstheme="minorHAnsi"/>
          <w:color w:val="auto"/>
        </w:rPr>
        <w:t>co-ed</w:t>
      </w:r>
      <w:r w:rsidR="00F32C6B">
        <w:rPr>
          <w:rFonts w:cstheme="minorHAnsi"/>
          <w:color w:val="auto"/>
        </w:rPr>
        <w:t xml:space="preserve"> schools.</w:t>
      </w:r>
    </w:p>
    <w:p w14:paraId="1B7558F5" w14:textId="16F29C2B" w:rsidR="00B23F68" w:rsidRDefault="00B23F68" w:rsidP="00D41CDD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33.9%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1 - 2</w:t>
      </w:r>
      <w:r>
        <w:rPr>
          <w:rFonts w:cstheme="minorHAnsi"/>
          <w:color w:val="auto"/>
        </w:rPr>
        <w:t xml:space="preserve"> to 71.2%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9 - 10</w:t>
      </w:r>
      <w:r>
        <w:rPr>
          <w:rFonts w:cstheme="minorHAnsi"/>
          <w:color w:val="auto"/>
        </w:rPr>
        <w:t xml:space="preserve"> for males in single-sex schools.</w:t>
      </w:r>
    </w:p>
    <w:p w14:paraId="1FF9FCEA" w14:textId="716C5EB4" w:rsidR="00B23F68" w:rsidRPr="00D41CDD" w:rsidRDefault="00BD003C" w:rsidP="00D41CDD">
      <w:pPr>
        <w:rPr>
          <w:rFonts w:cstheme="minorHAnsi"/>
          <w:color w:val="auto"/>
        </w:rPr>
      </w:pPr>
      <w:r w:rsidRPr="00D41CDD">
        <w:rPr>
          <w:rFonts w:cstheme="minorHAnsi"/>
          <w:color w:val="auto"/>
        </w:rPr>
        <w:lastRenderedPageBreak/>
        <w:t>Non-attainment decrease</w:t>
      </w:r>
      <w:r w:rsidR="00DD392C" w:rsidRPr="00D41CDD">
        <w:rPr>
          <w:rFonts w:cstheme="minorHAnsi"/>
          <w:color w:val="auto"/>
        </w:rPr>
        <w:t>s</w:t>
      </w:r>
      <w:r w:rsidRPr="00D41CDD">
        <w:rPr>
          <w:rFonts w:cstheme="minorHAnsi"/>
          <w:color w:val="auto"/>
        </w:rPr>
        <w:t xml:space="preserve"> from</w:t>
      </w:r>
      <w:r w:rsidR="00D41CDD">
        <w:rPr>
          <w:rFonts w:cstheme="minorHAnsi"/>
          <w:color w:val="auto"/>
        </w:rPr>
        <w:t>:</w:t>
      </w:r>
    </w:p>
    <w:p w14:paraId="6F42C8D0" w14:textId="33D60DFB" w:rsidR="00BD003C" w:rsidRDefault="00C34FDE" w:rsidP="00D41CDD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24.4</w:t>
      </w:r>
      <w:r w:rsidR="00BD003C">
        <w:rPr>
          <w:rFonts w:cstheme="minorHAnsi"/>
          <w:color w:val="auto"/>
        </w:rPr>
        <w:t xml:space="preserve">%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1 - 2</w:t>
      </w:r>
      <w:r w:rsidR="00BD003C">
        <w:rPr>
          <w:rFonts w:cstheme="minorHAnsi"/>
          <w:color w:val="auto"/>
        </w:rPr>
        <w:t xml:space="preserve"> to </w:t>
      </w:r>
      <w:r>
        <w:rPr>
          <w:rFonts w:cstheme="minorHAnsi"/>
          <w:color w:val="auto"/>
        </w:rPr>
        <w:t>5.8</w:t>
      </w:r>
      <w:r w:rsidR="00BD003C">
        <w:rPr>
          <w:rFonts w:cstheme="minorHAnsi"/>
          <w:color w:val="auto"/>
        </w:rPr>
        <w:t xml:space="preserve">%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9 - 10</w:t>
      </w:r>
      <w:r w:rsidR="00BD003C">
        <w:rPr>
          <w:rFonts w:cstheme="minorHAnsi"/>
          <w:color w:val="auto"/>
        </w:rPr>
        <w:t xml:space="preserve"> for males in </w:t>
      </w:r>
      <w:r w:rsidR="00DD392C">
        <w:rPr>
          <w:rFonts w:cstheme="minorHAnsi"/>
          <w:color w:val="auto"/>
        </w:rPr>
        <w:t>co-ed</w:t>
      </w:r>
      <w:r w:rsidR="00BD003C">
        <w:rPr>
          <w:rFonts w:cstheme="minorHAnsi"/>
          <w:color w:val="auto"/>
        </w:rPr>
        <w:t xml:space="preserve"> schools.</w:t>
      </w:r>
    </w:p>
    <w:p w14:paraId="5331BB85" w14:textId="35E32443" w:rsidR="00BD003C" w:rsidRPr="00BD003C" w:rsidRDefault="000A1B2F" w:rsidP="00D41CDD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8.7%</w:t>
      </w:r>
      <w:r w:rsidR="00BD003C">
        <w:rPr>
          <w:rFonts w:cstheme="minorHAnsi"/>
          <w:color w:val="auto"/>
        </w:rPr>
        <w:t xml:space="preserve">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1 - 2</w:t>
      </w:r>
      <w:r w:rsidR="00BD003C">
        <w:rPr>
          <w:rFonts w:cstheme="minorHAnsi"/>
          <w:color w:val="auto"/>
        </w:rPr>
        <w:t xml:space="preserve"> to</w:t>
      </w:r>
      <w:r>
        <w:rPr>
          <w:rFonts w:cstheme="minorHAnsi"/>
          <w:color w:val="auto"/>
        </w:rPr>
        <w:t xml:space="preserve"> </w:t>
      </w:r>
      <w:r w:rsidR="000F7E68">
        <w:rPr>
          <w:rFonts w:cstheme="minorHAnsi"/>
          <w:color w:val="auto"/>
        </w:rPr>
        <w:t>2.5</w:t>
      </w:r>
      <w:r w:rsidR="00BD003C">
        <w:rPr>
          <w:rFonts w:cstheme="minorHAnsi"/>
          <w:color w:val="auto"/>
        </w:rPr>
        <w:t xml:space="preserve">% in </w:t>
      </w:r>
      <w:r w:rsidR="00DE7B41">
        <w:rPr>
          <w:rFonts w:cstheme="minorHAnsi"/>
          <w:color w:val="auto"/>
        </w:rPr>
        <w:t>decile</w:t>
      </w:r>
      <w:r w:rsidR="00253406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9 - 10</w:t>
      </w:r>
      <w:r w:rsidR="00BD003C">
        <w:rPr>
          <w:rFonts w:cstheme="minorHAnsi"/>
          <w:color w:val="auto"/>
        </w:rPr>
        <w:t xml:space="preserve"> for males in single-sex schools.</w:t>
      </w:r>
    </w:p>
    <w:p w14:paraId="492B4902" w14:textId="5737EAAC" w:rsidR="009908E9" w:rsidRPr="009908E9" w:rsidRDefault="009908E9" w:rsidP="009908E9">
      <w:pPr>
        <w:rPr>
          <w:rFonts w:cstheme="minorHAnsi"/>
          <w:color w:val="auto"/>
        </w:rPr>
      </w:pPr>
      <w:r w:rsidRPr="009908E9">
        <w:rPr>
          <w:rFonts w:cstheme="minorHAnsi"/>
          <w:color w:val="auto"/>
        </w:rPr>
        <w:t>Unexpectedly,</w:t>
      </w:r>
      <w:r w:rsidR="00814100">
        <w:rPr>
          <w:rFonts w:cstheme="minorHAnsi"/>
          <w:color w:val="auto"/>
        </w:rPr>
        <w:t xml:space="preserve"> </w:t>
      </w:r>
      <w:r w:rsidR="00D22053">
        <w:rPr>
          <w:rFonts w:cstheme="minorHAnsi"/>
          <w:color w:val="auto"/>
        </w:rPr>
        <w:t xml:space="preserve">there is little change in </w:t>
      </w:r>
      <w:r w:rsidR="007C5D2D">
        <w:rPr>
          <w:rFonts w:cstheme="minorHAnsi"/>
          <w:color w:val="auto"/>
        </w:rPr>
        <w:t>achievement rate</w:t>
      </w:r>
      <w:r w:rsidR="00782A25">
        <w:rPr>
          <w:rFonts w:cstheme="minorHAnsi"/>
          <w:color w:val="auto"/>
        </w:rPr>
        <w:t>s</w:t>
      </w:r>
      <w:r w:rsidR="007C5D2D">
        <w:rPr>
          <w:rFonts w:cstheme="minorHAnsi"/>
          <w:color w:val="auto"/>
        </w:rPr>
        <w:t xml:space="preserve"> from </w:t>
      </w:r>
      <w:r w:rsidR="00DE7B41">
        <w:rPr>
          <w:rFonts w:cstheme="minorHAnsi"/>
          <w:color w:val="auto"/>
        </w:rPr>
        <w:t xml:space="preserve">decile 1 to 6 </w:t>
      </w:r>
      <w:r w:rsidR="007C5D2D">
        <w:rPr>
          <w:rFonts w:cstheme="minorHAnsi"/>
          <w:color w:val="auto"/>
        </w:rPr>
        <w:t xml:space="preserve">for males from both coeducational and </w:t>
      </w:r>
      <w:r w:rsidR="001E0CDC">
        <w:rPr>
          <w:rFonts w:cstheme="minorHAnsi"/>
          <w:color w:val="auto"/>
        </w:rPr>
        <w:t>single-sex</w:t>
      </w:r>
      <w:r w:rsidR="007C5D2D">
        <w:rPr>
          <w:rFonts w:cstheme="minorHAnsi"/>
          <w:color w:val="auto"/>
        </w:rPr>
        <w:t xml:space="preserve"> </w:t>
      </w:r>
      <w:r w:rsidR="001E0CDC">
        <w:rPr>
          <w:rFonts w:cstheme="minorHAnsi"/>
          <w:color w:val="auto"/>
        </w:rPr>
        <w:t>schools.</w:t>
      </w:r>
      <w:r w:rsidR="005B5162">
        <w:rPr>
          <w:rFonts w:cstheme="minorHAnsi"/>
          <w:color w:val="auto"/>
        </w:rPr>
        <w:t xml:space="preserve"> </w:t>
      </w:r>
      <w:r w:rsidR="009B2060">
        <w:rPr>
          <w:rFonts w:cstheme="minorHAnsi"/>
          <w:color w:val="auto"/>
        </w:rPr>
        <w:t>Most</w:t>
      </w:r>
      <w:r w:rsidR="006325ED">
        <w:rPr>
          <w:rFonts w:cstheme="minorHAnsi"/>
          <w:color w:val="auto"/>
        </w:rPr>
        <w:t xml:space="preserve"> of the</w:t>
      </w:r>
      <w:r w:rsidR="005B5162">
        <w:rPr>
          <w:rFonts w:cstheme="minorHAnsi"/>
          <w:color w:val="auto"/>
        </w:rPr>
        <w:t xml:space="preserve"> increase </w:t>
      </w:r>
      <w:r w:rsidR="006325ED">
        <w:rPr>
          <w:rFonts w:cstheme="minorHAnsi"/>
          <w:color w:val="auto"/>
        </w:rPr>
        <w:t xml:space="preserve">is observed from </w:t>
      </w:r>
      <w:r w:rsidR="00DE7B41">
        <w:rPr>
          <w:rFonts w:cstheme="minorHAnsi"/>
          <w:color w:val="auto"/>
        </w:rPr>
        <w:t>decile</w:t>
      </w:r>
      <w:r w:rsidR="006325ED">
        <w:rPr>
          <w:rFonts w:cstheme="minorHAnsi"/>
          <w:color w:val="auto"/>
        </w:rPr>
        <w:t xml:space="preserve"> </w:t>
      </w:r>
      <w:r w:rsidR="00DE7B41">
        <w:rPr>
          <w:rFonts w:cstheme="minorHAnsi"/>
          <w:color w:val="auto"/>
        </w:rPr>
        <w:t>6</w:t>
      </w:r>
      <w:r w:rsidR="00457AF6">
        <w:rPr>
          <w:rFonts w:cstheme="minorHAnsi"/>
          <w:color w:val="auto"/>
        </w:rPr>
        <w:t xml:space="preserve"> to </w:t>
      </w:r>
      <w:r w:rsidR="00DE7B41">
        <w:rPr>
          <w:rFonts w:cstheme="minorHAnsi"/>
          <w:color w:val="auto"/>
        </w:rPr>
        <w:t>10</w:t>
      </w:r>
      <w:r w:rsidR="00457AF6">
        <w:rPr>
          <w:rFonts w:cstheme="minorHAnsi"/>
          <w:color w:val="auto"/>
        </w:rPr>
        <w:t xml:space="preserve">. </w:t>
      </w:r>
      <w:r w:rsidR="008D575F">
        <w:rPr>
          <w:rFonts w:cstheme="minorHAnsi"/>
          <w:color w:val="auto"/>
        </w:rPr>
        <w:t xml:space="preserve">Counterintuitively, </w:t>
      </w:r>
      <w:r w:rsidR="00457AF6">
        <w:rPr>
          <w:rFonts w:cstheme="minorHAnsi"/>
          <w:color w:val="auto"/>
        </w:rPr>
        <w:t xml:space="preserve">the association is </w:t>
      </w:r>
      <w:r w:rsidR="006D499F">
        <w:rPr>
          <w:rFonts w:cstheme="minorHAnsi"/>
          <w:color w:val="auto"/>
        </w:rPr>
        <w:t>negative</w:t>
      </w:r>
      <w:r w:rsidR="00457AF6">
        <w:rPr>
          <w:rFonts w:cstheme="minorHAnsi"/>
          <w:color w:val="auto"/>
        </w:rPr>
        <w:t xml:space="preserve"> from </w:t>
      </w:r>
      <w:r w:rsidR="00DE7B41">
        <w:rPr>
          <w:rFonts w:cstheme="minorHAnsi"/>
          <w:color w:val="auto"/>
        </w:rPr>
        <w:t xml:space="preserve">decile 1 </w:t>
      </w:r>
      <w:r w:rsidR="003367F7">
        <w:rPr>
          <w:rFonts w:cstheme="minorHAnsi"/>
          <w:color w:val="auto"/>
        </w:rPr>
        <w:t>to</w:t>
      </w:r>
      <w:r w:rsidR="00DE7B41">
        <w:rPr>
          <w:rFonts w:cstheme="minorHAnsi"/>
          <w:color w:val="auto"/>
        </w:rPr>
        <w:t xml:space="preserve"> 6 </w:t>
      </w:r>
      <w:r w:rsidR="008D575F">
        <w:rPr>
          <w:rFonts w:cstheme="minorHAnsi"/>
          <w:color w:val="auto"/>
        </w:rPr>
        <w:t xml:space="preserve">for single-sex schools </w:t>
      </w:r>
      <w:r w:rsidR="00A71970">
        <w:rPr>
          <w:rFonts w:cstheme="minorHAnsi"/>
          <w:color w:val="auto"/>
        </w:rPr>
        <w:t>at most achievement levels.</w:t>
      </w:r>
      <w:r w:rsidR="00982CCD">
        <w:rPr>
          <w:rFonts w:cstheme="minorHAnsi"/>
          <w:color w:val="auto"/>
        </w:rPr>
        <w:t xml:space="preserve"> </w:t>
      </w:r>
      <w:r w:rsidR="00B4731B">
        <w:rPr>
          <w:rFonts w:cstheme="minorHAnsi"/>
          <w:color w:val="auto"/>
        </w:rPr>
        <w:t xml:space="preserve">It is unclear why this </w:t>
      </w:r>
      <w:r w:rsidR="00966FAD">
        <w:rPr>
          <w:rFonts w:cstheme="minorHAnsi"/>
          <w:color w:val="auto"/>
        </w:rPr>
        <w:t>piecewise behaviour</w:t>
      </w:r>
      <w:r w:rsidR="00B4731B">
        <w:rPr>
          <w:rFonts w:cstheme="minorHAnsi"/>
          <w:color w:val="auto"/>
        </w:rPr>
        <w:t xml:space="preserve"> is observed</w:t>
      </w:r>
      <w:r w:rsidR="00206BCD">
        <w:rPr>
          <w:rFonts w:cstheme="minorHAnsi"/>
          <w:color w:val="auto"/>
        </w:rPr>
        <w:t xml:space="preserve">, </w:t>
      </w:r>
      <w:r w:rsidR="00C54BE2">
        <w:rPr>
          <w:rFonts w:cstheme="minorHAnsi"/>
          <w:color w:val="auto"/>
        </w:rPr>
        <w:t>although government funding</w:t>
      </w:r>
      <w:r w:rsidR="00BA4075">
        <w:rPr>
          <w:rFonts w:cstheme="minorHAnsi"/>
          <w:color w:val="auto"/>
        </w:rPr>
        <w:t xml:space="preserve"> </w:t>
      </w:r>
      <w:r w:rsidR="006B14DB">
        <w:rPr>
          <w:rFonts w:cstheme="minorHAnsi"/>
          <w:color w:val="auto"/>
        </w:rPr>
        <w:t xml:space="preserve">allocation </w:t>
      </w:r>
      <w:r w:rsidR="00826D51">
        <w:rPr>
          <w:rFonts w:cstheme="minorHAnsi"/>
          <w:color w:val="auto"/>
        </w:rPr>
        <w:t>to ensure all schools maintain a minimum pass rate</w:t>
      </w:r>
      <w:r w:rsidR="00F874FC">
        <w:rPr>
          <w:rFonts w:cstheme="minorHAnsi"/>
          <w:color w:val="auto"/>
        </w:rPr>
        <w:t xml:space="preserve"> is a possible explanation.</w:t>
      </w:r>
      <w:r w:rsidR="00495952">
        <w:rPr>
          <w:rFonts w:cstheme="minorHAnsi"/>
          <w:color w:val="auto"/>
        </w:rPr>
        <w:t xml:space="preserve"> </w:t>
      </w:r>
      <w:r w:rsidR="003E095B">
        <w:rPr>
          <w:rFonts w:cstheme="minorHAnsi"/>
          <w:color w:val="auto"/>
        </w:rPr>
        <w:t xml:space="preserve">Previous reports pointed to </w:t>
      </w:r>
      <w:r w:rsidR="001C33FF">
        <w:rPr>
          <w:rFonts w:cstheme="minorHAnsi"/>
          <w:color w:val="auto"/>
        </w:rPr>
        <w:t xml:space="preserve">low numbers of low-decile boys’ schools in New Zealand as a source of variance. </w:t>
      </w:r>
      <w:r w:rsidR="00D34073">
        <w:rPr>
          <w:rFonts w:cstheme="minorHAnsi"/>
          <w:color w:val="auto"/>
        </w:rPr>
        <w:t>Although</w:t>
      </w:r>
      <w:r w:rsidR="00D34669">
        <w:rPr>
          <w:rFonts w:cstheme="minorHAnsi"/>
          <w:color w:val="auto"/>
        </w:rPr>
        <w:t xml:space="preserve"> there are very few low decile single-sex </w:t>
      </w:r>
      <w:r w:rsidR="003A5778">
        <w:rPr>
          <w:rFonts w:cstheme="minorHAnsi"/>
          <w:color w:val="auto"/>
        </w:rPr>
        <w:t>data points</w:t>
      </w:r>
      <w:r w:rsidR="00D34669">
        <w:rPr>
          <w:rFonts w:cstheme="minorHAnsi"/>
          <w:color w:val="auto"/>
        </w:rPr>
        <w:t xml:space="preserve"> in </w:t>
      </w:r>
      <w:r w:rsidR="000E47B0">
        <w:rPr>
          <w:rFonts w:cstheme="minorHAnsi"/>
          <w:color w:val="auto"/>
        </w:rPr>
        <w:t>the dataset,</w:t>
      </w:r>
      <w:r w:rsidR="000E6D9A">
        <w:rPr>
          <w:rFonts w:cstheme="minorHAnsi"/>
          <w:color w:val="auto"/>
        </w:rPr>
        <w:t xml:space="preserve"> </w:t>
      </w:r>
      <w:r w:rsidR="006110C4">
        <w:rPr>
          <w:rFonts w:cstheme="minorHAnsi"/>
          <w:color w:val="auto"/>
        </w:rPr>
        <w:t xml:space="preserve">the number of school leavers is much higher (n = 1853 male leavers from </w:t>
      </w:r>
      <w:r w:rsidR="00DE7B41">
        <w:rPr>
          <w:rFonts w:cstheme="minorHAnsi"/>
          <w:color w:val="auto"/>
        </w:rPr>
        <w:t>decile 1 - 2</w:t>
      </w:r>
      <w:r w:rsidR="006110C4">
        <w:rPr>
          <w:rFonts w:cstheme="minorHAnsi"/>
          <w:color w:val="auto"/>
        </w:rPr>
        <w:t xml:space="preserve"> single-sex schools)</w:t>
      </w:r>
      <w:r w:rsidR="001C33FF">
        <w:rPr>
          <w:rFonts w:cstheme="minorHAnsi"/>
          <w:color w:val="auto"/>
        </w:rPr>
        <w:t>, so t</w:t>
      </w:r>
      <w:r w:rsidR="009238BE">
        <w:rPr>
          <w:rFonts w:cstheme="minorHAnsi"/>
          <w:color w:val="auto"/>
        </w:rPr>
        <w:t xml:space="preserve">his </w:t>
      </w:r>
      <w:r w:rsidR="001C33FF">
        <w:rPr>
          <w:rFonts w:cstheme="minorHAnsi"/>
          <w:color w:val="auto"/>
        </w:rPr>
        <w:t>is not a plausible explanation</w:t>
      </w:r>
      <w:r w:rsidR="000E47B0">
        <w:rPr>
          <w:rFonts w:cstheme="minorHAnsi"/>
          <w:color w:val="auto"/>
        </w:rPr>
        <w:t xml:space="preserve"> for </w:t>
      </w:r>
      <w:r w:rsidR="009D58DF">
        <w:rPr>
          <w:rFonts w:cstheme="minorHAnsi"/>
          <w:color w:val="auto"/>
        </w:rPr>
        <w:t xml:space="preserve">the </w:t>
      </w:r>
      <w:r w:rsidR="005A3448">
        <w:rPr>
          <w:rFonts w:cstheme="minorHAnsi"/>
          <w:color w:val="auto"/>
        </w:rPr>
        <w:t>trend</w:t>
      </w:r>
      <w:r w:rsidR="001C33FF">
        <w:rPr>
          <w:rFonts w:cstheme="minorHAnsi"/>
          <w:color w:val="auto"/>
        </w:rPr>
        <w:t xml:space="preserve"> in this report</w:t>
      </w:r>
      <w:r w:rsidR="000E47B0">
        <w:rPr>
          <w:rFonts w:cstheme="minorHAnsi"/>
          <w:color w:val="auto"/>
        </w:rPr>
        <w:t>.</w:t>
      </w:r>
    </w:p>
    <w:p w14:paraId="6879FCCB" w14:textId="78E55BA4" w:rsidR="009908E9" w:rsidRDefault="00F13A92" w:rsidP="004C44D0">
      <w:pPr>
        <w:pStyle w:val="Heading2"/>
      </w:pPr>
      <w:bookmarkStart w:id="22" w:name="_Toc130862588"/>
      <w:r>
        <w:t xml:space="preserve">Comparisons by </w:t>
      </w:r>
      <w:r w:rsidR="00DE7B41">
        <w:t>Decile</w:t>
      </w:r>
      <w:bookmarkEnd w:id="22"/>
    </w:p>
    <w:p w14:paraId="2D1B7B75" w14:textId="4374A981" w:rsidR="00705825" w:rsidRDefault="001C7B8C" w:rsidP="00C829F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_Ref130746601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3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 xml:space="preserve"> also</w:t>
      </w:r>
      <w:r w:rsidR="00615739">
        <w:rPr>
          <w:rFonts w:cstheme="minorHAnsi"/>
          <w:color w:val="auto"/>
        </w:rPr>
        <w:t xml:space="preserve"> shows</w:t>
      </w:r>
      <w:r w:rsidR="00A65DDA">
        <w:rPr>
          <w:rFonts w:cstheme="minorHAnsi"/>
          <w:color w:val="auto"/>
        </w:rPr>
        <w:t xml:space="preserve"> that male </w:t>
      </w:r>
      <w:r w:rsidR="00165E89">
        <w:rPr>
          <w:rFonts w:cstheme="minorHAnsi"/>
          <w:color w:val="auto"/>
        </w:rPr>
        <w:t xml:space="preserve">school leavers from </w:t>
      </w:r>
      <w:r w:rsidR="00E75298">
        <w:rPr>
          <w:rFonts w:cstheme="minorHAnsi"/>
          <w:color w:val="auto"/>
        </w:rPr>
        <w:t>single-sex schools</w:t>
      </w:r>
      <w:r w:rsidR="00A65DDA">
        <w:rPr>
          <w:rFonts w:cstheme="minorHAnsi"/>
          <w:color w:val="auto"/>
        </w:rPr>
        <w:t xml:space="preserve"> per</w:t>
      </w:r>
      <w:r w:rsidR="00165E89">
        <w:rPr>
          <w:rFonts w:cstheme="minorHAnsi"/>
          <w:color w:val="auto"/>
        </w:rPr>
        <w:t>form better on average than their counterparts in coeducational schools</w:t>
      </w:r>
      <w:r w:rsidR="00457993">
        <w:rPr>
          <w:rFonts w:cstheme="minorHAnsi"/>
          <w:color w:val="auto"/>
        </w:rPr>
        <w:t xml:space="preserve">, in each decile range and </w:t>
      </w:r>
      <w:r w:rsidR="00B77F05">
        <w:rPr>
          <w:rFonts w:cstheme="minorHAnsi"/>
          <w:color w:val="auto"/>
        </w:rPr>
        <w:t>at all achievement levels</w:t>
      </w:r>
      <w:r w:rsidR="00165E89">
        <w:rPr>
          <w:rFonts w:cstheme="minorHAnsi"/>
          <w:color w:val="auto"/>
        </w:rPr>
        <w:t>.</w:t>
      </w:r>
    </w:p>
    <w:p w14:paraId="6DDF0A80" w14:textId="19CB9D93" w:rsidR="00705825" w:rsidRDefault="00530210" w:rsidP="00CE494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In </w:t>
      </w:r>
      <w:r w:rsidR="004708AD">
        <w:rPr>
          <w:rFonts w:cstheme="minorHAnsi"/>
          <w:color w:val="auto"/>
        </w:rPr>
        <w:t>deciles</w:t>
      </w:r>
      <w:r w:rsidR="00DE7B41">
        <w:rPr>
          <w:rFonts w:cstheme="minorHAnsi"/>
          <w:color w:val="auto"/>
        </w:rPr>
        <w:t xml:space="preserve"> 1 - 2</w:t>
      </w:r>
      <w:r>
        <w:rPr>
          <w:rFonts w:cstheme="minorHAnsi"/>
          <w:color w:val="auto"/>
        </w:rPr>
        <w:t>, t</w:t>
      </w:r>
      <w:r w:rsidR="00CE4941">
        <w:rPr>
          <w:rFonts w:cstheme="minorHAnsi"/>
          <w:color w:val="auto"/>
        </w:rPr>
        <w:t xml:space="preserve">he UE rate is </w:t>
      </w:r>
      <w:r w:rsidR="00C3708D">
        <w:rPr>
          <w:rFonts w:cstheme="minorHAnsi"/>
          <w:color w:val="auto"/>
        </w:rPr>
        <w:t>23.4</w:t>
      </w:r>
      <w:r w:rsidR="00CE4941">
        <w:rPr>
          <w:rFonts w:cstheme="minorHAnsi"/>
          <w:color w:val="auto"/>
        </w:rPr>
        <w:t xml:space="preserve"> percentage points higher for single-sex schools.</w:t>
      </w:r>
    </w:p>
    <w:p w14:paraId="0511CA71" w14:textId="20A29F72" w:rsidR="00C3708D" w:rsidRDefault="00C3708D" w:rsidP="00C3708D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In </w:t>
      </w:r>
      <w:r w:rsidR="004708AD">
        <w:rPr>
          <w:rFonts w:cstheme="minorHAnsi"/>
          <w:color w:val="auto"/>
        </w:rPr>
        <w:t>deciles</w:t>
      </w:r>
      <w:r w:rsidR="00DE7B41">
        <w:rPr>
          <w:rFonts w:cstheme="minorHAnsi"/>
          <w:color w:val="auto"/>
        </w:rPr>
        <w:t xml:space="preserve"> 3 - 4</w:t>
      </w:r>
      <w:r>
        <w:rPr>
          <w:rFonts w:cstheme="minorHAnsi"/>
          <w:color w:val="auto"/>
        </w:rPr>
        <w:t xml:space="preserve">, the UE rate is </w:t>
      </w:r>
      <w:r w:rsidR="00EC218F">
        <w:rPr>
          <w:rFonts w:cstheme="minorHAnsi"/>
          <w:color w:val="auto"/>
        </w:rPr>
        <w:t>10.6</w:t>
      </w:r>
      <w:r>
        <w:rPr>
          <w:rFonts w:cstheme="minorHAnsi"/>
          <w:color w:val="auto"/>
        </w:rPr>
        <w:t xml:space="preserve"> percentage points higher for single-sex schools.</w:t>
      </w:r>
    </w:p>
    <w:p w14:paraId="7F713A67" w14:textId="7EA1CF82" w:rsidR="00EC218F" w:rsidRDefault="00EC218F" w:rsidP="00EC218F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In </w:t>
      </w:r>
      <w:r w:rsidR="004708AD">
        <w:rPr>
          <w:rFonts w:cstheme="minorHAnsi"/>
          <w:color w:val="auto"/>
        </w:rPr>
        <w:t>deciles</w:t>
      </w:r>
      <w:r w:rsidR="00DE7B41">
        <w:rPr>
          <w:rFonts w:cstheme="minorHAnsi"/>
          <w:color w:val="auto"/>
        </w:rPr>
        <w:t xml:space="preserve"> 5 - 6</w:t>
      </w:r>
      <w:r>
        <w:rPr>
          <w:rFonts w:cstheme="minorHAnsi"/>
          <w:color w:val="auto"/>
        </w:rPr>
        <w:t>, the UE rate is 9.4 percentage points higher for single-sex schools.</w:t>
      </w:r>
    </w:p>
    <w:p w14:paraId="09783530" w14:textId="72BE03B9" w:rsidR="00EC218F" w:rsidRDefault="00EC218F" w:rsidP="00EC218F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In </w:t>
      </w:r>
      <w:r w:rsidR="00DE7B41">
        <w:rPr>
          <w:rFonts w:cstheme="minorHAnsi"/>
          <w:color w:val="auto"/>
        </w:rPr>
        <w:t>decile</w:t>
      </w:r>
      <w:r w:rsidR="003367F7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7 - 8</w:t>
      </w:r>
      <w:r>
        <w:rPr>
          <w:rFonts w:cstheme="minorHAnsi"/>
          <w:color w:val="auto"/>
        </w:rPr>
        <w:t>, the UE rate is 9.0 percentage points higher for single-sex schools.</w:t>
      </w:r>
    </w:p>
    <w:p w14:paraId="3360392E" w14:textId="76F366DC" w:rsidR="00530210" w:rsidRDefault="00EC218F" w:rsidP="00EC218F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In </w:t>
      </w:r>
      <w:r w:rsidR="004708AD">
        <w:rPr>
          <w:rFonts w:cstheme="minorHAnsi"/>
          <w:color w:val="auto"/>
        </w:rPr>
        <w:t>deciles</w:t>
      </w:r>
      <w:r w:rsidR="00DE7B41">
        <w:rPr>
          <w:rFonts w:cstheme="minorHAnsi"/>
          <w:color w:val="auto"/>
        </w:rPr>
        <w:t xml:space="preserve"> 9 - 10</w:t>
      </w:r>
      <w:r>
        <w:rPr>
          <w:rFonts w:cstheme="minorHAnsi"/>
          <w:color w:val="auto"/>
        </w:rPr>
        <w:t>, the UE rate is 16.9 percentage points higher for single-sex schools.</w:t>
      </w:r>
    </w:p>
    <w:p w14:paraId="46EC34C7" w14:textId="28569B54" w:rsidR="001C74ED" w:rsidRPr="00EC218F" w:rsidRDefault="00DB6C84" w:rsidP="00EC218F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UE rate is 18.8 percentage points higher for single-sex schools </w:t>
      </w:r>
      <w:r w:rsidR="008443D1">
        <w:rPr>
          <w:rFonts w:cstheme="minorHAnsi"/>
          <w:color w:val="auto"/>
        </w:rPr>
        <w:t>without stratification (</w:t>
      </w:r>
      <w:r w:rsidR="007C644A">
        <w:rPr>
          <w:rFonts w:cstheme="minorHAnsi"/>
          <w:color w:val="auto"/>
        </w:rPr>
        <w:fldChar w:fldCharType="begin"/>
      </w:r>
      <w:r w:rsidR="007C644A">
        <w:rPr>
          <w:rFonts w:cstheme="minorHAnsi"/>
          <w:color w:val="auto"/>
        </w:rPr>
        <w:instrText xml:space="preserve"> REF _Ref129600495 \h </w:instrText>
      </w:r>
      <w:r w:rsidR="007C644A">
        <w:rPr>
          <w:rFonts w:cstheme="minorHAnsi"/>
          <w:color w:val="auto"/>
        </w:rPr>
      </w:r>
      <w:r w:rsidR="007C644A">
        <w:rPr>
          <w:rFonts w:cstheme="minorHAnsi"/>
          <w:color w:val="auto"/>
        </w:rPr>
        <w:fldChar w:fldCharType="separate"/>
      </w:r>
      <w:r w:rsidR="008C5D34">
        <w:t xml:space="preserve">Table </w:t>
      </w:r>
      <w:r w:rsidR="008C5D34">
        <w:rPr>
          <w:noProof/>
        </w:rPr>
        <w:t>1</w:t>
      </w:r>
      <w:r w:rsidR="007C644A">
        <w:rPr>
          <w:rFonts w:cstheme="minorHAnsi"/>
          <w:color w:val="auto"/>
        </w:rPr>
        <w:fldChar w:fldCharType="end"/>
      </w:r>
      <w:r w:rsidR="008443D1">
        <w:rPr>
          <w:rFonts w:cstheme="minorHAnsi"/>
          <w:color w:val="auto"/>
        </w:rPr>
        <w:t>).</w:t>
      </w:r>
    </w:p>
    <w:p w14:paraId="45FCF30F" w14:textId="08D5A9F0" w:rsidR="00E3144A" w:rsidRDefault="005E7B7F" w:rsidP="00C829F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With </w:t>
      </w:r>
      <w:r w:rsidR="001C6AD3">
        <w:rPr>
          <w:rFonts w:cstheme="minorHAnsi"/>
          <w:color w:val="auto"/>
        </w:rPr>
        <w:t>socioeconomic</w:t>
      </w:r>
      <w:r>
        <w:rPr>
          <w:rFonts w:cstheme="minorHAnsi"/>
          <w:color w:val="auto"/>
        </w:rPr>
        <w:t xml:space="preserve"> stratification, the difference</w:t>
      </w:r>
      <w:r w:rsidR="00764AC8">
        <w:rPr>
          <w:rFonts w:cstheme="minorHAnsi"/>
          <w:color w:val="auto"/>
        </w:rPr>
        <w:t xml:space="preserve">s in </w:t>
      </w:r>
      <w:r w:rsidR="00056CB2">
        <w:rPr>
          <w:rFonts w:cstheme="minorHAnsi"/>
          <w:color w:val="auto"/>
        </w:rPr>
        <w:t xml:space="preserve">attainment rates </w:t>
      </w:r>
      <w:r w:rsidR="00764AC8">
        <w:rPr>
          <w:rFonts w:cstheme="minorHAnsi"/>
          <w:color w:val="auto"/>
        </w:rPr>
        <w:t>between coeducational and single-sex male</w:t>
      </w:r>
      <w:r w:rsidR="00943F1B">
        <w:rPr>
          <w:rFonts w:cstheme="minorHAnsi"/>
          <w:color w:val="auto"/>
        </w:rPr>
        <w:t xml:space="preserve"> leavers </w:t>
      </w:r>
      <w:r w:rsidR="008B044A">
        <w:rPr>
          <w:rFonts w:cstheme="minorHAnsi"/>
          <w:color w:val="auto"/>
        </w:rPr>
        <w:t>are</w:t>
      </w:r>
      <w:r w:rsidR="00943F1B">
        <w:rPr>
          <w:rFonts w:cstheme="minorHAnsi"/>
          <w:color w:val="auto"/>
        </w:rPr>
        <w:t xml:space="preserve"> narrower than </w:t>
      </w:r>
      <w:r w:rsidR="00771A79">
        <w:rPr>
          <w:rFonts w:cstheme="minorHAnsi"/>
          <w:color w:val="auto"/>
        </w:rPr>
        <w:t xml:space="preserve">in the </w:t>
      </w:r>
      <w:r w:rsidR="00705825">
        <w:rPr>
          <w:rFonts w:cstheme="minorHAnsi"/>
          <w:color w:val="auto"/>
        </w:rPr>
        <w:t>binary comparison</w:t>
      </w:r>
      <w:r w:rsidR="000D5F4C">
        <w:rPr>
          <w:rFonts w:cstheme="minorHAnsi"/>
          <w:color w:val="auto"/>
        </w:rPr>
        <w:t xml:space="preserve"> (</w:t>
      </w:r>
      <w:r w:rsidR="00273F95">
        <w:rPr>
          <w:rFonts w:cstheme="minorHAnsi"/>
          <w:color w:val="auto"/>
        </w:rPr>
        <w:t>excluding</w:t>
      </w:r>
      <w:r w:rsidR="000D5F4C">
        <w:rPr>
          <w:rFonts w:cstheme="minorHAnsi"/>
          <w:color w:val="auto"/>
        </w:rPr>
        <w:t xml:space="preserve"> </w:t>
      </w:r>
      <w:r w:rsidR="00DE7B41">
        <w:rPr>
          <w:rFonts w:cstheme="minorHAnsi"/>
          <w:color w:val="auto"/>
        </w:rPr>
        <w:t>decile</w:t>
      </w:r>
      <w:r w:rsidR="009725AB">
        <w:rPr>
          <w:rFonts w:cstheme="minorHAnsi"/>
          <w:color w:val="auto"/>
        </w:rPr>
        <w:t>s</w:t>
      </w:r>
      <w:r w:rsidR="00DE7B41">
        <w:rPr>
          <w:rFonts w:cstheme="minorHAnsi"/>
          <w:color w:val="auto"/>
        </w:rPr>
        <w:t xml:space="preserve"> 1 - 2</w:t>
      </w:r>
      <w:r w:rsidR="000D5F4C">
        <w:rPr>
          <w:rFonts w:cstheme="minorHAnsi"/>
          <w:color w:val="auto"/>
        </w:rPr>
        <w:t>).</w:t>
      </w:r>
      <w:r w:rsidR="00705825">
        <w:rPr>
          <w:rFonts w:cstheme="minorHAnsi"/>
          <w:color w:val="auto"/>
        </w:rPr>
        <w:t xml:space="preserve"> </w:t>
      </w:r>
      <w:r w:rsidR="00845ED4">
        <w:rPr>
          <w:rFonts w:cstheme="minorHAnsi"/>
          <w:color w:val="auto"/>
        </w:rPr>
        <w:t>There were likely</w:t>
      </w:r>
      <w:r w:rsidR="00504456">
        <w:rPr>
          <w:rFonts w:cstheme="minorHAnsi"/>
          <w:color w:val="auto"/>
        </w:rPr>
        <w:t xml:space="preserve"> </w:t>
      </w:r>
      <w:r w:rsidR="001C6AD3">
        <w:rPr>
          <w:rFonts w:cstheme="minorHAnsi"/>
          <w:color w:val="auto"/>
        </w:rPr>
        <w:t>socioeconomic</w:t>
      </w:r>
      <w:r w:rsidR="00504456">
        <w:rPr>
          <w:rFonts w:cstheme="minorHAnsi"/>
          <w:color w:val="auto"/>
        </w:rPr>
        <w:t xml:space="preserve"> confounding effects</w:t>
      </w:r>
      <w:r w:rsidR="00186E47">
        <w:rPr>
          <w:rFonts w:cstheme="minorHAnsi"/>
          <w:color w:val="auto"/>
        </w:rPr>
        <w:t xml:space="preserve"> in </w:t>
      </w:r>
      <w:r w:rsidR="00186E47">
        <w:rPr>
          <w:rFonts w:cstheme="minorHAnsi"/>
          <w:color w:val="auto"/>
        </w:rPr>
        <w:fldChar w:fldCharType="begin"/>
      </w:r>
      <w:r w:rsidR="00186E47">
        <w:rPr>
          <w:rFonts w:cstheme="minorHAnsi"/>
          <w:color w:val="auto"/>
        </w:rPr>
        <w:instrText xml:space="preserve"> REF _Ref129537651 \h </w:instrText>
      </w:r>
      <w:r w:rsidR="00186E47">
        <w:rPr>
          <w:rFonts w:cstheme="minorHAnsi"/>
          <w:color w:val="auto"/>
        </w:rPr>
      </w:r>
      <w:r w:rsidR="00186E47"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1</w:t>
      </w:r>
      <w:r w:rsidR="00186E47">
        <w:rPr>
          <w:rFonts w:cstheme="minorHAnsi"/>
          <w:color w:val="auto"/>
        </w:rPr>
        <w:fldChar w:fldCharType="end"/>
      </w:r>
      <w:r w:rsidR="00504456">
        <w:rPr>
          <w:rFonts w:cstheme="minorHAnsi"/>
          <w:color w:val="auto"/>
        </w:rPr>
        <w:t xml:space="preserve"> which have now been filtered out</w:t>
      </w:r>
      <w:r w:rsidR="005A528E">
        <w:rPr>
          <w:rFonts w:cstheme="minorHAnsi"/>
          <w:color w:val="auto"/>
        </w:rPr>
        <w:t xml:space="preserve">. </w:t>
      </w:r>
      <w:r w:rsidR="00894EEB">
        <w:rPr>
          <w:rFonts w:cstheme="minorHAnsi"/>
          <w:color w:val="auto"/>
        </w:rPr>
        <w:t xml:space="preserve">These disaggregated statistics are </w:t>
      </w:r>
      <w:r w:rsidR="00C710A1">
        <w:rPr>
          <w:rFonts w:cstheme="minorHAnsi"/>
          <w:color w:val="auto"/>
        </w:rPr>
        <w:t>likely to be a more accurate indicator of the single-sex advantage</w:t>
      </w:r>
      <w:r w:rsidR="00767D50">
        <w:rPr>
          <w:rFonts w:cstheme="minorHAnsi"/>
          <w:color w:val="auto"/>
        </w:rPr>
        <w:t xml:space="preserve"> generated by the school type specifically</w:t>
      </w:r>
      <w:r w:rsidR="00EC23E1">
        <w:rPr>
          <w:rFonts w:cstheme="minorHAnsi"/>
          <w:color w:val="auto"/>
        </w:rPr>
        <w:t>.</w:t>
      </w:r>
    </w:p>
    <w:p w14:paraId="6501E656" w14:textId="1881930C" w:rsidR="004E223B" w:rsidRDefault="00516BC9" w:rsidP="00C829F3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A</w:t>
      </w:r>
      <w:r w:rsidR="00AC0B2F">
        <w:rPr>
          <w:rFonts w:cstheme="minorHAnsi"/>
          <w:color w:val="auto"/>
        </w:rPr>
        <w:t xml:space="preserve"> significant</w:t>
      </w:r>
      <w:r w:rsidR="00EC23E1">
        <w:rPr>
          <w:rFonts w:cstheme="minorHAnsi"/>
          <w:color w:val="auto"/>
        </w:rPr>
        <w:t xml:space="preserve"> </w:t>
      </w:r>
      <w:r w:rsidR="00DA1BE2">
        <w:rPr>
          <w:rFonts w:cstheme="minorHAnsi"/>
          <w:color w:val="auto"/>
        </w:rPr>
        <w:t>gap</w:t>
      </w:r>
      <w:r w:rsidR="00AC0B2F">
        <w:rPr>
          <w:rFonts w:cstheme="minorHAnsi"/>
          <w:color w:val="auto"/>
        </w:rPr>
        <w:t xml:space="preserve"> </w:t>
      </w:r>
      <w:r w:rsidR="007413FC">
        <w:rPr>
          <w:rFonts w:cstheme="minorHAnsi"/>
          <w:color w:val="auto"/>
        </w:rPr>
        <w:t>between coeducational and single attainment rates remains</w:t>
      </w:r>
      <w:r w:rsidR="00FC6DEA">
        <w:rPr>
          <w:rFonts w:cstheme="minorHAnsi"/>
          <w:color w:val="auto"/>
        </w:rPr>
        <w:t xml:space="preserve"> after the stratification</w:t>
      </w:r>
      <w:r w:rsidR="00822130">
        <w:rPr>
          <w:rFonts w:cstheme="minorHAnsi"/>
          <w:color w:val="auto"/>
        </w:rPr>
        <w:t xml:space="preserve"> (</w:t>
      </w:r>
      <w:r w:rsidR="00822130">
        <w:rPr>
          <w:rFonts w:cstheme="minorHAnsi"/>
          <w:color w:val="auto"/>
        </w:rPr>
        <w:fldChar w:fldCharType="begin"/>
      </w:r>
      <w:r w:rsidR="00822130">
        <w:rPr>
          <w:rFonts w:cstheme="minorHAnsi"/>
          <w:color w:val="auto"/>
        </w:rPr>
        <w:instrText xml:space="preserve"> REF _Ref130746601 \h </w:instrText>
      </w:r>
      <w:r w:rsidR="00822130">
        <w:rPr>
          <w:rFonts w:cstheme="minorHAnsi"/>
          <w:color w:val="auto"/>
        </w:rPr>
      </w:r>
      <w:r w:rsidR="00822130"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3</w:t>
      </w:r>
      <w:r w:rsidR="00822130">
        <w:rPr>
          <w:rFonts w:cstheme="minorHAnsi"/>
          <w:color w:val="auto"/>
        </w:rPr>
        <w:fldChar w:fldCharType="end"/>
      </w:r>
      <w:r w:rsidR="00822130">
        <w:rPr>
          <w:rFonts w:cstheme="minorHAnsi"/>
          <w:color w:val="auto"/>
        </w:rPr>
        <w:t>)</w:t>
      </w:r>
      <w:r w:rsidR="00DE58D2">
        <w:rPr>
          <w:rFonts w:cstheme="minorHAnsi"/>
          <w:color w:val="auto"/>
        </w:rPr>
        <w:t>. Because alternative</w:t>
      </w:r>
      <w:r w:rsidR="00FC6DEA">
        <w:rPr>
          <w:rFonts w:cstheme="minorHAnsi"/>
          <w:color w:val="auto"/>
        </w:rPr>
        <w:t xml:space="preserve"> </w:t>
      </w:r>
      <w:r w:rsidR="001C6AD3">
        <w:rPr>
          <w:rFonts w:cstheme="minorHAnsi"/>
          <w:color w:val="auto"/>
        </w:rPr>
        <w:t>socioeconomic</w:t>
      </w:r>
      <w:r w:rsidR="00102389">
        <w:rPr>
          <w:rFonts w:cstheme="minorHAnsi"/>
          <w:color w:val="auto"/>
        </w:rPr>
        <w:t xml:space="preserve"> explanations </w:t>
      </w:r>
      <w:r w:rsidR="008F7C87">
        <w:rPr>
          <w:rFonts w:cstheme="minorHAnsi"/>
          <w:color w:val="auto"/>
        </w:rPr>
        <w:t>cannot explain</w:t>
      </w:r>
      <w:r w:rsidR="00102389">
        <w:rPr>
          <w:rFonts w:cstheme="minorHAnsi"/>
          <w:color w:val="auto"/>
        </w:rPr>
        <w:t xml:space="preserve"> this remaining</w:t>
      </w:r>
      <w:r w:rsidR="00557146">
        <w:rPr>
          <w:rFonts w:cstheme="minorHAnsi"/>
          <w:color w:val="auto"/>
        </w:rPr>
        <w:t xml:space="preserve"> difference, </w:t>
      </w:r>
      <w:r w:rsidR="00DA1BE2">
        <w:rPr>
          <w:rFonts w:cstheme="minorHAnsi"/>
          <w:color w:val="auto"/>
        </w:rPr>
        <w:t>it</w:t>
      </w:r>
      <w:r w:rsidR="005E3F68">
        <w:rPr>
          <w:rFonts w:cstheme="minorHAnsi"/>
          <w:color w:val="auto"/>
        </w:rPr>
        <w:t xml:space="preserve"> </w:t>
      </w:r>
      <w:r w:rsidR="00597265">
        <w:rPr>
          <w:rFonts w:cstheme="minorHAnsi"/>
          <w:color w:val="auto"/>
        </w:rPr>
        <w:t xml:space="preserve">becomes more plausible </w:t>
      </w:r>
      <w:r w:rsidR="00557146">
        <w:rPr>
          <w:rFonts w:cstheme="minorHAnsi"/>
          <w:color w:val="auto"/>
        </w:rPr>
        <w:t>that</w:t>
      </w:r>
      <w:r w:rsidR="00DA1BE2">
        <w:rPr>
          <w:rFonts w:cstheme="minorHAnsi"/>
          <w:color w:val="auto"/>
        </w:rPr>
        <w:t xml:space="preserve"> the difference</w:t>
      </w:r>
      <w:r w:rsidR="00557146">
        <w:rPr>
          <w:rFonts w:cstheme="minorHAnsi"/>
          <w:color w:val="auto"/>
        </w:rPr>
        <w:t xml:space="preserve"> is caused by </w:t>
      </w:r>
      <w:r w:rsidR="001E2A61">
        <w:rPr>
          <w:rFonts w:cstheme="minorHAnsi"/>
          <w:color w:val="auto"/>
        </w:rPr>
        <w:t xml:space="preserve">something inherent in the school </w:t>
      </w:r>
      <w:r w:rsidR="009D1185">
        <w:rPr>
          <w:rFonts w:cstheme="minorHAnsi"/>
          <w:color w:val="auto"/>
        </w:rPr>
        <w:t>type</w:t>
      </w:r>
      <w:r w:rsidR="000A5750">
        <w:rPr>
          <w:rFonts w:cstheme="minorHAnsi"/>
          <w:color w:val="auto"/>
        </w:rPr>
        <w:t xml:space="preserve">. </w:t>
      </w:r>
      <w:r w:rsidR="006B7DFD">
        <w:rPr>
          <w:rFonts w:cstheme="minorHAnsi"/>
          <w:color w:val="auto"/>
        </w:rPr>
        <w:t>Causality</w:t>
      </w:r>
      <w:r w:rsidR="00830B13">
        <w:rPr>
          <w:rFonts w:cstheme="minorHAnsi"/>
          <w:color w:val="auto"/>
        </w:rPr>
        <w:t xml:space="preserve"> still</w:t>
      </w:r>
      <w:r w:rsidR="000A5750">
        <w:rPr>
          <w:rFonts w:cstheme="minorHAnsi"/>
          <w:color w:val="auto"/>
        </w:rPr>
        <w:t xml:space="preserve"> cannot be claimed </w:t>
      </w:r>
      <w:r w:rsidR="001E2A61">
        <w:rPr>
          <w:rFonts w:cstheme="minorHAnsi"/>
          <w:color w:val="auto"/>
        </w:rPr>
        <w:t>from the analyses presented here</w:t>
      </w:r>
      <w:r w:rsidR="00DA0337">
        <w:rPr>
          <w:rFonts w:cstheme="minorHAnsi"/>
          <w:color w:val="auto"/>
        </w:rPr>
        <w:t xml:space="preserve"> since non-socioeconomic </w:t>
      </w:r>
      <w:r w:rsidR="00830B13">
        <w:rPr>
          <w:rFonts w:cstheme="minorHAnsi"/>
          <w:color w:val="auto"/>
        </w:rPr>
        <w:t>biases may still be present</w:t>
      </w:r>
      <w:r w:rsidR="001E2A61">
        <w:rPr>
          <w:rFonts w:cstheme="minorHAnsi"/>
          <w:color w:val="auto"/>
        </w:rPr>
        <w:t xml:space="preserve">, </w:t>
      </w:r>
      <w:r w:rsidR="00AD0304">
        <w:rPr>
          <w:rFonts w:cstheme="minorHAnsi"/>
          <w:color w:val="auto"/>
        </w:rPr>
        <w:t>and more</w:t>
      </w:r>
      <w:r w:rsidR="00ED11E5">
        <w:rPr>
          <w:rFonts w:cstheme="minorHAnsi"/>
          <w:color w:val="auto"/>
        </w:rPr>
        <w:t xml:space="preserve"> rigorous </w:t>
      </w:r>
      <w:r w:rsidR="007C1EB5">
        <w:rPr>
          <w:rFonts w:cstheme="minorHAnsi"/>
          <w:color w:val="auto"/>
        </w:rPr>
        <w:t xml:space="preserve">research </w:t>
      </w:r>
      <w:r w:rsidR="005E6C71">
        <w:rPr>
          <w:rFonts w:cstheme="minorHAnsi"/>
          <w:color w:val="auto"/>
        </w:rPr>
        <w:t>should be conducted before deeming this conclusive.</w:t>
      </w:r>
    </w:p>
    <w:p w14:paraId="21B17EC4" w14:textId="568A495D" w:rsidR="000C4CF0" w:rsidRDefault="000C4CF0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34E592C3" w14:textId="01A9C90E" w:rsidR="000C4CF0" w:rsidRDefault="000C4CF0" w:rsidP="000C4CF0">
      <w:pPr>
        <w:pStyle w:val="Heading1"/>
        <w:rPr>
          <w:noProof/>
          <w:sz w:val="12"/>
          <w:szCs w:val="12"/>
        </w:rPr>
      </w:pPr>
      <w:bookmarkStart w:id="23" w:name="_Toc130862589"/>
      <w:r>
        <w:lastRenderedPageBreak/>
        <w:t xml:space="preserve">Disaggregated by </w:t>
      </w:r>
      <w:r w:rsidR="001F20C4">
        <w:t>Ethnicity</w:t>
      </w:r>
      <w:r>
        <w:br/>
      </w:r>
      <w:r w:rsidR="008C5D34">
        <w:rPr>
          <w:noProof/>
          <w:sz w:val="12"/>
          <w:szCs w:val="12"/>
        </w:rPr>
        <w:pict w14:anchorId="38552126">
          <v:rect id="_x0000_i1031" style="width:451.3pt;height:1.5pt" o:hrstd="t" o:hr="t" fillcolor="#a0a0a0" stroked="f"/>
        </w:pict>
      </w:r>
      <w:bookmarkEnd w:id="23"/>
    </w:p>
    <w:p w14:paraId="1C883406" w14:textId="00B76B68" w:rsidR="00846876" w:rsidRPr="00EA2C2A" w:rsidRDefault="00846876" w:rsidP="00846876">
      <w:pPr>
        <w:pStyle w:val="Caption"/>
        <w:rPr>
          <w:rFonts w:cstheme="minorHAnsi"/>
          <w:color w:val="auto"/>
        </w:rPr>
      </w:pPr>
      <w:bookmarkStart w:id="24" w:name="_Ref129814348"/>
      <w:bookmarkStart w:id="25" w:name="_Ref130844977"/>
      <w:r>
        <w:t xml:space="preserve">Table </w:t>
      </w:r>
      <w:r w:rsidR="008C5D34">
        <w:fldChar w:fldCharType="begin"/>
      </w:r>
      <w:r w:rsidR="008C5D34">
        <w:instrText xml:space="preserve"> SEQ Table \* ARAB</w:instrText>
      </w:r>
      <w:r w:rsidR="008C5D34">
        <w:instrText xml:space="preserve">IC </w:instrText>
      </w:r>
      <w:r w:rsidR="008C5D34">
        <w:fldChar w:fldCharType="separate"/>
      </w:r>
      <w:r w:rsidR="008C5D34">
        <w:rPr>
          <w:noProof/>
        </w:rPr>
        <w:t>4</w:t>
      </w:r>
      <w:r w:rsidR="008C5D34">
        <w:rPr>
          <w:noProof/>
        </w:rPr>
        <w:fldChar w:fldCharType="end"/>
      </w:r>
      <w:bookmarkEnd w:id="25"/>
      <w:r>
        <w:t xml:space="preserve">. Percentage of male NZ secondary school leavers attaining </w:t>
      </w:r>
      <w:r w:rsidRPr="00CC2A4E">
        <w:t>each</w:t>
      </w:r>
      <w:r>
        <w:t xml:space="preserve"> level of qualification, disaggregated by </w:t>
      </w:r>
      <w:r w:rsidR="00F31BF3">
        <w:t>school type</w:t>
      </w:r>
      <w:r>
        <w:t xml:space="preserve"> and student ethnicity</w:t>
      </w:r>
      <w:r w:rsidR="00960D65">
        <w:t xml:space="preserve"> (n = </w:t>
      </w:r>
      <w:r w:rsidR="00960D65" w:rsidRPr="00960D65">
        <w:t>178</w:t>
      </w:r>
      <w:r w:rsidR="00960D65">
        <w:t xml:space="preserve"> </w:t>
      </w:r>
      <w:r w:rsidR="00960D65" w:rsidRPr="00960D65">
        <w:t>400</w:t>
      </w:r>
      <w:r w:rsidR="00960D65">
        <w:t>)</w:t>
      </w:r>
      <w:r>
        <w:t>.</w:t>
      </w:r>
      <w:bookmarkEnd w:id="24"/>
    </w:p>
    <w:tbl>
      <w:tblPr>
        <w:tblStyle w:val="TableGrid"/>
        <w:tblW w:w="5812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1276"/>
        <w:gridCol w:w="1276"/>
      </w:tblGrid>
      <w:tr w:rsidR="00846876" w14:paraId="733323E2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304098A2" w14:textId="3588C4F2" w:rsidR="00846876" w:rsidRPr="00D67BB0" w:rsidRDefault="00DE7B41" w:rsidP="008C07EF">
            <w:pPr>
              <w:jc w:val="center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Ethnicity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vAlign w:val="center"/>
          </w:tcPr>
          <w:p w14:paraId="392C4788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Highest Qualification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72C10D96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 xml:space="preserve">Percentage of </w:t>
            </w:r>
            <w:r w:rsidRPr="00D67BB0">
              <w:rPr>
                <w:rFonts w:cstheme="minorBidi"/>
                <w:b/>
                <w:bCs/>
                <w:color w:val="auto"/>
              </w:rPr>
              <w:t>Students</w:t>
            </w:r>
          </w:p>
        </w:tc>
      </w:tr>
      <w:tr w:rsidR="00846876" w14:paraId="49B8B3BD" w14:textId="77777777" w:rsidTr="008C07EF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0BF480A1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vAlign w:val="center"/>
          </w:tcPr>
          <w:p w14:paraId="3DF746C7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5263132A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b/>
                <w:bCs/>
                <w:color w:val="auto"/>
              </w:rPr>
              <w:t>Co-Ed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DE3080D" w14:textId="74EB89FE" w:rsidR="00846876" w:rsidRDefault="003D2C82" w:rsidP="008C07EF">
            <w:pPr>
              <w:jc w:val="center"/>
              <w:rPr>
                <w:rFonts w:cstheme="minorHAnsi"/>
                <w:color w:val="auto"/>
              </w:rPr>
            </w:pPr>
            <w:proofErr w:type="gramStart"/>
            <w:r>
              <w:rPr>
                <w:rFonts w:cstheme="minorHAnsi"/>
                <w:b/>
                <w:bCs/>
                <w:color w:val="auto"/>
              </w:rPr>
              <w:t>Single-sex</w:t>
            </w:r>
            <w:proofErr w:type="gramEnd"/>
          </w:p>
        </w:tc>
      </w:tr>
      <w:tr w:rsidR="00846876" w14:paraId="6F6FFE59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4DD42B68" w14:textId="77777777" w:rsidR="00846876" w:rsidRPr="00F85097" w:rsidRDefault="00846876" w:rsidP="008C07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5F921523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241D030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5.7%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31DC6734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2.8%</w:t>
            </w:r>
          </w:p>
        </w:tc>
      </w:tr>
      <w:tr w:rsidR="00846876" w14:paraId="5943CD51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367D7F9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7957771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C13CF85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4.7%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F0CCDE5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3.2%</w:t>
            </w:r>
          </w:p>
        </w:tc>
      </w:tr>
      <w:tr w:rsidR="00846876" w14:paraId="143C609A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1928717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F95E8A7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50B2342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17.6%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7549DF3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10.5%</w:t>
            </w:r>
          </w:p>
        </w:tc>
      </w:tr>
      <w:tr w:rsidR="00846876" w14:paraId="6057BF57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6B52A7F1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D01CB00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8D5A1FB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14.8%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6B3F200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8.2%</w:t>
            </w:r>
          </w:p>
        </w:tc>
      </w:tr>
      <w:tr w:rsidR="00846876" w14:paraId="3D9878AA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2154688A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3E3B3A3E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1363AA3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57.2%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18743817" w14:textId="77777777" w:rsidR="00846876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75.2%</w:t>
            </w:r>
          </w:p>
        </w:tc>
      </w:tr>
      <w:tr w:rsidR="00846876" w:rsidRPr="00D67BB0" w14:paraId="333E21E5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1D59DA7A" w14:textId="77777777" w:rsidR="00846876" w:rsidRPr="00724C06" w:rsidRDefault="00846876" w:rsidP="008C07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European/ Pākehā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1B1F4BD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1AAD68E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11.4%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99EFC35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5.1%</w:t>
            </w:r>
          </w:p>
        </w:tc>
      </w:tr>
      <w:tr w:rsidR="00846876" w:rsidRPr="00D67BB0" w14:paraId="0301108C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71A7213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3B1F85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D913F2E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10.5%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831A12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6.7%</w:t>
            </w:r>
          </w:p>
        </w:tc>
      </w:tr>
      <w:tr w:rsidR="00846876" w:rsidRPr="00D67BB0" w14:paraId="3D389AAD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5AE46C20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814FA5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7D4CFF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30.8%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A3B3A4E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25.2%</w:t>
            </w:r>
          </w:p>
        </w:tc>
      </w:tr>
      <w:tr w:rsidR="00846876" w:rsidRPr="00D67BB0" w14:paraId="090E5C8A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3F92BE9B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BA71F64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56C2C6C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14.4%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1F1170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11.9%</w:t>
            </w:r>
          </w:p>
        </w:tc>
      </w:tr>
      <w:tr w:rsidR="00846876" w:rsidRPr="00D67BB0" w14:paraId="0ACF1C2D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0700D58E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460D5DA3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9CE00C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32.8%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F005524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51.1%</w:t>
            </w:r>
          </w:p>
        </w:tc>
      </w:tr>
      <w:tr w:rsidR="00846876" w:rsidRPr="00D67BB0" w14:paraId="334E043E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46789282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MELAA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1A996CDB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AF1C90E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11.6%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78BADA1A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9.7%</w:t>
            </w:r>
          </w:p>
        </w:tc>
      </w:tr>
      <w:tr w:rsidR="00846876" w:rsidRPr="00D67BB0" w14:paraId="2F6410EB" w14:textId="77777777" w:rsidTr="008C07EF">
        <w:trPr>
          <w:trHeight w:val="340"/>
        </w:trPr>
        <w:tc>
          <w:tcPr>
            <w:tcW w:w="1276" w:type="dxa"/>
            <w:vMerge/>
            <w:vAlign w:val="center"/>
          </w:tcPr>
          <w:p w14:paraId="53058E7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17378A8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8CA3D53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7.6%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19F82A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4.2%</w:t>
            </w:r>
          </w:p>
        </w:tc>
      </w:tr>
      <w:tr w:rsidR="00846876" w:rsidRPr="00D67BB0" w14:paraId="13BA8356" w14:textId="77777777" w:rsidTr="008C07EF">
        <w:trPr>
          <w:trHeight w:val="340"/>
        </w:trPr>
        <w:tc>
          <w:tcPr>
            <w:tcW w:w="1276" w:type="dxa"/>
            <w:vMerge/>
            <w:vAlign w:val="center"/>
          </w:tcPr>
          <w:p w14:paraId="2CE9CF74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20C864F1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2D5362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26.9%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88C919A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20.6%</w:t>
            </w:r>
          </w:p>
        </w:tc>
      </w:tr>
      <w:tr w:rsidR="00846876" w:rsidRPr="00D67BB0" w14:paraId="635F0F85" w14:textId="77777777" w:rsidTr="008C07EF">
        <w:trPr>
          <w:trHeight w:val="340"/>
        </w:trPr>
        <w:tc>
          <w:tcPr>
            <w:tcW w:w="1276" w:type="dxa"/>
            <w:vMerge/>
            <w:vAlign w:val="center"/>
          </w:tcPr>
          <w:p w14:paraId="754D2B2B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2C7E01EA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91C3A0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17.3%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AEC394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13.8%</w:t>
            </w:r>
          </w:p>
        </w:tc>
      </w:tr>
      <w:tr w:rsidR="00846876" w:rsidRPr="00D67BB0" w14:paraId="4E76452B" w14:textId="77777777" w:rsidTr="008C07EF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50E34545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39E54DB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2CE45E85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36.7%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500AEEC1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51.6%</w:t>
            </w:r>
          </w:p>
        </w:tc>
      </w:tr>
      <w:tr w:rsidR="00846876" w:rsidRPr="00D67BB0" w14:paraId="51D2CB63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14:paraId="2A48616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</w:t>
            </w:r>
            <w:r>
              <w:rPr>
                <w:rFonts w:ascii="Calibri" w:hAnsi="Calibri" w:cs="Calibri"/>
                <w:color w:val="000000"/>
              </w:rPr>
              <w:t>āori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35CDA401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2D19904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25.0%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8C1E74A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12.8%</w:t>
            </w:r>
          </w:p>
        </w:tc>
      </w:tr>
      <w:tr w:rsidR="00846876" w:rsidRPr="00D67BB0" w14:paraId="209641AC" w14:textId="77777777" w:rsidTr="008C07EF">
        <w:trPr>
          <w:trHeight w:val="340"/>
        </w:trPr>
        <w:tc>
          <w:tcPr>
            <w:tcW w:w="1276" w:type="dxa"/>
            <w:vMerge/>
            <w:vAlign w:val="center"/>
          </w:tcPr>
          <w:p w14:paraId="1ED17613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64AB79F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172C203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14.5%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A89B94B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11.1%</w:t>
            </w:r>
          </w:p>
        </w:tc>
      </w:tr>
      <w:tr w:rsidR="00846876" w:rsidRPr="00D67BB0" w14:paraId="65CE3960" w14:textId="77777777" w:rsidTr="008C07EF">
        <w:trPr>
          <w:trHeight w:val="340"/>
        </w:trPr>
        <w:tc>
          <w:tcPr>
            <w:tcW w:w="1276" w:type="dxa"/>
            <w:vMerge/>
            <w:vAlign w:val="center"/>
          </w:tcPr>
          <w:p w14:paraId="3F622BA4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431095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8405BD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31.4%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810565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30.8%</w:t>
            </w:r>
          </w:p>
        </w:tc>
      </w:tr>
      <w:tr w:rsidR="00846876" w:rsidRPr="00D67BB0" w14:paraId="02B00E03" w14:textId="77777777" w:rsidTr="008C07EF">
        <w:trPr>
          <w:trHeight w:val="340"/>
        </w:trPr>
        <w:tc>
          <w:tcPr>
            <w:tcW w:w="1276" w:type="dxa"/>
            <w:vMerge/>
            <w:vAlign w:val="center"/>
          </w:tcPr>
          <w:p w14:paraId="337C00E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73C50E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FF8685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17.2%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7C88557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17.9%</w:t>
            </w:r>
          </w:p>
        </w:tc>
      </w:tr>
      <w:tr w:rsidR="00846876" w:rsidRPr="00D67BB0" w14:paraId="020123FB" w14:textId="77777777" w:rsidTr="008C07EF">
        <w:trPr>
          <w:trHeight w:val="340"/>
        </w:trPr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37162D6E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68D9B27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2A0B0D1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11.8%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69ABE1C5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27.4%</w:t>
            </w:r>
          </w:p>
        </w:tc>
      </w:tr>
      <w:tr w:rsidR="00846876" w:rsidRPr="00D67BB0" w14:paraId="78FE8CBE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00CDFD6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Pacific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797EE1C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13A8C18B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18.6%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4C15BCF3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8.0%</w:t>
            </w:r>
          </w:p>
        </w:tc>
      </w:tr>
      <w:tr w:rsidR="00846876" w:rsidRPr="00D67BB0" w14:paraId="2E940494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586A4664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01B3D6E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01042E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11.7%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AE4977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8.2%</w:t>
            </w:r>
          </w:p>
        </w:tc>
      </w:tr>
      <w:tr w:rsidR="00846876" w:rsidRPr="00D67BB0" w14:paraId="0E82B218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7F8072E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DC549FB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4B40D6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29.1%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A7325EC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29.0%</w:t>
            </w:r>
          </w:p>
        </w:tc>
      </w:tr>
      <w:tr w:rsidR="00846876" w:rsidRPr="00D67BB0" w14:paraId="11C32A37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46F6F0A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A7AF76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A72283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26.4%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87DEB92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23.5%</w:t>
            </w:r>
          </w:p>
        </w:tc>
      </w:tr>
      <w:tr w:rsidR="00846876" w:rsidRPr="00D67BB0" w14:paraId="7BA2D725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0737424C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6DF70791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8EA3B17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14.2%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0CE9AD1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31.3%</w:t>
            </w:r>
          </w:p>
        </w:tc>
      </w:tr>
      <w:tr w:rsidR="00846876" w:rsidRPr="00D67BB0" w14:paraId="0FC8234C" w14:textId="77777777" w:rsidTr="008C07EF">
        <w:trPr>
          <w:trHeight w:val="340"/>
        </w:trPr>
        <w:tc>
          <w:tcPr>
            <w:tcW w:w="1276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3124ADB0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14:paraId="67280D88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No Qualification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069BF705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13.0%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vAlign w:val="center"/>
          </w:tcPr>
          <w:p w14:paraId="286041C6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5.6%</w:t>
            </w:r>
          </w:p>
        </w:tc>
      </w:tr>
      <w:tr w:rsidR="00846876" w:rsidRPr="00D67BB0" w14:paraId="14DEA5E2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0BFED056" w14:textId="77777777" w:rsidR="00846876" w:rsidRDefault="00846876" w:rsidP="008C07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498B2FC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BB502DD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10.8%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A3BD81C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6.2%</w:t>
            </w:r>
          </w:p>
        </w:tc>
      </w:tr>
      <w:tr w:rsidR="00846876" w:rsidRPr="00D67BB0" w14:paraId="69E6817E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3C8E7E4F" w14:textId="77777777" w:rsidR="00846876" w:rsidRDefault="00846876" w:rsidP="008C07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419060C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ADEC34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27.1%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EF78CE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22.6%</w:t>
            </w:r>
          </w:p>
        </w:tc>
      </w:tr>
      <w:tr w:rsidR="00846876" w:rsidRPr="00D67BB0" w14:paraId="60A76FD7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nil"/>
            </w:tcBorders>
            <w:vAlign w:val="center"/>
          </w:tcPr>
          <w:p w14:paraId="4B02A25A" w14:textId="77777777" w:rsidR="00846876" w:rsidRDefault="00846876" w:rsidP="008C07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F1B3FE5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NCEA Level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36F0EEF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15.7%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69C9907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10.2%</w:t>
            </w:r>
          </w:p>
        </w:tc>
      </w:tr>
      <w:tr w:rsidR="00846876" w:rsidRPr="00D67BB0" w14:paraId="081CF29B" w14:textId="77777777" w:rsidTr="008C07EF">
        <w:trPr>
          <w:trHeight w:val="340"/>
        </w:trPr>
        <w:tc>
          <w:tcPr>
            <w:tcW w:w="1276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14:paraId="127A8431" w14:textId="77777777" w:rsidR="00846876" w:rsidRDefault="00846876" w:rsidP="008C07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bottom w:val="double" w:sz="4" w:space="0" w:color="auto"/>
            </w:tcBorders>
            <w:vAlign w:val="center"/>
          </w:tcPr>
          <w:p w14:paraId="012E13A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 w:rsidRPr="00D67BB0">
              <w:rPr>
                <w:rFonts w:cstheme="minorHAnsi"/>
                <w:color w:val="auto"/>
              </w:rPr>
              <w:t>University Entrance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5FB4F549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33.5%</w:t>
            </w: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  <w:vAlign w:val="center"/>
          </w:tcPr>
          <w:p w14:paraId="3C32E8E2" w14:textId="77777777" w:rsidR="00846876" w:rsidRPr="00D67BB0" w:rsidRDefault="00846876" w:rsidP="008C07EF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55.4%</w:t>
            </w:r>
          </w:p>
        </w:tc>
      </w:tr>
    </w:tbl>
    <w:p w14:paraId="5993E93E" w14:textId="77777777" w:rsidR="00846876" w:rsidRDefault="00846876" w:rsidP="00846876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5D4085AD" w14:textId="381DFC1E" w:rsidR="00EA2C2A" w:rsidRDefault="00F31BF3" w:rsidP="00EA2C2A">
      <w:pPr>
        <w:keepNext/>
      </w:pPr>
      <w:r>
        <w:rPr>
          <w:rFonts w:ascii="Calibri" w:eastAsia="Times New Roman" w:hAnsi="Calibri" w:cs="Calibri"/>
          <w:noProof/>
          <w:color w:val="000000"/>
          <w:lang w:eastAsia="en-NZ"/>
        </w:rPr>
        <w:lastRenderedPageBreak/>
        <w:drawing>
          <wp:inline distT="0" distB="0" distL="0" distR="0" wp14:anchorId="440A0D91" wp14:editId="1F9527A1">
            <wp:extent cx="57245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2760" w14:textId="3280EED3" w:rsidR="008D1AD1" w:rsidRDefault="00EA2C2A" w:rsidP="00EA2C2A">
      <w:pPr>
        <w:pStyle w:val="Caption"/>
      </w:pPr>
      <w:bookmarkStart w:id="26" w:name="_Ref130761641"/>
      <w:r>
        <w:t xml:space="preserve">Figure </w:t>
      </w:r>
      <w:r w:rsidR="008C5D34">
        <w:fldChar w:fldCharType="begin"/>
      </w:r>
      <w:r w:rsidR="008C5D34">
        <w:instrText xml:space="preserve"> SEQ Figure \* ARABIC </w:instrText>
      </w:r>
      <w:r w:rsidR="008C5D34">
        <w:fldChar w:fldCharType="separate"/>
      </w:r>
      <w:r w:rsidR="008C5D34">
        <w:rPr>
          <w:noProof/>
        </w:rPr>
        <w:t>4</w:t>
      </w:r>
      <w:r w:rsidR="008C5D34">
        <w:rPr>
          <w:noProof/>
        </w:rPr>
        <w:fldChar w:fldCharType="end"/>
      </w:r>
      <w:bookmarkEnd w:id="26"/>
      <w:r>
        <w:t>.</w:t>
      </w:r>
      <w:r w:rsidR="00202484">
        <w:t xml:space="preserve"> Generated from </w:t>
      </w:r>
      <w:r w:rsidR="00202484">
        <w:fldChar w:fldCharType="begin"/>
      </w:r>
      <w:r w:rsidR="00202484">
        <w:instrText xml:space="preserve"> REF _Ref129814348 \h </w:instrText>
      </w:r>
      <w:r w:rsidR="00202484">
        <w:fldChar w:fldCharType="separate"/>
      </w:r>
      <w:r w:rsidR="008C5D34">
        <w:t xml:space="preserve">Table </w:t>
      </w:r>
      <w:r w:rsidR="008C5D34">
        <w:rPr>
          <w:noProof/>
        </w:rPr>
        <w:t>4</w:t>
      </w:r>
      <w:r w:rsidR="008C5D34">
        <w:t xml:space="preserve">. Percentage of male NZ secondary school leavers attaining </w:t>
      </w:r>
      <w:r w:rsidR="008C5D34" w:rsidRPr="00CC2A4E">
        <w:t>each</w:t>
      </w:r>
      <w:r w:rsidR="008C5D34">
        <w:t xml:space="preserve"> level of qualification, disaggregated by school type and student ethnicity (n = </w:t>
      </w:r>
      <w:r w:rsidR="008C5D34" w:rsidRPr="00960D65">
        <w:t>178</w:t>
      </w:r>
      <w:r w:rsidR="008C5D34">
        <w:t xml:space="preserve"> </w:t>
      </w:r>
      <w:r w:rsidR="008C5D34" w:rsidRPr="00960D65">
        <w:t>400</w:t>
      </w:r>
      <w:r w:rsidR="008C5D34">
        <w:t>).</w:t>
      </w:r>
      <w:r w:rsidR="00202484">
        <w:fldChar w:fldCharType="end"/>
      </w:r>
    </w:p>
    <w:p w14:paraId="322E8915" w14:textId="25C1B555" w:rsidR="00202484" w:rsidRDefault="00202484"/>
    <w:p w14:paraId="0460E853" w14:textId="1461BA00" w:rsidR="008E4854" w:rsidRDefault="00DB1456" w:rsidP="00A37E9F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section </w:t>
      </w:r>
      <w:r w:rsidR="008E4854">
        <w:rPr>
          <w:rFonts w:cstheme="minorHAnsi"/>
          <w:color w:val="auto"/>
        </w:rPr>
        <w:t>co</w:t>
      </w:r>
      <w:r w:rsidR="00AB7334">
        <w:rPr>
          <w:rFonts w:cstheme="minorHAnsi"/>
          <w:color w:val="auto"/>
        </w:rPr>
        <w:t xml:space="preserve">mpares </w:t>
      </w:r>
      <w:r w:rsidR="0036783F">
        <w:rPr>
          <w:rFonts w:cstheme="minorHAnsi"/>
          <w:color w:val="auto"/>
        </w:rPr>
        <w:t xml:space="preserve">male </w:t>
      </w:r>
      <w:r w:rsidR="00B6149F">
        <w:rPr>
          <w:rFonts w:cstheme="minorHAnsi"/>
          <w:color w:val="auto"/>
        </w:rPr>
        <w:t>achievement</w:t>
      </w:r>
      <w:r w:rsidR="00AB7334">
        <w:rPr>
          <w:rFonts w:cstheme="minorHAnsi"/>
          <w:color w:val="auto"/>
        </w:rPr>
        <w:t xml:space="preserve"> rates </w:t>
      </w:r>
      <w:r w:rsidR="00083763">
        <w:rPr>
          <w:rFonts w:cstheme="minorHAnsi"/>
          <w:color w:val="auto"/>
        </w:rPr>
        <w:t>across</w:t>
      </w:r>
      <w:r w:rsidR="00AB7334">
        <w:rPr>
          <w:rFonts w:cstheme="minorHAnsi"/>
          <w:color w:val="auto"/>
        </w:rPr>
        <w:t xml:space="preserve"> school type</w:t>
      </w:r>
      <w:r w:rsidR="00083763">
        <w:rPr>
          <w:rFonts w:cstheme="minorHAnsi"/>
          <w:color w:val="auto"/>
        </w:rPr>
        <w:t>s</w:t>
      </w:r>
      <w:r w:rsidR="00AB7334">
        <w:rPr>
          <w:rFonts w:cstheme="minorHAnsi"/>
          <w:color w:val="auto"/>
        </w:rPr>
        <w:t xml:space="preserve"> and ethnicit</w:t>
      </w:r>
      <w:r w:rsidR="00083763">
        <w:rPr>
          <w:rFonts w:cstheme="minorHAnsi"/>
          <w:color w:val="auto"/>
        </w:rPr>
        <w:t>ies</w:t>
      </w:r>
      <w:r w:rsidR="00AB7334">
        <w:rPr>
          <w:rFonts w:cstheme="minorHAnsi"/>
          <w:color w:val="auto"/>
        </w:rPr>
        <w:t>.</w:t>
      </w:r>
      <w:r w:rsidR="00B61D1F">
        <w:rPr>
          <w:rFonts w:cstheme="minorHAnsi"/>
          <w:color w:val="auto"/>
        </w:rPr>
        <w:t xml:space="preserve"> </w:t>
      </w:r>
      <w:r w:rsidR="00F9052E">
        <w:rPr>
          <w:rFonts w:cstheme="minorHAnsi"/>
          <w:color w:val="auto"/>
        </w:rPr>
        <w:t>By disaggregating ac</w:t>
      </w:r>
      <w:r w:rsidR="00935650">
        <w:rPr>
          <w:rFonts w:cstheme="minorHAnsi"/>
          <w:color w:val="auto"/>
        </w:rPr>
        <w:t>hievement rates by ethnicity, we</w:t>
      </w:r>
      <w:r w:rsidR="00C36DC7">
        <w:rPr>
          <w:rFonts w:cstheme="minorHAnsi"/>
          <w:color w:val="auto"/>
        </w:rPr>
        <w:t xml:space="preserve">’re </w:t>
      </w:r>
      <w:r w:rsidR="00935650">
        <w:rPr>
          <w:rFonts w:cstheme="minorHAnsi"/>
          <w:color w:val="auto"/>
        </w:rPr>
        <w:t xml:space="preserve">able to </w:t>
      </w:r>
      <w:r w:rsidR="00DF7F0D">
        <w:rPr>
          <w:rFonts w:cstheme="minorHAnsi"/>
          <w:color w:val="auto"/>
        </w:rPr>
        <w:t xml:space="preserve">quantify </w:t>
      </w:r>
      <w:r w:rsidR="007974D2">
        <w:rPr>
          <w:rFonts w:cstheme="minorHAnsi"/>
          <w:color w:val="auto"/>
        </w:rPr>
        <w:t xml:space="preserve">the difference in </w:t>
      </w:r>
      <w:r w:rsidR="002C6826">
        <w:rPr>
          <w:rFonts w:cstheme="minorHAnsi"/>
          <w:color w:val="auto"/>
        </w:rPr>
        <w:t xml:space="preserve">achievement </w:t>
      </w:r>
      <w:r w:rsidR="004A0964">
        <w:rPr>
          <w:rFonts w:cstheme="minorHAnsi"/>
          <w:color w:val="auto"/>
        </w:rPr>
        <w:t>rates</w:t>
      </w:r>
      <w:r w:rsidR="002C6826">
        <w:rPr>
          <w:rFonts w:cstheme="minorHAnsi"/>
          <w:color w:val="auto"/>
        </w:rPr>
        <w:t xml:space="preserve"> </w:t>
      </w:r>
      <w:r w:rsidR="00C613B8">
        <w:rPr>
          <w:rFonts w:cstheme="minorHAnsi"/>
          <w:color w:val="auto"/>
        </w:rPr>
        <w:t>between</w:t>
      </w:r>
      <w:r w:rsidR="0057237B">
        <w:rPr>
          <w:rFonts w:cstheme="minorHAnsi"/>
          <w:color w:val="auto"/>
        </w:rPr>
        <w:t xml:space="preserve"> </w:t>
      </w:r>
      <w:r w:rsidR="00DF43CF">
        <w:rPr>
          <w:rFonts w:cstheme="minorHAnsi"/>
          <w:color w:val="auto"/>
        </w:rPr>
        <w:t xml:space="preserve">coeducational and single-sex schools for each </w:t>
      </w:r>
      <w:r w:rsidR="0057237B">
        <w:rPr>
          <w:rFonts w:cstheme="minorHAnsi"/>
          <w:color w:val="auto"/>
        </w:rPr>
        <w:t>ethnicit</w:t>
      </w:r>
      <w:r w:rsidR="00DF43CF">
        <w:rPr>
          <w:rFonts w:cstheme="minorHAnsi"/>
          <w:color w:val="auto"/>
        </w:rPr>
        <w:t>y</w:t>
      </w:r>
      <w:r w:rsidR="00C613B8">
        <w:rPr>
          <w:rFonts w:cstheme="minorHAnsi"/>
          <w:color w:val="auto"/>
        </w:rPr>
        <w:t>.</w:t>
      </w:r>
      <w:r w:rsidR="006F4BAB">
        <w:rPr>
          <w:rFonts w:cstheme="minorHAnsi"/>
          <w:color w:val="auto"/>
        </w:rPr>
        <w:t xml:space="preserve"> We can then identify </w:t>
      </w:r>
      <w:r w:rsidR="002D5D04">
        <w:rPr>
          <w:rFonts w:cstheme="minorHAnsi"/>
          <w:color w:val="auto"/>
        </w:rPr>
        <w:t>variations</w:t>
      </w:r>
      <w:r w:rsidR="006F4BAB">
        <w:rPr>
          <w:rFonts w:cstheme="minorHAnsi"/>
          <w:color w:val="auto"/>
        </w:rPr>
        <w:t xml:space="preserve"> in this difference between </w:t>
      </w:r>
      <w:r w:rsidR="00BB159B">
        <w:rPr>
          <w:rFonts w:cstheme="minorHAnsi"/>
          <w:color w:val="auto"/>
        </w:rPr>
        <w:t>ethnicities.</w:t>
      </w:r>
      <w:r w:rsidR="001B0281">
        <w:rPr>
          <w:rFonts w:cstheme="minorHAnsi"/>
          <w:color w:val="auto"/>
        </w:rPr>
        <w:t xml:space="preserve"> </w:t>
      </w:r>
      <w:r w:rsidR="007B17B3">
        <w:rPr>
          <w:rFonts w:cstheme="minorHAnsi"/>
          <w:color w:val="auto"/>
        </w:rPr>
        <w:t xml:space="preserve">If it is determined that this </w:t>
      </w:r>
      <w:r w:rsidR="00BB159B">
        <w:rPr>
          <w:rFonts w:cstheme="minorHAnsi"/>
          <w:color w:val="auto"/>
        </w:rPr>
        <w:t>variation</w:t>
      </w:r>
      <w:r w:rsidR="007B17B3">
        <w:rPr>
          <w:rFonts w:cstheme="minorHAnsi"/>
          <w:color w:val="auto"/>
        </w:rPr>
        <w:t xml:space="preserve"> is due to </w:t>
      </w:r>
      <w:r w:rsidR="00BB159B">
        <w:rPr>
          <w:rFonts w:cstheme="minorHAnsi"/>
          <w:color w:val="auto"/>
        </w:rPr>
        <w:t>systematic biases</w:t>
      </w:r>
      <w:r w:rsidR="009B050F">
        <w:rPr>
          <w:rFonts w:cstheme="minorHAnsi"/>
          <w:color w:val="auto"/>
        </w:rPr>
        <w:t xml:space="preserve"> hindering </w:t>
      </w:r>
      <w:r w:rsidR="00633065">
        <w:rPr>
          <w:rFonts w:cstheme="minorHAnsi"/>
          <w:color w:val="auto"/>
        </w:rPr>
        <w:t xml:space="preserve">certain </w:t>
      </w:r>
      <w:r w:rsidR="00D77BF6">
        <w:rPr>
          <w:rFonts w:cstheme="minorHAnsi"/>
          <w:color w:val="auto"/>
        </w:rPr>
        <w:t>students</w:t>
      </w:r>
      <w:r w:rsidR="00FD61F0">
        <w:rPr>
          <w:rFonts w:cstheme="minorHAnsi"/>
          <w:color w:val="auto"/>
        </w:rPr>
        <w:t>’</w:t>
      </w:r>
      <w:r w:rsidR="00D77BF6">
        <w:rPr>
          <w:rFonts w:cstheme="minorHAnsi"/>
          <w:color w:val="auto"/>
        </w:rPr>
        <w:t xml:space="preserve"> ability to achiev</w:t>
      </w:r>
      <w:r w:rsidR="00EB533D">
        <w:rPr>
          <w:rFonts w:cstheme="minorHAnsi"/>
          <w:color w:val="auto"/>
        </w:rPr>
        <w:t xml:space="preserve">e, </w:t>
      </w:r>
      <w:r w:rsidR="00B46293">
        <w:rPr>
          <w:rFonts w:cstheme="minorHAnsi"/>
          <w:color w:val="auto"/>
        </w:rPr>
        <w:t>this data can be used to target the systematic issue.</w:t>
      </w:r>
    </w:p>
    <w:p w14:paraId="73BC0EA0" w14:textId="2988A6B1" w:rsidR="001F20C4" w:rsidRDefault="00FE2A23" w:rsidP="000C4CBC">
      <w:pPr>
        <w:rPr>
          <w:rFonts w:cstheme="minorHAnsi"/>
          <w:color w:val="auto"/>
        </w:rPr>
      </w:pPr>
      <w:r w:rsidRPr="00FE2A23">
        <w:rPr>
          <w:rFonts w:cstheme="minorHAnsi"/>
          <w:color w:val="auto"/>
        </w:rPr>
        <w:t xml:space="preserve">Note that school leavers </w:t>
      </w:r>
      <w:r>
        <w:rPr>
          <w:rFonts w:cstheme="minorHAnsi"/>
          <w:color w:val="auto"/>
        </w:rPr>
        <w:t>were permitted to</w:t>
      </w:r>
      <w:r w:rsidRPr="00FE2A23">
        <w:rPr>
          <w:rFonts w:cstheme="minorHAnsi"/>
          <w:color w:val="auto"/>
        </w:rPr>
        <w:t xml:space="preserve"> select multiple ethnicities,</w:t>
      </w:r>
      <w:r w:rsidR="00BF00AC">
        <w:rPr>
          <w:rFonts w:cstheme="minorHAnsi"/>
          <w:color w:val="auto"/>
        </w:rPr>
        <w:t xml:space="preserve"> each recorded as a separate instance in the dataset</w:t>
      </w:r>
      <w:r w:rsidRPr="00FE2A23">
        <w:rPr>
          <w:rFonts w:cstheme="minorHAnsi"/>
          <w:color w:val="auto"/>
        </w:rPr>
        <w:t>.</w:t>
      </w:r>
      <w:r w:rsidR="00B13C24">
        <w:rPr>
          <w:rFonts w:cstheme="minorHAnsi"/>
          <w:color w:val="auto"/>
        </w:rPr>
        <w:t xml:space="preserve"> </w:t>
      </w:r>
      <w:r w:rsidR="006F29DD">
        <w:rPr>
          <w:rFonts w:cstheme="minorHAnsi"/>
          <w:color w:val="auto"/>
        </w:rPr>
        <w:t>These</w:t>
      </w:r>
      <w:r w:rsidR="00B13C24">
        <w:rPr>
          <w:rFonts w:cstheme="minorHAnsi"/>
          <w:color w:val="auto"/>
        </w:rPr>
        <w:t xml:space="preserve"> students </w:t>
      </w:r>
      <w:r w:rsidR="006F29DD">
        <w:rPr>
          <w:rFonts w:cstheme="minorHAnsi"/>
          <w:color w:val="auto"/>
        </w:rPr>
        <w:t>were</w:t>
      </w:r>
      <w:r w:rsidR="00B13C24">
        <w:rPr>
          <w:rFonts w:cstheme="minorHAnsi"/>
          <w:color w:val="auto"/>
        </w:rPr>
        <w:t xml:space="preserve"> counted</w:t>
      </w:r>
      <w:r w:rsidR="006F29DD">
        <w:rPr>
          <w:rFonts w:cstheme="minorHAnsi"/>
          <w:color w:val="auto"/>
        </w:rPr>
        <w:t xml:space="preserve"> once</w:t>
      </w:r>
      <w:r w:rsidR="00B13C24">
        <w:rPr>
          <w:rFonts w:cstheme="minorHAnsi"/>
          <w:color w:val="auto"/>
        </w:rPr>
        <w:t xml:space="preserve"> </w:t>
      </w:r>
      <w:r w:rsidR="006F29DD">
        <w:rPr>
          <w:rFonts w:cstheme="minorHAnsi"/>
          <w:color w:val="auto"/>
        </w:rPr>
        <w:t>in each</w:t>
      </w:r>
      <w:r w:rsidR="000C4CBC">
        <w:rPr>
          <w:rFonts w:cstheme="minorHAnsi"/>
          <w:color w:val="auto"/>
        </w:rPr>
        <w:t xml:space="preserve"> ethnic group</w:t>
      </w:r>
      <w:r w:rsidR="006F29DD">
        <w:rPr>
          <w:rFonts w:cstheme="minorHAnsi"/>
          <w:color w:val="auto"/>
        </w:rPr>
        <w:t xml:space="preserve"> they </w:t>
      </w:r>
      <w:r w:rsidR="00E364E7">
        <w:rPr>
          <w:rFonts w:cstheme="minorHAnsi"/>
          <w:color w:val="auto"/>
        </w:rPr>
        <w:t>identified with</w:t>
      </w:r>
      <w:r w:rsidR="0059614A">
        <w:rPr>
          <w:rFonts w:cstheme="minorHAnsi"/>
          <w:color w:val="auto"/>
        </w:rPr>
        <w:t xml:space="preserve">, increasing n, the total number of data points, in </w:t>
      </w:r>
      <w:r w:rsidR="0059614A">
        <w:rPr>
          <w:rFonts w:cstheme="minorHAnsi"/>
          <w:color w:val="auto"/>
        </w:rPr>
        <w:fldChar w:fldCharType="begin"/>
      </w:r>
      <w:r w:rsidR="0059614A">
        <w:rPr>
          <w:rFonts w:cstheme="minorHAnsi"/>
          <w:color w:val="auto"/>
        </w:rPr>
        <w:instrText xml:space="preserve"> REF _Ref130844977 \h </w:instrText>
      </w:r>
      <w:r w:rsidR="0059614A">
        <w:rPr>
          <w:rFonts w:cstheme="minorHAnsi"/>
          <w:color w:val="auto"/>
        </w:rPr>
      </w:r>
      <w:r w:rsidR="0059614A">
        <w:rPr>
          <w:rFonts w:cstheme="minorHAnsi"/>
          <w:color w:val="auto"/>
        </w:rPr>
        <w:fldChar w:fldCharType="separate"/>
      </w:r>
      <w:r w:rsidR="008C5D34">
        <w:t xml:space="preserve">Table </w:t>
      </w:r>
      <w:r w:rsidR="008C5D34">
        <w:rPr>
          <w:noProof/>
        </w:rPr>
        <w:t>4</w:t>
      </w:r>
      <w:r w:rsidR="0059614A">
        <w:rPr>
          <w:rFonts w:cstheme="minorHAnsi"/>
          <w:color w:val="auto"/>
        </w:rPr>
        <w:fldChar w:fldCharType="end"/>
      </w:r>
      <w:r w:rsidR="0059614A">
        <w:rPr>
          <w:rFonts w:cstheme="minorHAnsi"/>
          <w:color w:val="auto"/>
        </w:rPr>
        <w:t xml:space="preserve"> and </w:t>
      </w:r>
      <w:r w:rsidR="0059614A">
        <w:rPr>
          <w:rFonts w:cstheme="minorHAnsi"/>
          <w:color w:val="auto"/>
        </w:rPr>
        <w:fldChar w:fldCharType="begin"/>
      </w:r>
      <w:r w:rsidR="0059614A">
        <w:rPr>
          <w:rFonts w:cstheme="minorHAnsi"/>
          <w:color w:val="auto"/>
        </w:rPr>
        <w:instrText xml:space="preserve"> REF _Ref130761641 \h </w:instrText>
      </w:r>
      <w:r w:rsidR="0059614A">
        <w:rPr>
          <w:rFonts w:cstheme="minorHAnsi"/>
          <w:color w:val="auto"/>
        </w:rPr>
      </w:r>
      <w:r w:rsidR="0059614A"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4</w:t>
      </w:r>
      <w:r w:rsidR="0059614A">
        <w:rPr>
          <w:rFonts w:cstheme="minorHAnsi"/>
          <w:color w:val="auto"/>
        </w:rPr>
        <w:fldChar w:fldCharType="end"/>
      </w:r>
      <w:r w:rsidR="000C4CBC">
        <w:rPr>
          <w:rFonts w:cstheme="minorHAnsi"/>
          <w:color w:val="auto"/>
        </w:rPr>
        <w:t>.</w:t>
      </w:r>
    </w:p>
    <w:p w14:paraId="7130B233" w14:textId="77777777" w:rsidR="003F6228" w:rsidRDefault="003F6228" w:rsidP="003F6228">
      <w:pPr>
        <w:pStyle w:val="Heading2"/>
      </w:pPr>
      <w:bookmarkStart w:id="27" w:name="_Toc130862590"/>
      <w:r>
        <w:t>Comparisons Between Ethnicities</w:t>
      </w:r>
      <w:bookmarkEnd w:id="27"/>
    </w:p>
    <w:p w14:paraId="743141D7" w14:textId="716CFC2C" w:rsidR="003F6228" w:rsidRDefault="00A90FDA" w:rsidP="003F622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_Ref130761641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 w:rsidR="008C5D34">
        <w:t xml:space="preserve">Figure </w:t>
      </w:r>
      <w:r w:rsidR="008C5D34">
        <w:rPr>
          <w:noProof/>
        </w:rPr>
        <w:t>4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 xml:space="preserve"> </w:t>
      </w:r>
      <w:r w:rsidR="003F6228">
        <w:rPr>
          <w:rFonts w:cstheme="minorHAnsi"/>
          <w:color w:val="auto"/>
        </w:rPr>
        <w:t xml:space="preserve">reveals </w:t>
      </w:r>
      <w:r w:rsidR="003F6228">
        <w:rPr>
          <w:rFonts w:cstheme="minorHAnsi"/>
          <w:color w:val="auto"/>
        </w:rPr>
        <w:t xml:space="preserve">differences </w:t>
      </w:r>
      <w:r w:rsidR="003F6228">
        <w:rPr>
          <w:rFonts w:cstheme="minorHAnsi"/>
          <w:color w:val="auto"/>
        </w:rPr>
        <w:t>in</w:t>
      </w:r>
      <w:r w:rsidR="003F6228">
        <w:rPr>
          <w:rFonts w:cstheme="minorHAnsi"/>
          <w:color w:val="auto"/>
        </w:rPr>
        <w:t xml:space="preserve"> </w:t>
      </w:r>
      <w:r w:rsidR="0036783F">
        <w:rPr>
          <w:rFonts w:cstheme="minorHAnsi"/>
          <w:color w:val="auto"/>
        </w:rPr>
        <w:t xml:space="preserve">male </w:t>
      </w:r>
      <w:r w:rsidR="003F6228">
        <w:rPr>
          <w:rFonts w:cstheme="minorHAnsi"/>
          <w:color w:val="auto"/>
        </w:rPr>
        <w:t xml:space="preserve">achievement </w:t>
      </w:r>
      <w:r w:rsidR="00381D83">
        <w:rPr>
          <w:rFonts w:cstheme="minorHAnsi"/>
          <w:color w:val="auto"/>
        </w:rPr>
        <w:t>rates</w:t>
      </w:r>
      <w:r w:rsidR="003F6228">
        <w:rPr>
          <w:rFonts w:cstheme="minorHAnsi"/>
          <w:color w:val="auto"/>
        </w:rPr>
        <w:t xml:space="preserve"> between </w:t>
      </w:r>
      <w:r w:rsidR="009C6792">
        <w:rPr>
          <w:rFonts w:cstheme="minorHAnsi"/>
          <w:color w:val="auto"/>
        </w:rPr>
        <w:t>ethnic groups</w:t>
      </w:r>
      <w:r w:rsidR="009C18CF">
        <w:rPr>
          <w:rFonts w:cstheme="minorHAnsi"/>
          <w:color w:val="auto"/>
        </w:rPr>
        <w:t xml:space="preserve"> </w:t>
      </w:r>
      <w:r w:rsidR="003F2536">
        <w:rPr>
          <w:rFonts w:cstheme="minorHAnsi"/>
          <w:color w:val="auto"/>
        </w:rPr>
        <w:t xml:space="preserve">from 2017 </w:t>
      </w:r>
      <w:r w:rsidR="006B6622">
        <w:rPr>
          <w:rFonts w:cstheme="minorHAnsi"/>
          <w:color w:val="auto"/>
        </w:rPr>
        <w:t>–</w:t>
      </w:r>
      <w:r w:rsidR="003F2536">
        <w:rPr>
          <w:rFonts w:cstheme="minorHAnsi"/>
          <w:color w:val="auto"/>
        </w:rPr>
        <w:t xml:space="preserve"> 2021</w:t>
      </w:r>
      <w:r w:rsidR="006B6622">
        <w:rPr>
          <w:rFonts w:cstheme="minorHAnsi"/>
          <w:color w:val="auto"/>
        </w:rPr>
        <w:t>.</w:t>
      </w:r>
    </w:p>
    <w:p w14:paraId="1CA5C80C" w14:textId="3618B2F2" w:rsidR="0081154D" w:rsidRPr="00923D21" w:rsidRDefault="00C53675" w:rsidP="00923D21">
      <w:pPr>
        <w:rPr>
          <w:rFonts w:cstheme="minorHAnsi"/>
          <w:color w:val="auto"/>
        </w:rPr>
      </w:pPr>
      <w:r w:rsidRPr="00923D21">
        <w:rPr>
          <w:rFonts w:cstheme="minorHAnsi"/>
          <w:color w:val="auto"/>
        </w:rPr>
        <w:t xml:space="preserve">The lowest UE </w:t>
      </w:r>
      <w:r w:rsidR="008424A0" w:rsidRPr="00923D21">
        <w:rPr>
          <w:rFonts w:cstheme="minorHAnsi"/>
          <w:color w:val="auto"/>
        </w:rPr>
        <w:t>rates were found in M</w:t>
      </w:r>
      <w:r w:rsidR="00922EED" w:rsidRPr="00923D21">
        <w:rPr>
          <w:rFonts w:cstheme="minorHAnsi"/>
          <w:color w:val="auto"/>
        </w:rPr>
        <w:t>āori and Pacific students</w:t>
      </w:r>
      <w:r w:rsidR="0036783F" w:rsidRPr="00923D21">
        <w:rPr>
          <w:rFonts w:cstheme="minorHAnsi"/>
          <w:color w:val="auto"/>
        </w:rPr>
        <w:t>.</w:t>
      </w:r>
    </w:p>
    <w:p w14:paraId="47653C92" w14:textId="24A2BBB0" w:rsidR="001B3BD3" w:rsidRDefault="007412BE" w:rsidP="00923D2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Approximately</w:t>
      </w:r>
      <w:r w:rsidR="001B3BD3">
        <w:rPr>
          <w:rFonts w:cstheme="minorHAnsi"/>
          <w:color w:val="auto"/>
        </w:rPr>
        <w:t xml:space="preserve"> </w:t>
      </w:r>
      <w:r>
        <w:rPr>
          <w:rFonts w:cstheme="minorHAnsi"/>
          <w:color w:val="auto"/>
        </w:rPr>
        <w:t>1</w:t>
      </w:r>
      <w:r w:rsidR="00C458AF">
        <w:rPr>
          <w:rFonts w:cstheme="minorHAnsi"/>
          <w:color w:val="auto"/>
        </w:rPr>
        <w:t>5</w:t>
      </w:r>
      <w:r>
        <w:rPr>
          <w:rFonts w:cstheme="minorHAnsi"/>
          <w:color w:val="auto"/>
        </w:rPr>
        <w:t>% for coeducational schools.</w:t>
      </w:r>
    </w:p>
    <w:p w14:paraId="7334452F" w14:textId="7F503CB9" w:rsidR="007412BE" w:rsidRDefault="007412BE" w:rsidP="00923D2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Approximately </w:t>
      </w:r>
      <w:r>
        <w:rPr>
          <w:rFonts w:cstheme="minorHAnsi"/>
          <w:color w:val="auto"/>
        </w:rPr>
        <w:t>30% for single-sex schools.</w:t>
      </w:r>
    </w:p>
    <w:p w14:paraId="7045F6A4" w14:textId="184E5B33" w:rsidR="00093064" w:rsidRPr="00923D21" w:rsidRDefault="00093064" w:rsidP="00923D21">
      <w:pPr>
        <w:rPr>
          <w:rFonts w:cstheme="minorHAnsi"/>
          <w:color w:val="auto"/>
        </w:rPr>
      </w:pPr>
      <w:r w:rsidRPr="00923D21">
        <w:rPr>
          <w:rFonts w:cstheme="minorHAnsi"/>
          <w:color w:val="auto"/>
        </w:rPr>
        <w:t xml:space="preserve">Moderate UE rates </w:t>
      </w:r>
      <w:r w:rsidRPr="00923D21">
        <w:rPr>
          <w:rFonts w:cstheme="minorHAnsi"/>
          <w:color w:val="auto"/>
        </w:rPr>
        <w:t xml:space="preserve">were found in </w:t>
      </w:r>
      <w:r w:rsidRPr="00923D21">
        <w:rPr>
          <w:rFonts w:ascii="Calibri" w:hAnsi="Calibri" w:cs="Calibri"/>
          <w:color w:val="000000"/>
        </w:rPr>
        <w:t>European/Pākehā</w:t>
      </w:r>
      <w:r w:rsidR="00606352" w:rsidRPr="00923D21">
        <w:rPr>
          <w:rFonts w:ascii="Calibri" w:hAnsi="Calibri" w:cs="Calibri"/>
          <w:color w:val="000000"/>
        </w:rPr>
        <w:t>,</w:t>
      </w:r>
      <w:r w:rsidRPr="00923D21">
        <w:rPr>
          <w:rFonts w:ascii="Calibri" w:hAnsi="Calibri" w:cs="Calibri"/>
          <w:color w:val="000000"/>
        </w:rPr>
        <w:t xml:space="preserve"> MELAA</w:t>
      </w:r>
      <w:r w:rsidR="00606352" w:rsidRPr="00923D21">
        <w:rPr>
          <w:rFonts w:ascii="Calibri" w:hAnsi="Calibri" w:cs="Calibri"/>
          <w:color w:val="000000"/>
        </w:rPr>
        <w:t>, and other-nationality</w:t>
      </w:r>
      <w:r w:rsidRPr="00923D21">
        <w:rPr>
          <w:rFonts w:cstheme="minorHAnsi"/>
          <w:color w:val="auto"/>
        </w:rPr>
        <w:t xml:space="preserve"> </w:t>
      </w:r>
      <w:r w:rsidRPr="00923D21">
        <w:rPr>
          <w:rFonts w:cstheme="minorHAnsi"/>
          <w:color w:val="auto"/>
        </w:rPr>
        <w:t>students.</w:t>
      </w:r>
    </w:p>
    <w:p w14:paraId="4713F23B" w14:textId="6B694A07" w:rsidR="00093064" w:rsidRDefault="00093064" w:rsidP="00923D2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Approximately </w:t>
      </w:r>
      <w:r w:rsidR="00C458AF">
        <w:rPr>
          <w:rFonts w:cstheme="minorHAnsi"/>
          <w:color w:val="auto"/>
        </w:rPr>
        <w:t>35</w:t>
      </w:r>
      <w:r>
        <w:rPr>
          <w:rFonts w:cstheme="minorHAnsi"/>
          <w:color w:val="auto"/>
        </w:rPr>
        <w:t>% for coeducational schools.</w:t>
      </w:r>
    </w:p>
    <w:p w14:paraId="634096A0" w14:textId="389F0720" w:rsidR="00093064" w:rsidRDefault="00093064" w:rsidP="00923D2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Approximately </w:t>
      </w:r>
      <w:r w:rsidR="00C458AF">
        <w:rPr>
          <w:rFonts w:cstheme="minorHAnsi"/>
          <w:color w:val="auto"/>
        </w:rPr>
        <w:t>55%</w:t>
      </w:r>
      <w:r>
        <w:rPr>
          <w:rFonts w:cstheme="minorHAnsi"/>
          <w:color w:val="auto"/>
        </w:rPr>
        <w:t xml:space="preserve"> for single-sex schools.</w:t>
      </w:r>
    </w:p>
    <w:p w14:paraId="6EA154C0" w14:textId="14F6277A" w:rsidR="00923D21" w:rsidRPr="00923D21" w:rsidRDefault="00923D21" w:rsidP="00923D21">
      <w:pPr>
        <w:rPr>
          <w:rFonts w:cstheme="minorHAnsi"/>
          <w:color w:val="auto"/>
        </w:rPr>
      </w:pPr>
      <w:r w:rsidRPr="00923D21">
        <w:rPr>
          <w:rFonts w:cstheme="minorHAnsi"/>
          <w:color w:val="auto"/>
        </w:rPr>
        <w:t xml:space="preserve">The </w:t>
      </w:r>
      <w:r w:rsidRPr="00923D21">
        <w:rPr>
          <w:rFonts w:cstheme="minorHAnsi"/>
          <w:color w:val="auto"/>
        </w:rPr>
        <w:t>highest</w:t>
      </w:r>
      <w:r w:rsidRPr="00923D21">
        <w:rPr>
          <w:rFonts w:cstheme="minorHAnsi"/>
          <w:color w:val="auto"/>
        </w:rPr>
        <w:t xml:space="preserve"> UE rates were found in </w:t>
      </w:r>
      <w:r w:rsidRPr="00923D21">
        <w:rPr>
          <w:rFonts w:cstheme="minorHAnsi"/>
          <w:color w:val="auto"/>
        </w:rPr>
        <w:t>Asian</w:t>
      </w:r>
      <w:r w:rsidRPr="00923D21">
        <w:rPr>
          <w:rFonts w:cstheme="minorHAnsi"/>
          <w:color w:val="auto"/>
        </w:rPr>
        <w:t xml:space="preserve"> students.</w:t>
      </w:r>
    </w:p>
    <w:p w14:paraId="3E3D4562" w14:textId="352A9712" w:rsidR="00923D21" w:rsidRDefault="00923D21" w:rsidP="00923D2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Approximately </w:t>
      </w:r>
      <w:r w:rsidR="00B325F2">
        <w:rPr>
          <w:rFonts w:cstheme="minorHAnsi"/>
          <w:color w:val="auto"/>
        </w:rPr>
        <w:t>60</w:t>
      </w:r>
      <w:r>
        <w:rPr>
          <w:rFonts w:cstheme="minorHAnsi"/>
          <w:color w:val="auto"/>
        </w:rPr>
        <w:t>% for coeducational schools.</w:t>
      </w:r>
    </w:p>
    <w:p w14:paraId="4F9B8F5A" w14:textId="12284FB9" w:rsidR="00923D21" w:rsidRDefault="00923D21" w:rsidP="00923D21">
      <w:pPr>
        <w:pStyle w:val="ListParagraph"/>
        <w:numPr>
          <w:ilvl w:val="0"/>
          <w:numId w:val="2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Approximately </w:t>
      </w:r>
      <w:r w:rsidR="00B325F2">
        <w:rPr>
          <w:rFonts w:cstheme="minorHAnsi"/>
          <w:color w:val="auto"/>
        </w:rPr>
        <w:t>75</w:t>
      </w:r>
      <w:r>
        <w:rPr>
          <w:rFonts w:cstheme="minorHAnsi"/>
          <w:color w:val="auto"/>
        </w:rPr>
        <w:t>% for single-sex schools.</w:t>
      </w:r>
    </w:p>
    <w:p w14:paraId="453478DA" w14:textId="788CF47A" w:rsidR="00FC0621" w:rsidRPr="00FC0621" w:rsidRDefault="00BD75DD" w:rsidP="00FC0621">
      <w:pPr>
        <w:rPr>
          <w:rFonts w:cstheme="minorHAnsi"/>
          <w:color w:val="auto"/>
        </w:rPr>
      </w:pPr>
      <w:r>
        <w:rPr>
          <w:rFonts w:cstheme="minorHAnsi"/>
          <w:color w:val="auto"/>
        </w:rPr>
        <w:lastRenderedPageBreak/>
        <w:t xml:space="preserve">These differences </w:t>
      </w:r>
      <w:r w:rsidR="0087096A">
        <w:rPr>
          <w:rFonts w:cstheme="minorHAnsi"/>
          <w:color w:val="auto"/>
        </w:rPr>
        <w:t>are statistically significant</w:t>
      </w:r>
      <w:r w:rsidR="00DA3568">
        <w:rPr>
          <w:rFonts w:cstheme="minorHAnsi"/>
          <w:color w:val="auto"/>
        </w:rPr>
        <w:t xml:space="preserve"> and should be </w:t>
      </w:r>
      <w:r w:rsidR="00E417B3">
        <w:rPr>
          <w:rFonts w:cstheme="minorHAnsi"/>
          <w:color w:val="auto"/>
        </w:rPr>
        <w:t>considered in decision-making</w:t>
      </w:r>
      <w:r w:rsidR="0087096A">
        <w:rPr>
          <w:rFonts w:cstheme="minorHAnsi"/>
          <w:color w:val="auto"/>
        </w:rPr>
        <w:t xml:space="preserve">. </w:t>
      </w:r>
      <w:r w:rsidR="00FC0621">
        <w:rPr>
          <w:rFonts w:cstheme="minorHAnsi"/>
          <w:color w:val="auto"/>
        </w:rPr>
        <w:t xml:space="preserve">It is </w:t>
      </w:r>
      <w:r w:rsidR="00E01DC1">
        <w:rPr>
          <w:rFonts w:cstheme="minorHAnsi"/>
          <w:color w:val="auto"/>
        </w:rPr>
        <w:t xml:space="preserve">highly unlikely that systemic/historical effects are not at least partially responsible for the </w:t>
      </w:r>
      <w:r w:rsidR="00F70833">
        <w:rPr>
          <w:rFonts w:cstheme="minorHAnsi"/>
          <w:color w:val="auto"/>
        </w:rPr>
        <w:t xml:space="preserve">large differences in </w:t>
      </w:r>
      <w:r w:rsidR="003965EE">
        <w:rPr>
          <w:rFonts w:cstheme="minorHAnsi"/>
          <w:color w:val="auto"/>
        </w:rPr>
        <w:t xml:space="preserve">achievement rates between </w:t>
      </w:r>
      <w:r w:rsidR="00DD73ED">
        <w:rPr>
          <w:rFonts w:cstheme="minorHAnsi"/>
          <w:color w:val="auto"/>
        </w:rPr>
        <w:t>different ethnic groups</w:t>
      </w:r>
      <w:r w:rsidR="00E01DC1">
        <w:rPr>
          <w:rFonts w:cstheme="minorHAnsi"/>
          <w:color w:val="auto"/>
        </w:rPr>
        <w:t>.</w:t>
      </w:r>
    </w:p>
    <w:p w14:paraId="7A9523AB" w14:textId="1F30A02F" w:rsidR="000D44BF" w:rsidRPr="000D44BF" w:rsidRDefault="00FD44CF" w:rsidP="00FB243D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Across all</w:t>
      </w:r>
      <w:r w:rsidR="000D44BF">
        <w:rPr>
          <w:rFonts w:cstheme="minorHAnsi"/>
          <w:color w:val="auto"/>
        </w:rPr>
        <w:t xml:space="preserve"> ethnic categor</w:t>
      </w:r>
      <w:r>
        <w:rPr>
          <w:rFonts w:cstheme="minorHAnsi"/>
          <w:color w:val="auto"/>
        </w:rPr>
        <w:t>ies</w:t>
      </w:r>
      <w:r w:rsidR="000D44BF">
        <w:rPr>
          <w:rFonts w:cstheme="minorHAnsi"/>
          <w:color w:val="auto"/>
        </w:rPr>
        <w:t>, single-sex schools had a higher UE rate than coeducational schools.</w:t>
      </w:r>
    </w:p>
    <w:p w14:paraId="33EA786D" w14:textId="70D3DDBF" w:rsidR="00034E46" w:rsidRDefault="00034E46" w:rsidP="00034E46">
      <w:pPr>
        <w:pStyle w:val="Heading2"/>
      </w:pPr>
      <w:bookmarkStart w:id="28" w:name="_Toc130862591"/>
      <w:r>
        <w:t xml:space="preserve">Comparisons Between </w:t>
      </w:r>
      <w:r>
        <w:t>Differences</w:t>
      </w:r>
      <w:bookmarkEnd w:id="28"/>
    </w:p>
    <w:p w14:paraId="01EAFAAD" w14:textId="587A263C" w:rsidR="00326AA8" w:rsidRDefault="00514384" w:rsidP="000C4CBC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The difference in </w:t>
      </w:r>
      <w:r w:rsidR="00C521A6">
        <w:rPr>
          <w:rFonts w:cstheme="minorHAnsi"/>
          <w:color w:val="auto"/>
        </w:rPr>
        <w:t>UE attainment rates</w:t>
      </w:r>
      <w:r>
        <w:rPr>
          <w:rFonts w:cstheme="minorHAnsi"/>
          <w:color w:val="auto"/>
        </w:rPr>
        <w:t xml:space="preserve"> between </w:t>
      </w:r>
      <w:r w:rsidR="00820E08">
        <w:rPr>
          <w:rFonts w:cstheme="minorHAnsi"/>
          <w:color w:val="auto"/>
        </w:rPr>
        <w:t>coeducational and single-sex male leavers</w:t>
      </w:r>
      <w:r w:rsidR="00C521A6">
        <w:rPr>
          <w:rFonts w:cstheme="minorHAnsi"/>
          <w:color w:val="auto"/>
        </w:rPr>
        <w:t xml:space="preserve"> appear</w:t>
      </w:r>
      <w:r w:rsidR="00820E08">
        <w:rPr>
          <w:rFonts w:cstheme="minorHAnsi"/>
          <w:color w:val="auto"/>
        </w:rPr>
        <w:t>s</w:t>
      </w:r>
      <w:r w:rsidR="00C521A6">
        <w:rPr>
          <w:rFonts w:cstheme="minorHAnsi"/>
          <w:color w:val="auto"/>
        </w:rPr>
        <w:t xml:space="preserve"> to be additive</w:t>
      </w:r>
      <w:r w:rsidR="00AA494C">
        <w:rPr>
          <w:rFonts w:cstheme="minorHAnsi"/>
          <w:color w:val="auto"/>
        </w:rPr>
        <w:t xml:space="preserve">, while </w:t>
      </w:r>
      <w:r w:rsidR="00820E08">
        <w:rPr>
          <w:rFonts w:cstheme="minorHAnsi"/>
          <w:color w:val="auto"/>
        </w:rPr>
        <w:t xml:space="preserve">the difference </w:t>
      </w:r>
      <w:r w:rsidR="00883466">
        <w:rPr>
          <w:rFonts w:cstheme="minorHAnsi"/>
          <w:color w:val="auto"/>
        </w:rPr>
        <w:t>in</w:t>
      </w:r>
      <w:r w:rsidR="00820E08">
        <w:rPr>
          <w:rFonts w:cstheme="minorHAnsi"/>
          <w:color w:val="auto"/>
        </w:rPr>
        <w:t xml:space="preserve"> </w:t>
      </w:r>
      <w:r w:rsidR="00AA494C">
        <w:rPr>
          <w:rFonts w:cstheme="minorHAnsi"/>
          <w:color w:val="auto"/>
        </w:rPr>
        <w:t>non-</w:t>
      </w:r>
      <w:r w:rsidR="00326AA8">
        <w:rPr>
          <w:rFonts w:cstheme="minorHAnsi"/>
          <w:color w:val="auto"/>
        </w:rPr>
        <w:t>attainment</w:t>
      </w:r>
      <w:r w:rsidR="00AA494C">
        <w:rPr>
          <w:rFonts w:cstheme="minorHAnsi"/>
          <w:color w:val="auto"/>
        </w:rPr>
        <w:t xml:space="preserve"> rates </w:t>
      </w:r>
      <w:r w:rsidR="00883466">
        <w:rPr>
          <w:rFonts w:cstheme="minorHAnsi"/>
          <w:color w:val="auto"/>
        </w:rPr>
        <w:t>appears</w:t>
      </w:r>
      <w:r w:rsidR="00AA494C">
        <w:rPr>
          <w:rFonts w:cstheme="minorHAnsi"/>
          <w:color w:val="auto"/>
        </w:rPr>
        <w:t xml:space="preserve"> to be </w:t>
      </w:r>
      <w:r>
        <w:rPr>
          <w:rFonts w:cstheme="minorHAnsi"/>
          <w:color w:val="auto"/>
        </w:rPr>
        <w:t>multiplicative</w:t>
      </w:r>
      <w:r w:rsidR="005C6786">
        <w:rPr>
          <w:rFonts w:cstheme="minorHAnsi"/>
          <w:color w:val="auto"/>
        </w:rPr>
        <w:t>.</w:t>
      </w:r>
    </w:p>
    <w:p w14:paraId="68EC73EA" w14:textId="46F07300" w:rsidR="00DE5EC0" w:rsidRDefault="00DE5EC0" w:rsidP="00DE5EC0">
      <w:pPr>
        <w:pStyle w:val="Caption"/>
        <w:keepNext/>
      </w:pPr>
      <w:bookmarkStart w:id="29" w:name="_Ref1307688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C5D34">
        <w:rPr>
          <w:noProof/>
        </w:rPr>
        <w:t>5</w:t>
      </w:r>
      <w:r>
        <w:rPr>
          <w:noProof/>
        </w:rPr>
        <w:fldChar w:fldCharType="end"/>
      </w:r>
      <w:bookmarkEnd w:id="29"/>
      <w:r>
        <w:t>. Differences in UE and non-attainment rates between school types</w:t>
      </w:r>
      <w:r w:rsidR="00C16AA1">
        <w:t xml:space="preserve"> </w:t>
      </w:r>
      <w:r w:rsidR="00C16AA1" w:rsidRPr="00C16AA1">
        <w:t>(</w:t>
      </w:r>
      <w:r w:rsidR="00C16AA1">
        <w:t>s</w:t>
      </w:r>
      <w:r w:rsidR="00C16AA1" w:rsidRPr="00C16AA1">
        <w:t>ingle-</w:t>
      </w:r>
      <w:r w:rsidR="00C16AA1">
        <w:t>s</w:t>
      </w:r>
      <w:r w:rsidR="00C16AA1" w:rsidRPr="00C16AA1">
        <w:t xml:space="preserve">ex - </w:t>
      </w:r>
      <w:r w:rsidR="00C16AA1">
        <w:t>c</w:t>
      </w:r>
      <w:r w:rsidR="00C16AA1" w:rsidRPr="00C16AA1">
        <w:t>o</w:t>
      </w:r>
      <w:r w:rsidR="00C16AA1">
        <w:t>educational</w:t>
      </w:r>
      <w:r w:rsidR="00C16AA1" w:rsidRPr="00C16AA1">
        <w:t>)</w:t>
      </w:r>
      <w:r>
        <w:t>, disaggregated by ethnicity.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1985"/>
        <w:gridCol w:w="1985"/>
      </w:tblGrid>
      <w:tr w:rsidR="00DE5EC0" w14:paraId="534D0B89" w14:textId="77777777" w:rsidTr="006874FD">
        <w:trPr>
          <w:trHeight w:val="340"/>
        </w:trPr>
        <w:tc>
          <w:tcPr>
            <w:tcW w:w="1813" w:type="dxa"/>
            <w:vMerge w:val="restart"/>
            <w:tcBorders>
              <w:top w:val="double" w:sz="4" w:space="0" w:color="auto"/>
            </w:tcBorders>
            <w:vAlign w:val="center"/>
          </w:tcPr>
          <w:p w14:paraId="5227D54A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Ethnicity</w:t>
            </w:r>
          </w:p>
        </w:tc>
        <w:tc>
          <w:tcPr>
            <w:tcW w:w="39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5D2E4655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Difference (Single-Sex - Co-Ed)</w:t>
            </w:r>
          </w:p>
        </w:tc>
      </w:tr>
      <w:tr w:rsidR="00DE5EC0" w14:paraId="2D47BF7F" w14:textId="77777777" w:rsidTr="006874FD">
        <w:trPr>
          <w:trHeight w:val="340"/>
        </w:trPr>
        <w:tc>
          <w:tcPr>
            <w:tcW w:w="1813" w:type="dxa"/>
            <w:vMerge/>
            <w:tcBorders>
              <w:bottom w:val="double" w:sz="4" w:space="0" w:color="auto"/>
            </w:tcBorders>
            <w:vAlign w:val="center"/>
          </w:tcPr>
          <w:p w14:paraId="4DC06CBF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</w:p>
        </w:tc>
        <w:tc>
          <w:tcPr>
            <w:tcW w:w="1985" w:type="dxa"/>
            <w:tcBorders>
              <w:top w:val="nil"/>
              <w:bottom w:val="double" w:sz="4" w:space="0" w:color="auto"/>
            </w:tcBorders>
            <w:vAlign w:val="center"/>
          </w:tcPr>
          <w:p w14:paraId="6A18BD64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UE</w:t>
            </w:r>
          </w:p>
        </w:tc>
        <w:tc>
          <w:tcPr>
            <w:tcW w:w="1985" w:type="dxa"/>
            <w:tcBorders>
              <w:top w:val="nil"/>
              <w:bottom w:val="double" w:sz="4" w:space="0" w:color="auto"/>
            </w:tcBorders>
            <w:vAlign w:val="center"/>
          </w:tcPr>
          <w:p w14:paraId="522695A5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Non-Attainment</w:t>
            </w:r>
          </w:p>
        </w:tc>
      </w:tr>
      <w:tr w:rsidR="00DE5EC0" w14:paraId="6273ABBE" w14:textId="77777777" w:rsidTr="006874FD">
        <w:trPr>
          <w:trHeight w:val="340"/>
        </w:trPr>
        <w:tc>
          <w:tcPr>
            <w:tcW w:w="1813" w:type="dxa"/>
            <w:tcBorders>
              <w:top w:val="double" w:sz="4" w:space="0" w:color="auto"/>
              <w:bottom w:val="nil"/>
            </w:tcBorders>
            <w:vAlign w:val="center"/>
          </w:tcPr>
          <w:p w14:paraId="348A3BD6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Asian</w:t>
            </w:r>
          </w:p>
        </w:tc>
        <w:tc>
          <w:tcPr>
            <w:tcW w:w="1985" w:type="dxa"/>
            <w:tcBorders>
              <w:top w:val="double" w:sz="4" w:space="0" w:color="auto"/>
              <w:bottom w:val="nil"/>
            </w:tcBorders>
            <w:vAlign w:val="center"/>
          </w:tcPr>
          <w:p w14:paraId="36264C45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18.0%</w:t>
            </w:r>
          </w:p>
        </w:tc>
        <w:tc>
          <w:tcPr>
            <w:tcW w:w="1985" w:type="dxa"/>
            <w:tcBorders>
              <w:top w:val="double" w:sz="4" w:space="0" w:color="auto"/>
              <w:bottom w:val="nil"/>
            </w:tcBorders>
            <w:vAlign w:val="center"/>
          </w:tcPr>
          <w:p w14:paraId="7648D080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-2.9%</w:t>
            </w:r>
          </w:p>
        </w:tc>
      </w:tr>
      <w:tr w:rsidR="00DE5EC0" w14:paraId="1CB133B4" w14:textId="77777777" w:rsidTr="006874FD">
        <w:trPr>
          <w:trHeight w:val="340"/>
        </w:trPr>
        <w:tc>
          <w:tcPr>
            <w:tcW w:w="1813" w:type="dxa"/>
            <w:tcBorders>
              <w:top w:val="nil"/>
              <w:bottom w:val="nil"/>
            </w:tcBorders>
            <w:vAlign w:val="center"/>
          </w:tcPr>
          <w:p w14:paraId="0A9091EF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European/Pākehā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673B459A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18.3%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67EA2598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-6.3%</w:t>
            </w:r>
          </w:p>
        </w:tc>
      </w:tr>
      <w:tr w:rsidR="00DE5EC0" w14:paraId="1CA1D2A0" w14:textId="77777777" w:rsidTr="006874FD">
        <w:trPr>
          <w:trHeight w:val="340"/>
        </w:trPr>
        <w:tc>
          <w:tcPr>
            <w:tcW w:w="1813" w:type="dxa"/>
            <w:tcBorders>
              <w:top w:val="nil"/>
              <w:bottom w:val="nil"/>
            </w:tcBorders>
            <w:vAlign w:val="center"/>
          </w:tcPr>
          <w:p w14:paraId="5519410E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MELAA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4E1868F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15.0%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1AF3F8F0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-1.8%</w:t>
            </w:r>
          </w:p>
        </w:tc>
      </w:tr>
      <w:tr w:rsidR="00DE5EC0" w14:paraId="33C9D316" w14:textId="77777777" w:rsidTr="006874FD">
        <w:trPr>
          <w:trHeight w:val="340"/>
        </w:trPr>
        <w:tc>
          <w:tcPr>
            <w:tcW w:w="1813" w:type="dxa"/>
            <w:tcBorders>
              <w:top w:val="nil"/>
              <w:bottom w:val="nil"/>
            </w:tcBorders>
            <w:vAlign w:val="center"/>
          </w:tcPr>
          <w:p w14:paraId="071A09E3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</w:t>
            </w:r>
            <w:r>
              <w:rPr>
                <w:rFonts w:ascii="Calibri" w:hAnsi="Calibri" w:cs="Calibri"/>
                <w:color w:val="000000"/>
              </w:rPr>
              <w:t>āori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CFA0111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15.6%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6E07941B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-12.2%</w:t>
            </w:r>
          </w:p>
        </w:tc>
      </w:tr>
      <w:tr w:rsidR="00DE5EC0" w14:paraId="746AD446" w14:textId="77777777" w:rsidTr="006874FD">
        <w:trPr>
          <w:trHeight w:val="340"/>
        </w:trPr>
        <w:tc>
          <w:tcPr>
            <w:tcW w:w="1813" w:type="dxa"/>
            <w:tcBorders>
              <w:top w:val="nil"/>
              <w:bottom w:val="nil"/>
            </w:tcBorders>
            <w:vAlign w:val="center"/>
          </w:tcPr>
          <w:p w14:paraId="60B3AF75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Pacific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685F0BBF" w14:textId="77777777" w:rsidR="00DE5EC0" w:rsidRDefault="00DE5EC0" w:rsidP="006874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17.2%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21527BF9" w14:textId="77777777" w:rsidR="00DE5EC0" w:rsidRDefault="00DE5EC0" w:rsidP="006874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-10.6%</w:t>
            </w:r>
          </w:p>
        </w:tc>
      </w:tr>
      <w:tr w:rsidR="00DE5EC0" w14:paraId="4AAB55EA" w14:textId="77777777" w:rsidTr="006874FD">
        <w:trPr>
          <w:trHeight w:val="340"/>
        </w:trPr>
        <w:tc>
          <w:tcPr>
            <w:tcW w:w="1813" w:type="dxa"/>
            <w:tcBorders>
              <w:top w:val="nil"/>
              <w:bottom w:val="double" w:sz="4" w:space="0" w:color="auto"/>
            </w:tcBorders>
            <w:vAlign w:val="center"/>
          </w:tcPr>
          <w:p w14:paraId="415E72F2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Other</w:t>
            </w:r>
          </w:p>
        </w:tc>
        <w:tc>
          <w:tcPr>
            <w:tcW w:w="1985" w:type="dxa"/>
            <w:tcBorders>
              <w:top w:val="nil"/>
              <w:bottom w:val="double" w:sz="4" w:space="0" w:color="auto"/>
            </w:tcBorders>
            <w:vAlign w:val="center"/>
          </w:tcPr>
          <w:p w14:paraId="5F6C8EF2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21.9%</w:t>
            </w:r>
          </w:p>
        </w:tc>
        <w:tc>
          <w:tcPr>
            <w:tcW w:w="1985" w:type="dxa"/>
            <w:tcBorders>
              <w:top w:val="nil"/>
              <w:bottom w:val="double" w:sz="4" w:space="0" w:color="auto"/>
            </w:tcBorders>
            <w:vAlign w:val="center"/>
          </w:tcPr>
          <w:p w14:paraId="62B4BC5E" w14:textId="77777777" w:rsidR="00DE5EC0" w:rsidRDefault="00DE5EC0" w:rsidP="006874FD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-7.3%</w:t>
            </w:r>
          </w:p>
        </w:tc>
      </w:tr>
    </w:tbl>
    <w:p w14:paraId="25B8D808" w14:textId="77777777" w:rsidR="00DE5EC0" w:rsidRDefault="00DE5EC0" w:rsidP="000C4CBC">
      <w:pPr>
        <w:rPr>
          <w:rFonts w:cstheme="minorHAnsi"/>
          <w:color w:val="auto"/>
        </w:rPr>
      </w:pPr>
    </w:p>
    <w:p w14:paraId="5E204536" w14:textId="68588230" w:rsidR="00B37898" w:rsidRDefault="00135E06" w:rsidP="000C4CBC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Notice</w:t>
      </w:r>
      <w:r w:rsidR="00863D40">
        <w:rPr>
          <w:rFonts w:cstheme="minorHAnsi"/>
          <w:color w:val="auto"/>
        </w:rPr>
        <w:t xml:space="preserve"> from </w:t>
      </w:r>
      <w:r w:rsidR="00863D40">
        <w:rPr>
          <w:rFonts w:cstheme="minorHAnsi"/>
          <w:color w:val="auto"/>
        </w:rPr>
        <w:fldChar w:fldCharType="begin"/>
      </w:r>
      <w:r w:rsidR="00863D40">
        <w:rPr>
          <w:rFonts w:cstheme="minorHAnsi"/>
          <w:color w:val="auto"/>
        </w:rPr>
        <w:instrText xml:space="preserve"> REF _Ref130768838 \h </w:instrText>
      </w:r>
      <w:r w:rsidR="00863D40">
        <w:rPr>
          <w:rFonts w:cstheme="minorHAnsi"/>
          <w:color w:val="auto"/>
        </w:rPr>
      </w:r>
      <w:r w:rsidR="00863D40">
        <w:rPr>
          <w:rFonts w:cstheme="minorHAnsi"/>
          <w:color w:val="auto"/>
        </w:rPr>
        <w:fldChar w:fldCharType="separate"/>
      </w:r>
      <w:r w:rsidR="008C5D34">
        <w:t xml:space="preserve">Table </w:t>
      </w:r>
      <w:r w:rsidR="008C5D34">
        <w:rPr>
          <w:noProof/>
        </w:rPr>
        <w:t>5</w:t>
      </w:r>
      <w:r w:rsidR="00863D40"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 xml:space="preserve"> that </w:t>
      </w:r>
      <w:r w:rsidR="00EE6C5F">
        <w:rPr>
          <w:rFonts w:cstheme="minorHAnsi"/>
          <w:color w:val="auto"/>
        </w:rPr>
        <w:t xml:space="preserve">the </w:t>
      </w:r>
      <w:r w:rsidR="00211572" w:rsidRPr="008B0446">
        <w:rPr>
          <w:rFonts w:cstheme="minorHAnsi"/>
          <w:i/>
          <w:iCs/>
          <w:color w:val="auto"/>
        </w:rPr>
        <w:t>differences</w:t>
      </w:r>
      <w:r w:rsidR="00211572">
        <w:rPr>
          <w:rFonts w:cstheme="minorHAnsi"/>
          <w:color w:val="auto"/>
        </w:rPr>
        <w:t xml:space="preserve"> in </w:t>
      </w:r>
      <w:r w:rsidR="00EE6C5F">
        <w:rPr>
          <w:rFonts w:cstheme="minorHAnsi"/>
          <w:color w:val="auto"/>
        </w:rPr>
        <w:t xml:space="preserve">UE </w:t>
      </w:r>
      <w:r w:rsidR="00211572">
        <w:rPr>
          <w:rFonts w:cstheme="minorHAnsi"/>
          <w:color w:val="auto"/>
        </w:rPr>
        <w:t xml:space="preserve">rate </w:t>
      </w:r>
      <w:r w:rsidR="00EE6C5F">
        <w:rPr>
          <w:rFonts w:cstheme="minorHAnsi"/>
          <w:color w:val="auto"/>
        </w:rPr>
        <w:t>are relatively constant at 15% – 20%</w:t>
      </w:r>
      <w:r w:rsidR="00211572">
        <w:rPr>
          <w:rFonts w:cstheme="minorHAnsi"/>
          <w:color w:val="auto"/>
        </w:rPr>
        <w:t xml:space="preserve">, independent of </w:t>
      </w:r>
      <w:r w:rsidR="008B0446">
        <w:rPr>
          <w:rFonts w:cstheme="minorHAnsi"/>
          <w:color w:val="auto"/>
        </w:rPr>
        <w:t xml:space="preserve">the </w:t>
      </w:r>
      <w:r w:rsidR="00BA4FC5">
        <w:rPr>
          <w:rFonts w:cstheme="minorHAnsi"/>
          <w:color w:val="auto"/>
        </w:rPr>
        <w:t>absolute</w:t>
      </w:r>
      <w:r w:rsidR="007444D0">
        <w:rPr>
          <w:rFonts w:cstheme="minorHAnsi"/>
          <w:color w:val="auto"/>
        </w:rPr>
        <w:t xml:space="preserve"> rate for either single-sex or coeducational schools.</w:t>
      </w:r>
      <w:r w:rsidR="00DD5ED8">
        <w:rPr>
          <w:rFonts w:cstheme="minorHAnsi"/>
          <w:color w:val="auto"/>
        </w:rPr>
        <w:t xml:space="preserve"> This is additive behaviour</w:t>
      </w:r>
      <w:r w:rsidR="00BA4FC5">
        <w:rPr>
          <w:rFonts w:cstheme="minorHAnsi"/>
          <w:color w:val="auto"/>
        </w:rPr>
        <w:t xml:space="preserve"> and</w:t>
      </w:r>
      <w:r w:rsidR="00473A8D">
        <w:rPr>
          <w:rFonts w:cstheme="minorHAnsi"/>
          <w:color w:val="auto"/>
        </w:rPr>
        <w:t xml:space="preserve"> suggests </w:t>
      </w:r>
      <w:r w:rsidR="00941ED7">
        <w:rPr>
          <w:rFonts w:cstheme="minorHAnsi"/>
          <w:color w:val="auto"/>
        </w:rPr>
        <w:t xml:space="preserve">the </w:t>
      </w:r>
      <w:r w:rsidR="007D2E41">
        <w:rPr>
          <w:rFonts w:cstheme="minorHAnsi"/>
          <w:color w:val="auto"/>
        </w:rPr>
        <w:t>single-sex advantage</w:t>
      </w:r>
      <w:r w:rsidR="00BF5E8A">
        <w:rPr>
          <w:rFonts w:cstheme="minorHAnsi"/>
          <w:color w:val="auto"/>
        </w:rPr>
        <w:t xml:space="preserve"> </w:t>
      </w:r>
      <w:r w:rsidR="00D627AB">
        <w:rPr>
          <w:rFonts w:cstheme="minorHAnsi"/>
          <w:color w:val="auto"/>
        </w:rPr>
        <w:t xml:space="preserve">is proportionally stronger for </w:t>
      </w:r>
      <w:r w:rsidR="000A2EC7">
        <w:rPr>
          <w:rFonts w:cstheme="minorHAnsi"/>
          <w:color w:val="auto"/>
        </w:rPr>
        <w:t xml:space="preserve">ethnic groups </w:t>
      </w:r>
      <w:r w:rsidR="00836A46">
        <w:rPr>
          <w:rFonts w:cstheme="minorHAnsi"/>
          <w:color w:val="auto"/>
        </w:rPr>
        <w:t xml:space="preserve">with </w:t>
      </w:r>
      <w:r w:rsidR="0041684D">
        <w:rPr>
          <w:rFonts w:cstheme="minorHAnsi"/>
          <w:color w:val="auto"/>
        </w:rPr>
        <w:t>lower attainment rates.</w:t>
      </w:r>
    </w:p>
    <w:p w14:paraId="24E4E38C" w14:textId="2DF2EDA7" w:rsidR="00326AA8" w:rsidRDefault="0041684D" w:rsidP="000C4CBC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In comparison, n</w:t>
      </w:r>
      <w:r w:rsidR="00EE6C5F">
        <w:rPr>
          <w:rFonts w:cstheme="minorHAnsi"/>
          <w:color w:val="auto"/>
        </w:rPr>
        <w:t>on-attainment</w:t>
      </w:r>
      <w:r w:rsidR="004D74D7">
        <w:rPr>
          <w:rFonts w:cstheme="minorHAnsi"/>
          <w:color w:val="auto"/>
        </w:rPr>
        <w:t xml:space="preserve"> differences</w:t>
      </w:r>
      <w:r w:rsidR="00EE6C5F">
        <w:rPr>
          <w:rFonts w:cstheme="minorHAnsi"/>
          <w:color w:val="auto"/>
        </w:rPr>
        <w:t xml:space="preserve"> fluctuate significantly</w:t>
      </w:r>
      <w:r w:rsidR="005030E5">
        <w:rPr>
          <w:rFonts w:cstheme="minorHAnsi"/>
          <w:color w:val="auto"/>
        </w:rPr>
        <w:t xml:space="preserve"> more </w:t>
      </w:r>
      <w:r w:rsidR="00A24D71">
        <w:rPr>
          <w:rFonts w:cstheme="minorHAnsi"/>
          <w:color w:val="auto"/>
        </w:rPr>
        <w:t xml:space="preserve">and </w:t>
      </w:r>
      <w:r w:rsidR="002B6A8D">
        <w:rPr>
          <w:rFonts w:cstheme="minorHAnsi"/>
          <w:color w:val="auto"/>
        </w:rPr>
        <w:t>are</w:t>
      </w:r>
      <w:r w:rsidR="00352C04">
        <w:rPr>
          <w:rFonts w:cstheme="minorHAnsi"/>
          <w:color w:val="auto"/>
        </w:rPr>
        <w:t xml:space="preserve"> approximately</w:t>
      </w:r>
      <w:r w:rsidR="002B6A8D">
        <w:rPr>
          <w:rFonts w:cstheme="minorHAnsi"/>
          <w:color w:val="auto"/>
        </w:rPr>
        <w:t xml:space="preserve"> proportionate to</w:t>
      </w:r>
      <w:r w:rsidR="005030E5">
        <w:rPr>
          <w:rFonts w:cstheme="minorHAnsi"/>
          <w:color w:val="auto"/>
        </w:rPr>
        <w:t xml:space="preserve"> the absolute non-attainment </w:t>
      </w:r>
      <w:r w:rsidR="00A24D71">
        <w:rPr>
          <w:rFonts w:cstheme="minorHAnsi"/>
          <w:color w:val="auto"/>
        </w:rPr>
        <w:t>rate</w:t>
      </w:r>
      <w:r w:rsidR="00863D40">
        <w:rPr>
          <w:rFonts w:cstheme="minorHAnsi"/>
          <w:color w:val="auto"/>
        </w:rPr>
        <w:t xml:space="preserve"> in each category</w:t>
      </w:r>
      <w:r w:rsidR="003E11FF">
        <w:rPr>
          <w:rFonts w:cstheme="minorHAnsi"/>
          <w:color w:val="auto"/>
        </w:rPr>
        <w:t xml:space="preserve">. This </w:t>
      </w:r>
      <w:r w:rsidR="00F04D46">
        <w:rPr>
          <w:rFonts w:cstheme="minorHAnsi"/>
          <w:color w:val="auto"/>
        </w:rPr>
        <w:t>multiplicative behaviour leads</w:t>
      </w:r>
      <w:r w:rsidR="00C860AE">
        <w:rPr>
          <w:rFonts w:cstheme="minorHAnsi"/>
          <w:color w:val="auto"/>
        </w:rPr>
        <w:t xml:space="preserve"> to </w:t>
      </w:r>
      <w:r w:rsidR="00E4284F">
        <w:rPr>
          <w:rFonts w:cstheme="minorHAnsi"/>
          <w:color w:val="auto"/>
        </w:rPr>
        <w:t>a stronger single-sex advantage</w:t>
      </w:r>
      <w:r w:rsidR="00A80A65">
        <w:rPr>
          <w:rFonts w:cstheme="minorHAnsi"/>
          <w:color w:val="auto"/>
        </w:rPr>
        <w:t xml:space="preserve"> effect</w:t>
      </w:r>
      <w:r w:rsidR="00DC3265">
        <w:rPr>
          <w:rFonts w:cstheme="minorHAnsi"/>
          <w:color w:val="auto"/>
        </w:rPr>
        <w:t xml:space="preserve"> for </w:t>
      </w:r>
      <w:r w:rsidR="00E4284F">
        <w:rPr>
          <w:rFonts w:cstheme="minorHAnsi"/>
          <w:color w:val="auto"/>
        </w:rPr>
        <w:t>ethnic groups with higher non-attainment rates.</w:t>
      </w:r>
    </w:p>
    <w:p w14:paraId="3AAAF7A2" w14:textId="2F2D1B47" w:rsidR="006B5D66" w:rsidRDefault="00E7717B" w:rsidP="000C4CBC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The combination of these factors</w:t>
      </w:r>
      <w:r w:rsidR="00532CDB">
        <w:rPr>
          <w:rFonts w:cstheme="minorHAnsi"/>
          <w:color w:val="auto"/>
        </w:rPr>
        <w:t xml:space="preserve"> means that </w:t>
      </w:r>
      <w:r w:rsidR="00E30C91">
        <w:rPr>
          <w:rFonts w:cstheme="minorHAnsi"/>
          <w:color w:val="auto"/>
        </w:rPr>
        <w:t>disadvantaged</w:t>
      </w:r>
      <w:r w:rsidR="00513762">
        <w:rPr>
          <w:rFonts w:cstheme="minorHAnsi"/>
          <w:color w:val="auto"/>
        </w:rPr>
        <w:t xml:space="preserve"> demographics </w:t>
      </w:r>
      <w:r w:rsidR="0079132A">
        <w:rPr>
          <w:rFonts w:cstheme="minorHAnsi"/>
          <w:color w:val="auto"/>
        </w:rPr>
        <w:t xml:space="preserve">appear to </w:t>
      </w:r>
      <w:r w:rsidR="00513762">
        <w:rPr>
          <w:rFonts w:cstheme="minorHAnsi"/>
          <w:color w:val="auto"/>
        </w:rPr>
        <w:t xml:space="preserve">benefit </w:t>
      </w:r>
      <w:r w:rsidR="0079132A">
        <w:rPr>
          <w:rFonts w:cstheme="minorHAnsi"/>
          <w:color w:val="auto"/>
        </w:rPr>
        <w:t xml:space="preserve">the </w:t>
      </w:r>
      <w:r w:rsidR="00513762">
        <w:rPr>
          <w:rFonts w:cstheme="minorHAnsi"/>
          <w:color w:val="auto"/>
        </w:rPr>
        <w:t>most from single-sex education</w:t>
      </w:r>
      <w:r w:rsidR="0035468E">
        <w:rPr>
          <w:rFonts w:cstheme="minorHAnsi"/>
          <w:color w:val="auto"/>
        </w:rPr>
        <w:t xml:space="preserve"> in the dataset</w:t>
      </w:r>
      <w:r w:rsidR="00513762">
        <w:rPr>
          <w:rFonts w:cstheme="minorHAnsi"/>
          <w:color w:val="auto"/>
        </w:rPr>
        <w:t>.</w:t>
      </w:r>
      <w:r w:rsidR="00B62C83">
        <w:rPr>
          <w:rFonts w:cstheme="minorHAnsi"/>
          <w:color w:val="auto"/>
        </w:rPr>
        <w:t xml:space="preserve"> </w:t>
      </w:r>
      <w:r w:rsidR="00BE4FB9">
        <w:rPr>
          <w:rFonts w:cstheme="minorHAnsi"/>
          <w:color w:val="auto"/>
        </w:rPr>
        <w:t>From earlier, a</w:t>
      </w:r>
      <w:r w:rsidR="00986FA9">
        <w:rPr>
          <w:rFonts w:cstheme="minorHAnsi"/>
          <w:color w:val="auto"/>
        </w:rPr>
        <w:t>chievement metrics</w:t>
      </w:r>
      <w:r w:rsidR="00125219">
        <w:rPr>
          <w:rFonts w:cstheme="minorHAnsi"/>
          <w:color w:val="auto"/>
        </w:rPr>
        <w:t xml:space="preserve"> </w:t>
      </w:r>
      <w:r w:rsidR="00986FA9">
        <w:rPr>
          <w:rFonts w:cstheme="minorHAnsi"/>
          <w:color w:val="auto"/>
        </w:rPr>
        <w:t>favour</w:t>
      </w:r>
      <w:r w:rsidR="00125219">
        <w:rPr>
          <w:rFonts w:cstheme="minorHAnsi"/>
          <w:color w:val="auto"/>
        </w:rPr>
        <w:t xml:space="preserve"> single-sex education</w:t>
      </w:r>
      <w:r w:rsidR="00CC2D8F">
        <w:rPr>
          <w:rFonts w:cstheme="minorHAnsi"/>
          <w:color w:val="auto"/>
        </w:rPr>
        <w:t xml:space="preserve"> across </w:t>
      </w:r>
      <w:r w:rsidR="00FD5177">
        <w:rPr>
          <w:rFonts w:cstheme="minorHAnsi"/>
          <w:color w:val="auto"/>
        </w:rPr>
        <w:t xml:space="preserve">all ethnic groups. </w:t>
      </w:r>
      <w:r w:rsidR="00AD737E">
        <w:rPr>
          <w:rFonts w:cstheme="minorHAnsi"/>
          <w:color w:val="auto"/>
        </w:rPr>
        <w:t>Speculating, i</w:t>
      </w:r>
      <w:r w:rsidR="0079132A">
        <w:rPr>
          <w:rFonts w:cstheme="minorHAnsi"/>
          <w:color w:val="auto"/>
        </w:rPr>
        <w:t xml:space="preserve">t is </w:t>
      </w:r>
      <w:r w:rsidR="003C7A39">
        <w:rPr>
          <w:rFonts w:cstheme="minorHAnsi"/>
          <w:color w:val="auto"/>
        </w:rPr>
        <w:t>possible</w:t>
      </w:r>
      <w:r w:rsidR="007A7515">
        <w:rPr>
          <w:rFonts w:cstheme="minorHAnsi"/>
          <w:color w:val="auto"/>
        </w:rPr>
        <w:t xml:space="preserve"> that increas</w:t>
      </w:r>
      <w:r w:rsidR="00AD737E">
        <w:rPr>
          <w:rFonts w:cstheme="minorHAnsi"/>
          <w:color w:val="auto"/>
        </w:rPr>
        <w:t>ing</w:t>
      </w:r>
      <w:r w:rsidR="00282EFA">
        <w:rPr>
          <w:rFonts w:cstheme="minorHAnsi"/>
          <w:color w:val="auto"/>
        </w:rPr>
        <w:t xml:space="preserve"> </w:t>
      </w:r>
      <w:r w:rsidR="00127826">
        <w:rPr>
          <w:rFonts w:cstheme="minorHAnsi"/>
          <w:color w:val="auto"/>
        </w:rPr>
        <w:t xml:space="preserve">enrolment </w:t>
      </w:r>
      <w:r w:rsidR="00282EFA">
        <w:rPr>
          <w:rFonts w:cstheme="minorHAnsi"/>
          <w:color w:val="auto"/>
        </w:rPr>
        <w:t>at</w:t>
      </w:r>
      <w:r w:rsidR="00E36EAD">
        <w:rPr>
          <w:rFonts w:cstheme="minorHAnsi"/>
          <w:color w:val="auto"/>
        </w:rPr>
        <w:t xml:space="preserve"> single-sex schools </w:t>
      </w:r>
      <w:r w:rsidR="00E44417">
        <w:rPr>
          <w:rFonts w:cstheme="minorHAnsi"/>
          <w:color w:val="auto"/>
        </w:rPr>
        <w:t xml:space="preserve">could help bridge the </w:t>
      </w:r>
      <w:r w:rsidR="00A05F25">
        <w:rPr>
          <w:rFonts w:cstheme="minorHAnsi"/>
          <w:color w:val="auto"/>
        </w:rPr>
        <w:t>ethnic gap</w:t>
      </w:r>
      <w:r w:rsidR="001C36A1">
        <w:rPr>
          <w:rFonts w:cstheme="minorHAnsi"/>
          <w:color w:val="auto"/>
        </w:rPr>
        <w:t xml:space="preserve"> </w:t>
      </w:r>
      <w:r w:rsidR="0065422A">
        <w:rPr>
          <w:rFonts w:cstheme="minorHAnsi"/>
          <w:color w:val="auto"/>
        </w:rPr>
        <w:t xml:space="preserve">while still </w:t>
      </w:r>
      <w:r w:rsidR="00BB252E">
        <w:rPr>
          <w:rFonts w:cstheme="minorHAnsi"/>
          <w:color w:val="auto"/>
        </w:rPr>
        <w:t>promoting excellence across all</w:t>
      </w:r>
      <w:r w:rsidR="006576FC">
        <w:rPr>
          <w:rFonts w:cstheme="minorHAnsi"/>
          <w:color w:val="auto"/>
        </w:rPr>
        <w:t xml:space="preserve"> </w:t>
      </w:r>
      <w:r w:rsidR="007A7CFC">
        <w:rPr>
          <w:rFonts w:cstheme="minorHAnsi"/>
          <w:color w:val="auto"/>
        </w:rPr>
        <w:t>ethnic</w:t>
      </w:r>
      <w:r w:rsidR="006576FC">
        <w:rPr>
          <w:rFonts w:cstheme="minorHAnsi"/>
          <w:color w:val="auto"/>
        </w:rPr>
        <w:t xml:space="preserve"> groups</w:t>
      </w:r>
      <w:r w:rsidR="00443D0D">
        <w:rPr>
          <w:rFonts w:cstheme="minorHAnsi"/>
          <w:color w:val="auto"/>
        </w:rPr>
        <w:t xml:space="preserve">, </w:t>
      </w:r>
      <w:r w:rsidR="00E44417">
        <w:rPr>
          <w:rFonts w:cstheme="minorHAnsi"/>
          <w:color w:val="auto"/>
        </w:rPr>
        <w:t>at least for males</w:t>
      </w:r>
      <w:r w:rsidR="00601478">
        <w:rPr>
          <w:rFonts w:cstheme="minorHAnsi"/>
          <w:color w:val="auto"/>
        </w:rPr>
        <w:t>.</w:t>
      </w:r>
      <w:r w:rsidR="008B7333">
        <w:rPr>
          <w:rFonts w:cstheme="minorHAnsi"/>
          <w:color w:val="auto"/>
        </w:rPr>
        <w:t xml:space="preserve"> A similar </w:t>
      </w:r>
      <w:r w:rsidR="001A7F0C">
        <w:rPr>
          <w:rFonts w:cstheme="minorHAnsi"/>
          <w:color w:val="auto"/>
        </w:rPr>
        <w:t>opportunity</w:t>
      </w:r>
      <w:r w:rsidR="002F4013">
        <w:rPr>
          <w:rFonts w:cstheme="minorHAnsi"/>
          <w:color w:val="auto"/>
        </w:rPr>
        <w:t xml:space="preserve"> may exist for other genders.</w:t>
      </w:r>
      <w:r w:rsidR="00DE70CE">
        <w:rPr>
          <w:rFonts w:cstheme="minorHAnsi"/>
          <w:color w:val="auto"/>
        </w:rPr>
        <w:t xml:space="preserve"> </w:t>
      </w:r>
      <w:r w:rsidR="009335E2">
        <w:rPr>
          <w:rFonts w:cstheme="minorHAnsi"/>
          <w:color w:val="auto"/>
        </w:rPr>
        <w:t>Crucial</w:t>
      </w:r>
      <w:r w:rsidR="002F4013">
        <w:rPr>
          <w:rFonts w:cstheme="minorHAnsi"/>
          <w:color w:val="auto"/>
        </w:rPr>
        <w:t xml:space="preserve"> to reiterate is that these</w:t>
      </w:r>
      <w:r w:rsidR="007A7515">
        <w:rPr>
          <w:rFonts w:cstheme="minorHAnsi"/>
          <w:color w:val="auto"/>
        </w:rPr>
        <w:t xml:space="preserve"> causal</w:t>
      </w:r>
      <w:r w:rsidR="00AD737E">
        <w:rPr>
          <w:rFonts w:cstheme="minorHAnsi"/>
          <w:color w:val="auto"/>
        </w:rPr>
        <w:t xml:space="preserve"> </w:t>
      </w:r>
      <w:r w:rsidR="00DE70CE">
        <w:rPr>
          <w:rFonts w:cstheme="minorHAnsi"/>
          <w:color w:val="auto"/>
        </w:rPr>
        <w:t>conclusion</w:t>
      </w:r>
      <w:r w:rsidR="002F4013">
        <w:rPr>
          <w:rFonts w:cstheme="minorHAnsi"/>
          <w:color w:val="auto"/>
        </w:rPr>
        <w:t>s</w:t>
      </w:r>
      <w:r w:rsidR="00AD737E">
        <w:rPr>
          <w:rFonts w:cstheme="minorHAnsi"/>
          <w:color w:val="auto"/>
        </w:rPr>
        <w:t xml:space="preserve"> cannot be </w:t>
      </w:r>
      <w:r w:rsidR="00844D41" w:rsidRPr="00844D41">
        <w:rPr>
          <w:rFonts w:cstheme="minorHAnsi"/>
          <w:color w:val="auto"/>
        </w:rPr>
        <w:t>evidenced</w:t>
      </w:r>
      <w:r w:rsidR="00844D41" w:rsidRPr="00844D41">
        <w:rPr>
          <w:rFonts w:cstheme="minorHAnsi"/>
          <w:color w:val="auto"/>
        </w:rPr>
        <w:t xml:space="preserve"> </w:t>
      </w:r>
      <w:r w:rsidR="0012227D">
        <w:rPr>
          <w:rFonts w:cstheme="minorHAnsi"/>
          <w:color w:val="auto"/>
        </w:rPr>
        <w:t>by</w:t>
      </w:r>
      <w:r w:rsidR="00491267">
        <w:rPr>
          <w:rFonts w:cstheme="minorHAnsi"/>
          <w:color w:val="auto"/>
        </w:rPr>
        <w:t xml:space="preserve"> </w:t>
      </w:r>
      <w:r w:rsidR="00844D41">
        <w:rPr>
          <w:rFonts w:cstheme="minorHAnsi"/>
          <w:color w:val="auto"/>
        </w:rPr>
        <w:t>the</w:t>
      </w:r>
      <w:r w:rsidR="00491267">
        <w:rPr>
          <w:rFonts w:cstheme="minorHAnsi"/>
          <w:color w:val="auto"/>
        </w:rPr>
        <w:t xml:space="preserve"> analysis</w:t>
      </w:r>
      <w:r w:rsidR="00844D41">
        <w:rPr>
          <w:rFonts w:cstheme="minorHAnsi"/>
          <w:color w:val="auto"/>
        </w:rPr>
        <w:t xml:space="preserve"> presented here</w:t>
      </w:r>
      <w:r w:rsidR="00491267">
        <w:rPr>
          <w:rFonts w:cstheme="minorHAnsi"/>
          <w:color w:val="auto"/>
        </w:rPr>
        <w:t>.</w:t>
      </w:r>
    </w:p>
    <w:p w14:paraId="2AF36933" w14:textId="3158DD07" w:rsidR="00124AB5" w:rsidRDefault="00124AB5">
      <w:pPr>
        <w:rPr>
          <w:rFonts w:cstheme="minorHAnsi"/>
          <w:color w:val="auto"/>
        </w:rPr>
      </w:pPr>
      <w:r>
        <w:rPr>
          <w:rFonts w:cstheme="minorHAnsi"/>
          <w:color w:val="auto"/>
        </w:rPr>
        <w:br w:type="page"/>
      </w:r>
    </w:p>
    <w:p w14:paraId="46C2C1E8" w14:textId="397B9683" w:rsidR="00124AB5" w:rsidRDefault="00124AB5" w:rsidP="00124AB5">
      <w:pPr>
        <w:pStyle w:val="Heading1"/>
        <w:rPr>
          <w:noProof/>
          <w:sz w:val="12"/>
          <w:szCs w:val="12"/>
        </w:rPr>
      </w:pPr>
      <w:bookmarkStart w:id="30" w:name="_Toc130862592"/>
      <w:r>
        <w:lastRenderedPageBreak/>
        <w:t>Conclusion</w:t>
      </w:r>
      <w:r>
        <w:br/>
      </w:r>
      <w:r w:rsidR="008C5D34">
        <w:rPr>
          <w:noProof/>
          <w:sz w:val="12"/>
          <w:szCs w:val="12"/>
        </w:rPr>
        <w:pict w14:anchorId="0801C3D7">
          <v:rect id="_x0000_i1032" style="width:451.3pt;height:1.5pt" o:hrstd="t" o:hr="t" fillcolor="#a0a0a0" stroked="f"/>
        </w:pict>
      </w:r>
      <w:bookmarkEnd w:id="30"/>
    </w:p>
    <w:p w14:paraId="5C2D065A" w14:textId="7BE0E9EB" w:rsidR="00CE3D34" w:rsidRDefault="00D94E92" w:rsidP="00BA74BB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This report compared</w:t>
      </w:r>
      <w:r w:rsidRPr="00D94E92">
        <w:rPr>
          <w:rFonts w:cstheme="minorHAnsi"/>
          <w:color w:val="auto"/>
        </w:rPr>
        <w:t xml:space="preserve"> </w:t>
      </w:r>
      <w:r w:rsidR="0084619B">
        <w:rPr>
          <w:rFonts w:cstheme="minorHAnsi"/>
          <w:color w:val="auto"/>
        </w:rPr>
        <w:t>male school leaver achievement rates</w:t>
      </w:r>
      <w:r>
        <w:rPr>
          <w:rFonts w:cstheme="minorHAnsi"/>
          <w:color w:val="auto"/>
        </w:rPr>
        <w:t xml:space="preserve"> between single-sex and coeducational schools in New Zealand</w:t>
      </w:r>
      <w:r w:rsidR="00F661CE">
        <w:rPr>
          <w:rFonts w:cstheme="minorHAnsi"/>
          <w:color w:val="auto"/>
        </w:rPr>
        <w:t xml:space="preserve"> between 2017 and 2021</w:t>
      </w:r>
      <w:r>
        <w:rPr>
          <w:rFonts w:cstheme="minorHAnsi"/>
          <w:color w:val="auto"/>
        </w:rPr>
        <w:t xml:space="preserve"> </w:t>
      </w:r>
      <w:r w:rsidR="0084619B">
        <w:rPr>
          <w:rFonts w:cstheme="minorHAnsi"/>
          <w:color w:val="auto"/>
        </w:rPr>
        <w:t>to find evidence for the single</w:t>
      </w:r>
      <w:r w:rsidR="00BA74BB">
        <w:rPr>
          <w:rFonts w:cstheme="minorHAnsi"/>
          <w:color w:val="auto"/>
        </w:rPr>
        <w:t>-sex advantage.</w:t>
      </w:r>
    </w:p>
    <w:p w14:paraId="65D450B1" w14:textId="6D403E08" w:rsidR="004F4FD8" w:rsidRDefault="004F4FD8" w:rsidP="004F4FD8">
      <w:pPr>
        <w:pStyle w:val="Heading2"/>
      </w:pPr>
      <w:bookmarkStart w:id="31" w:name="_Toc130862593"/>
      <w:r>
        <w:t>Summary</w:t>
      </w:r>
      <w:bookmarkEnd w:id="31"/>
    </w:p>
    <w:p w14:paraId="1FD78649" w14:textId="37E1F079" w:rsidR="00BA74BB" w:rsidRDefault="00847D81" w:rsidP="00BA74BB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In an exploratory binary comparison, we found that </w:t>
      </w:r>
      <w:r w:rsidR="004657F9">
        <w:rPr>
          <w:rFonts w:cstheme="minorHAnsi"/>
          <w:color w:val="auto"/>
        </w:rPr>
        <w:t xml:space="preserve">school leavers had higher </w:t>
      </w:r>
      <w:r w:rsidR="00405031">
        <w:rPr>
          <w:rFonts w:cstheme="minorHAnsi"/>
          <w:color w:val="auto"/>
        </w:rPr>
        <w:t>achievement rates</w:t>
      </w:r>
      <w:r w:rsidR="004657F9">
        <w:rPr>
          <w:rFonts w:cstheme="minorHAnsi"/>
          <w:color w:val="auto"/>
        </w:rPr>
        <w:t xml:space="preserve"> </w:t>
      </w:r>
      <w:r w:rsidR="00F00DF7">
        <w:rPr>
          <w:rFonts w:cstheme="minorHAnsi"/>
          <w:color w:val="auto"/>
        </w:rPr>
        <w:t xml:space="preserve">at </w:t>
      </w:r>
      <w:r w:rsidR="002A47A8">
        <w:rPr>
          <w:rFonts w:cstheme="minorHAnsi"/>
          <w:color w:val="auto"/>
        </w:rPr>
        <w:t xml:space="preserve">single-sex schools than </w:t>
      </w:r>
      <w:r w:rsidR="00073CAE">
        <w:rPr>
          <w:rFonts w:cstheme="minorHAnsi"/>
          <w:color w:val="auto"/>
        </w:rPr>
        <w:t xml:space="preserve">at </w:t>
      </w:r>
      <w:r w:rsidR="002A47A8">
        <w:rPr>
          <w:rFonts w:cstheme="minorHAnsi"/>
          <w:color w:val="auto"/>
        </w:rPr>
        <w:t>coeducational schools at all qualification levels.</w:t>
      </w:r>
    </w:p>
    <w:p w14:paraId="62BD42E8" w14:textId="23E2EC96" w:rsidR="00780180" w:rsidRDefault="00F661CE" w:rsidP="00BA74BB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Upon dis</w:t>
      </w:r>
      <w:r w:rsidR="00591DFC">
        <w:rPr>
          <w:rFonts w:cstheme="minorHAnsi"/>
          <w:color w:val="auto"/>
        </w:rPr>
        <w:t xml:space="preserve">aggregating by year, we </w:t>
      </w:r>
      <w:r w:rsidR="00CD10C4">
        <w:rPr>
          <w:rFonts w:cstheme="minorHAnsi"/>
          <w:color w:val="auto"/>
        </w:rPr>
        <w:t xml:space="preserve">consistently observed </w:t>
      </w:r>
      <w:r w:rsidR="00591DFC">
        <w:rPr>
          <w:rFonts w:cstheme="minorHAnsi"/>
          <w:color w:val="auto"/>
        </w:rPr>
        <w:t xml:space="preserve">this pattern across the five years, </w:t>
      </w:r>
      <w:r w:rsidR="005F4315">
        <w:rPr>
          <w:rFonts w:cstheme="minorHAnsi"/>
          <w:color w:val="auto"/>
        </w:rPr>
        <w:t>lending credence to</w:t>
      </w:r>
      <w:r w:rsidR="005F7128">
        <w:rPr>
          <w:rFonts w:cstheme="minorHAnsi"/>
          <w:color w:val="auto"/>
        </w:rPr>
        <w:t xml:space="preserve"> </w:t>
      </w:r>
      <w:r w:rsidR="006C332C">
        <w:rPr>
          <w:rFonts w:cstheme="minorHAnsi"/>
          <w:color w:val="auto"/>
        </w:rPr>
        <w:t xml:space="preserve">a sustained </w:t>
      </w:r>
      <w:r w:rsidR="009A1CDA">
        <w:rPr>
          <w:rFonts w:cstheme="minorHAnsi"/>
          <w:color w:val="auto"/>
        </w:rPr>
        <w:t>difference between single-sex and coeducational achievement</w:t>
      </w:r>
      <w:r w:rsidR="00B8598F">
        <w:rPr>
          <w:rFonts w:cstheme="minorHAnsi"/>
          <w:color w:val="auto"/>
        </w:rPr>
        <w:t xml:space="preserve"> rates</w:t>
      </w:r>
      <w:r w:rsidR="00C639E0">
        <w:rPr>
          <w:rFonts w:cstheme="minorHAnsi"/>
          <w:color w:val="auto"/>
        </w:rPr>
        <w:t>.</w:t>
      </w:r>
      <w:r w:rsidR="000F2499">
        <w:rPr>
          <w:rFonts w:cstheme="minorHAnsi"/>
          <w:color w:val="auto"/>
        </w:rPr>
        <w:t xml:space="preserve"> We found </w:t>
      </w:r>
      <w:r w:rsidR="005536D3">
        <w:rPr>
          <w:rFonts w:cstheme="minorHAnsi"/>
          <w:color w:val="auto"/>
        </w:rPr>
        <w:t>inconclusive</w:t>
      </w:r>
      <w:r w:rsidR="00C1685D">
        <w:rPr>
          <w:rFonts w:cstheme="minorHAnsi"/>
          <w:color w:val="auto"/>
        </w:rPr>
        <w:t xml:space="preserve"> evidence that this </w:t>
      </w:r>
      <w:r w:rsidR="00B8598F">
        <w:rPr>
          <w:rFonts w:cstheme="minorHAnsi"/>
          <w:color w:val="auto"/>
        </w:rPr>
        <w:t>difference was narrowing over time.</w:t>
      </w:r>
    </w:p>
    <w:p w14:paraId="155D2484" w14:textId="7BC2552E" w:rsidR="00483817" w:rsidRDefault="0036642A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Upon disaggregating by decile, we found that </w:t>
      </w:r>
      <w:r>
        <w:rPr>
          <w:rFonts w:cstheme="minorHAnsi"/>
          <w:color w:val="auto"/>
        </w:rPr>
        <w:t xml:space="preserve">school leavers had higher </w:t>
      </w:r>
      <w:r w:rsidR="00405031">
        <w:rPr>
          <w:rFonts w:cstheme="minorHAnsi"/>
          <w:color w:val="auto"/>
        </w:rPr>
        <w:t>achievement rates</w:t>
      </w:r>
      <w:r>
        <w:rPr>
          <w:rFonts w:cstheme="minorHAnsi"/>
          <w:color w:val="auto"/>
        </w:rPr>
        <w:t xml:space="preserve"> at single-sex schools </w:t>
      </w:r>
      <w:r w:rsidR="007F4762">
        <w:rPr>
          <w:rFonts w:cstheme="minorHAnsi"/>
          <w:color w:val="auto"/>
        </w:rPr>
        <w:t>at each decile level.</w:t>
      </w:r>
      <w:r w:rsidR="00483817">
        <w:rPr>
          <w:rFonts w:cstheme="minorHAnsi"/>
          <w:color w:val="auto"/>
        </w:rPr>
        <w:t xml:space="preserve"> </w:t>
      </w:r>
      <w:r w:rsidR="00F650D7">
        <w:rPr>
          <w:rFonts w:cstheme="minorHAnsi"/>
          <w:color w:val="auto"/>
        </w:rPr>
        <w:t xml:space="preserve">By </w:t>
      </w:r>
      <w:r w:rsidR="00AA1D16" w:rsidRPr="00AA1D16">
        <w:rPr>
          <w:rFonts w:cstheme="minorHAnsi"/>
          <w:color w:val="auto"/>
        </w:rPr>
        <w:t>stratifying</w:t>
      </w:r>
      <w:r w:rsidR="00AA1D16">
        <w:rPr>
          <w:rFonts w:cstheme="minorHAnsi"/>
          <w:color w:val="auto"/>
        </w:rPr>
        <w:t xml:space="preserve"> </w:t>
      </w:r>
      <w:r w:rsidR="00A17D90">
        <w:rPr>
          <w:rFonts w:cstheme="minorHAnsi"/>
          <w:color w:val="auto"/>
        </w:rPr>
        <w:t xml:space="preserve">the data into deciles, we filtered out some potential </w:t>
      </w:r>
      <w:r w:rsidR="00302AB9">
        <w:rPr>
          <w:rFonts w:cstheme="minorHAnsi"/>
          <w:color w:val="auto"/>
        </w:rPr>
        <w:t xml:space="preserve">socioeconomic confounding effects. The remaining data still exhibited the </w:t>
      </w:r>
      <w:r w:rsidR="00290573">
        <w:rPr>
          <w:rFonts w:cstheme="minorHAnsi"/>
          <w:color w:val="auto"/>
        </w:rPr>
        <w:t>single-sex advantage</w:t>
      </w:r>
      <w:r w:rsidR="005A3986">
        <w:rPr>
          <w:rFonts w:cstheme="minorHAnsi"/>
          <w:color w:val="auto"/>
        </w:rPr>
        <w:t>,</w:t>
      </w:r>
      <w:r w:rsidR="00721736">
        <w:rPr>
          <w:rFonts w:cstheme="minorHAnsi"/>
          <w:color w:val="auto"/>
        </w:rPr>
        <w:t xml:space="preserve"> albeit to a lesser extent,</w:t>
      </w:r>
      <w:r w:rsidR="005A3986">
        <w:rPr>
          <w:rFonts w:cstheme="minorHAnsi"/>
          <w:color w:val="auto"/>
        </w:rPr>
        <w:t xml:space="preserve"> so we could be reasonably confident </w:t>
      </w:r>
      <w:r w:rsidR="00FB2A14" w:rsidRPr="00FB2A14">
        <w:rPr>
          <w:rFonts w:cstheme="minorHAnsi"/>
          <w:color w:val="auto"/>
        </w:rPr>
        <w:t xml:space="preserve">that socioeconomic influences account for some </w:t>
      </w:r>
      <w:r w:rsidR="009615C2">
        <w:rPr>
          <w:rFonts w:cstheme="minorHAnsi"/>
          <w:color w:val="auto"/>
        </w:rPr>
        <w:t xml:space="preserve">but not </w:t>
      </w:r>
      <w:r w:rsidR="002A7E3F">
        <w:rPr>
          <w:rFonts w:cstheme="minorHAnsi"/>
          <w:color w:val="auto"/>
        </w:rPr>
        <w:t>all</w:t>
      </w:r>
      <w:r w:rsidR="009615C2">
        <w:rPr>
          <w:rFonts w:cstheme="minorHAnsi"/>
          <w:color w:val="auto"/>
        </w:rPr>
        <w:t xml:space="preserve"> the difference</w:t>
      </w:r>
      <w:r w:rsidR="005A3986">
        <w:rPr>
          <w:rFonts w:cstheme="minorHAnsi"/>
          <w:color w:val="auto"/>
        </w:rPr>
        <w:t xml:space="preserve">. </w:t>
      </w:r>
      <w:r w:rsidR="009615C2">
        <w:rPr>
          <w:rFonts w:cstheme="minorHAnsi"/>
          <w:color w:val="auto"/>
        </w:rPr>
        <w:t>O</w:t>
      </w:r>
      <w:r w:rsidR="005A3986">
        <w:rPr>
          <w:rFonts w:cstheme="minorHAnsi"/>
          <w:color w:val="auto"/>
        </w:rPr>
        <w:t xml:space="preserve">ther </w:t>
      </w:r>
      <w:r w:rsidR="00D6324C">
        <w:rPr>
          <w:rFonts w:cstheme="minorHAnsi"/>
          <w:color w:val="auto"/>
        </w:rPr>
        <w:t>confounding effects may remain.</w:t>
      </w:r>
    </w:p>
    <w:p w14:paraId="12953F58" w14:textId="47F9ACBE" w:rsidR="009615C2" w:rsidRDefault="002C435F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Upon disaggregating by </w:t>
      </w:r>
      <w:r>
        <w:rPr>
          <w:rFonts w:cstheme="minorHAnsi"/>
          <w:color w:val="auto"/>
        </w:rPr>
        <w:t xml:space="preserve">ethnicity, </w:t>
      </w:r>
      <w:r>
        <w:rPr>
          <w:rFonts w:cstheme="minorHAnsi"/>
          <w:color w:val="auto"/>
        </w:rPr>
        <w:t xml:space="preserve">we found that school leavers had higher rates of achievement at single-sex schools </w:t>
      </w:r>
      <w:r>
        <w:rPr>
          <w:rFonts w:cstheme="minorHAnsi"/>
          <w:color w:val="auto"/>
        </w:rPr>
        <w:t>in each ethnic group</w:t>
      </w:r>
      <w:r>
        <w:rPr>
          <w:rFonts w:cstheme="minorHAnsi"/>
          <w:color w:val="auto"/>
        </w:rPr>
        <w:t>.</w:t>
      </w:r>
      <w:r>
        <w:rPr>
          <w:rFonts w:cstheme="minorHAnsi"/>
          <w:color w:val="auto"/>
        </w:rPr>
        <w:t xml:space="preserve"> Additionally, we found inconclusive evidence that suggested</w:t>
      </w:r>
      <w:r w:rsidR="005C12DD">
        <w:rPr>
          <w:rFonts w:cstheme="minorHAnsi"/>
          <w:color w:val="auto"/>
        </w:rPr>
        <w:t xml:space="preserve"> the single-sex advantage </w:t>
      </w:r>
      <w:r w:rsidR="00750DBD">
        <w:rPr>
          <w:rFonts w:cstheme="minorHAnsi"/>
          <w:color w:val="auto"/>
        </w:rPr>
        <w:t>affected</w:t>
      </w:r>
      <w:r w:rsidR="005C12DD">
        <w:rPr>
          <w:rFonts w:cstheme="minorHAnsi"/>
          <w:color w:val="auto"/>
        </w:rPr>
        <w:t xml:space="preserve"> </w:t>
      </w:r>
      <w:r w:rsidR="005C12DD">
        <w:rPr>
          <w:rFonts w:cstheme="minorHAnsi"/>
          <w:color w:val="auto"/>
        </w:rPr>
        <w:t>disadvantaged demographics</w:t>
      </w:r>
      <w:r w:rsidR="00750DBD">
        <w:rPr>
          <w:rFonts w:cstheme="minorHAnsi"/>
          <w:color w:val="auto"/>
        </w:rPr>
        <w:t xml:space="preserve"> the most.</w:t>
      </w:r>
      <w:r w:rsidR="00D94780">
        <w:rPr>
          <w:rFonts w:cstheme="minorHAnsi"/>
          <w:color w:val="auto"/>
        </w:rPr>
        <w:t xml:space="preserve"> It was tentatively posited that </w:t>
      </w:r>
      <w:r w:rsidR="000D6630">
        <w:rPr>
          <w:rFonts w:cstheme="minorHAnsi"/>
          <w:color w:val="auto"/>
        </w:rPr>
        <w:t xml:space="preserve">this could be leveraged to </w:t>
      </w:r>
      <w:r w:rsidR="00AF0A7D">
        <w:rPr>
          <w:rFonts w:cstheme="minorHAnsi"/>
          <w:color w:val="auto"/>
        </w:rPr>
        <w:t xml:space="preserve">narrow the ethnic </w:t>
      </w:r>
      <w:r w:rsidR="00E60B53">
        <w:rPr>
          <w:rFonts w:cstheme="minorHAnsi"/>
          <w:color w:val="auto"/>
        </w:rPr>
        <w:t xml:space="preserve">gap in academic </w:t>
      </w:r>
      <w:r w:rsidR="009D360F">
        <w:rPr>
          <w:rFonts w:cstheme="minorHAnsi"/>
          <w:color w:val="auto"/>
        </w:rPr>
        <w:t xml:space="preserve">attainment </w:t>
      </w:r>
      <w:r w:rsidR="008D7235">
        <w:rPr>
          <w:rFonts w:cstheme="minorHAnsi"/>
          <w:color w:val="auto"/>
        </w:rPr>
        <w:t xml:space="preserve">with </w:t>
      </w:r>
      <w:r w:rsidR="000938A9">
        <w:rPr>
          <w:rFonts w:cstheme="minorHAnsi"/>
          <w:color w:val="auto"/>
        </w:rPr>
        <w:t xml:space="preserve">a </w:t>
      </w:r>
      <w:r w:rsidR="008D7235">
        <w:rPr>
          <w:rFonts w:cstheme="minorHAnsi"/>
          <w:color w:val="auto"/>
        </w:rPr>
        <w:t xml:space="preserve">positive impact </w:t>
      </w:r>
      <w:r w:rsidR="000938A9">
        <w:rPr>
          <w:rFonts w:cstheme="minorHAnsi"/>
          <w:color w:val="auto"/>
        </w:rPr>
        <w:t>on all ethnic groups</w:t>
      </w:r>
      <w:r w:rsidR="00E60B53">
        <w:rPr>
          <w:rFonts w:cstheme="minorHAnsi"/>
          <w:color w:val="auto"/>
        </w:rPr>
        <w:t>.</w:t>
      </w:r>
    </w:p>
    <w:p w14:paraId="442016AC" w14:textId="0872B1F4" w:rsidR="00E66A5E" w:rsidRDefault="00E66A5E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>These results are largely in agreement with previous reports.</w:t>
      </w:r>
    </w:p>
    <w:p w14:paraId="1455E4AA" w14:textId="00158B9D" w:rsidR="009615C2" w:rsidRDefault="00F15B83" w:rsidP="002F0F37">
      <w:pPr>
        <w:pStyle w:val="Heading2"/>
      </w:pPr>
      <w:bookmarkStart w:id="32" w:name="_Toc130862594"/>
      <w:r>
        <w:t>Conclusions</w:t>
      </w:r>
      <w:bookmarkEnd w:id="32"/>
    </w:p>
    <w:p w14:paraId="0B49D43D" w14:textId="4FFC2ACB" w:rsidR="006400EC" w:rsidRDefault="00F15B83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From the </w:t>
      </w:r>
      <w:r w:rsidR="005E2C67">
        <w:rPr>
          <w:rFonts w:cstheme="minorHAnsi"/>
          <w:color w:val="auto"/>
        </w:rPr>
        <w:t xml:space="preserve">results obtained, we can </w:t>
      </w:r>
      <w:r w:rsidR="002511F8">
        <w:rPr>
          <w:rFonts w:cstheme="minorHAnsi"/>
          <w:color w:val="auto"/>
        </w:rPr>
        <w:t>claim</w:t>
      </w:r>
      <w:r w:rsidR="005E2C67">
        <w:rPr>
          <w:rFonts w:cstheme="minorHAnsi"/>
          <w:color w:val="auto"/>
        </w:rPr>
        <w:t xml:space="preserve"> that </w:t>
      </w:r>
      <w:r w:rsidR="00701DE6">
        <w:rPr>
          <w:rFonts w:cstheme="minorHAnsi"/>
          <w:color w:val="auto"/>
        </w:rPr>
        <w:t>school leavers</w:t>
      </w:r>
      <w:r w:rsidR="00701DE6">
        <w:rPr>
          <w:rFonts w:cstheme="minorHAnsi"/>
          <w:color w:val="auto"/>
        </w:rPr>
        <w:t xml:space="preserve"> did</w:t>
      </w:r>
      <w:r w:rsidR="00701DE6">
        <w:rPr>
          <w:rFonts w:cstheme="minorHAnsi"/>
          <w:color w:val="auto"/>
        </w:rPr>
        <w:t xml:space="preserve"> </w:t>
      </w:r>
      <w:r w:rsidR="00C02398">
        <w:rPr>
          <w:rFonts w:cstheme="minorHAnsi"/>
          <w:color w:val="auto"/>
        </w:rPr>
        <w:t>have</w:t>
      </w:r>
      <w:r w:rsidR="00701DE6">
        <w:rPr>
          <w:rFonts w:cstheme="minorHAnsi"/>
          <w:color w:val="auto"/>
        </w:rPr>
        <w:t xml:space="preserve"> higher achievement </w:t>
      </w:r>
      <w:r w:rsidR="00D37CA1">
        <w:rPr>
          <w:rFonts w:cstheme="minorHAnsi"/>
          <w:color w:val="auto"/>
        </w:rPr>
        <w:t xml:space="preserve">rates </w:t>
      </w:r>
      <w:r w:rsidR="00701DE6">
        <w:rPr>
          <w:rFonts w:cstheme="minorHAnsi"/>
          <w:color w:val="auto"/>
        </w:rPr>
        <w:t xml:space="preserve">at single-sex schools than </w:t>
      </w:r>
      <w:r w:rsidR="00C02398">
        <w:rPr>
          <w:rFonts w:cstheme="minorHAnsi"/>
          <w:color w:val="auto"/>
        </w:rPr>
        <w:t xml:space="preserve">at </w:t>
      </w:r>
      <w:r w:rsidR="00701DE6">
        <w:rPr>
          <w:rFonts w:cstheme="minorHAnsi"/>
          <w:color w:val="auto"/>
        </w:rPr>
        <w:t>coeducational schools</w:t>
      </w:r>
      <w:r w:rsidR="00C02398">
        <w:rPr>
          <w:rFonts w:cstheme="minorHAnsi"/>
          <w:color w:val="auto"/>
        </w:rPr>
        <w:t xml:space="preserve"> </w:t>
      </w:r>
      <w:r w:rsidR="00C02398" w:rsidRPr="002511F8">
        <w:rPr>
          <w:rFonts w:cstheme="minorHAnsi"/>
          <w:i/>
          <w:iCs/>
          <w:color w:val="auto"/>
        </w:rPr>
        <w:t xml:space="preserve">from 2017 </w:t>
      </w:r>
      <w:r w:rsidR="002511F8">
        <w:rPr>
          <w:rFonts w:cstheme="minorHAnsi"/>
          <w:i/>
          <w:iCs/>
          <w:color w:val="auto"/>
        </w:rPr>
        <w:t xml:space="preserve">– </w:t>
      </w:r>
      <w:r w:rsidR="00C02398" w:rsidRPr="002511F8">
        <w:rPr>
          <w:rFonts w:cstheme="minorHAnsi"/>
          <w:i/>
          <w:iCs/>
          <w:color w:val="auto"/>
        </w:rPr>
        <w:t>2021</w:t>
      </w:r>
      <w:r w:rsidR="00C02398">
        <w:rPr>
          <w:rFonts w:cstheme="minorHAnsi"/>
          <w:color w:val="auto"/>
        </w:rPr>
        <w:t>.</w:t>
      </w:r>
      <w:r w:rsidR="00A83FF6">
        <w:rPr>
          <w:rFonts w:cstheme="minorHAnsi"/>
          <w:color w:val="auto"/>
        </w:rPr>
        <w:t xml:space="preserve"> Additionally, b</w:t>
      </w:r>
      <w:r w:rsidR="00A83FF6">
        <w:rPr>
          <w:rFonts w:cstheme="minorHAnsi"/>
          <w:color w:val="auto"/>
        </w:rPr>
        <w:t>ecause the number of students sampled is so large (</w:t>
      </w:r>
      <w:r w:rsidR="00A83FF6" w:rsidRPr="00405801">
        <w:rPr>
          <w:rFonts w:cstheme="minorHAnsi"/>
          <w:color w:val="auto"/>
        </w:rPr>
        <w:t>n = 155 630</w:t>
      </w:r>
      <w:r w:rsidR="00A83FF6">
        <w:rPr>
          <w:rFonts w:cstheme="minorHAnsi"/>
          <w:color w:val="auto"/>
        </w:rPr>
        <w:t>),</w:t>
      </w:r>
      <w:r w:rsidR="00A83FF6">
        <w:rPr>
          <w:rFonts w:cstheme="minorHAnsi"/>
          <w:color w:val="auto"/>
        </w:rPr>
        <w:t xml:space="preserve"> </w:t>
      </w:r>
      <w:r w:rsidR="00A83FF6">
        <w:rPr>
          <w:rFonts w:cstheme="minorHAnsi"/>
          <w:color w:val="auto"/>
        </w:rPr>
        <w:t>we can assert that this difference is statistically significant</w:t>
      </w:r>
      <w:r w:rsidR="00A83FF6">
        <w:rPr>
          <w:rFonts w:cstheme="minorHAnsi"/>
          <w:color w:val="auto"/>
        </w:rPr>
        <w:t>.</w:t>
      </w:r>
      <w:r w:rsidR="002511F8">
        <w:rPr>
          <w:rFonts w:cstheme="minorHAnsi"/>
          <w:color w:val="auto"/>
        </w:rPr>
        <w:t xml:space="preserve"> This allows us to extend our claim</w:t>
      </w:r>
      <w:r w:rsidR="00835122">
        <w:rPr>
          <w:rFonts w:cstheme="minorHAnsi"/>
          <w:color w:val="auto"/>
        </w:rPr>
        <w:t xml:space="preserve"> to </w:t>
      </w:r>
      <w:r w:rsidR="00B53D0E">
        <w:rPr>
          <w:rFonts w:cstheme="minorHAnsi"/>
          <w:color w:val="auto"/>
        </w:rPr>
        <w:t>the near future</w:t>
      </w:r>
      <w:r w:rsidR="00835122">
        <w:rPr>
          <w:rFonts w:cstheme="minorHAnsi"/>
          <w:color w:val="auto"/>
        </w:rPr>
        <w:t xml:space="preserve">, as long as we assume the trend observed continues beyond </w:t>
      </w:r>
      <w:r w:rsidR="00B53D0E">
        <w:rPr>
          <w:rFonts w:cstheme="minorHAnsi"/>
          <w:color w:val="auto"/>
        </w:rPr>
        <w:t xml:space="preserve">2021. </w:t>
      </w:r>
      <w:r w:rsidR="001C22E8">
        <w:rPr>
          <w:rFonts w:cstheme="minorHAnsi"/>
          <w:color w:val="auto"/>
        </w:rPr>
        <w:t xml:space="preserve">We observed an extremely consistent </w:t>
      </w:r>
      <w:r w:rsidR="00526BA7">
        <w:rPr>
          <w:rFonts w:cstheme="minorHAnsi"/>
          <w:color w:val="auto"/>
        </w:rPr>
        <w:t xml:space="preserve">trend in </w:t>
      </w:r>
      <w:r w:rsidR="00EA0BA5">
        <w:rPr>
          <w:rFonts w:cstheme="minorHAnsi"/>
          <w:color w:val="auto"/>
        </w:rPr>
        <w:t xml:space="preserve">the year disaggregation, even </w:t>
      </w:r>
      <w:r w:rsidR="00D92921">
        <w:rPr>
          <w:rFonts w:cstheme="minorHAnsi"/>
          <w:color w:val="auto"/>
        </w:rPr>
        <w:t>despite</w:t>
      </w:r>
      <w:r w:rsidR="00EA0BA5">
        <w:rPr>
          <w:rFonts w:cstheme="minorHAnsi"/>
          <w:color w:val="auto"/>
        </w:rPr>
        <w:t xml:space="preserve"> Covid-19, so this assumption seems reasonable.</w:t>
      </w:r>
    </w:p>
    <w:p w14:paraId="21630C95" w14:textId="4D1C0BA3" w:rsidR="009615C2" w:rsidRDefault="00EA0BA5" w:rsidP="00DD10A8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Hence, it can be claimed </w:t>
      </w:r>
      <w:r w:rsidR="006400EC">
        <w:rPr>
          <w:rFonts w:cstheme="minorHAnsi"/>
          <w:color w:val="auto"/>
        </w:rPr>
        <w:t>that</w:t>
      </w:r>
      <w:r w:rsidR="00154172">
        <w:rPr>
          <w:rFonts w:cstheme="minorHAnsi"/>
          <w:color w:val="auto"/>
        </w:rPr>
        <w:t xml:space="preserve"> </w:t>
      </w:r>
      <w:r w:rsidR="00902DA9">
        <w:rPr>
          <w:rFonts w:cstheme="minorHAnsi"/>
          <w:color w:val="auto"/>
        </w:rPr>
        <w:t xml:space="preserve">NCEA and UE </w:t>
      </w:r>
      <w:r w:rsidR="00154172">
        <w:rPr>
          <w:rFonts w:cstheme="minorHAnsi"/>
          <w:color w:val="auto"/>
        </w:rPr>
        <w:t>achievement rates</w:t>
      </w:r>
      <w:r w:rsidR="00154172">
        <w:rPr>
          <w:rFonts w:cstheme="minorHAnsi"/>
          <w:color w:val="auto"/>
        </w:rPr>
        <w:t xml:space="preserve"> are higher for</w:t>
      </w:r>
      <w:r w:rsidR="006400EC">
        <w:rPr>
          <w:rFonts w:cstheme="minorHAnsi"/>
          <w:color w:val="auto"/>
        </w:rPr>
        <w:t xml:space="preserve"> </w:t>
      </w:r>
      <w:r w:rsidR="006400EC">
        <w:rPr>
          <w:rFonts w:cstheme="minorHAnsi"/>
          <w:color w:val="auto"/>
        </w:rPr>
        <w:t>male school leaver</w:t>
      </w:r>
      <w:r w:rsidR="00154172">
        <w:rPr>
          <w:rFonts w:cstheme="minorHAnsi"/>
          <w:color w:val="auto"/>
        </w:rPr>
        <w:t>s</w:t>
      </w:r>
      <w:r w:rsidR="006400EC">
        <w:rPr>
          <w:rFonts w:cstheme="minorHAnsi"/>
          <w:color w:val="auto"/>
        </w:rPr>
        <w:t xml:space="preserve"> </w:t>
      </w:r>
      <w:r w:rsidR="00154172">
        <w:rPr>
          <w:rFonts w:cstheme="minorHAnsi"/>
          <w:color w:val="auto"/>
        </w:rPr>
        <w:t>from</w:t>
      </w:r>
      <w:r w:rsidR="006400EC">
        <w:rPr>
          <w:rFonts w:cstheme="minorHAnsi"/>
          <w:color w:val="auto"/>
        </w:rPr>
        <w:t xml:space="preserve"> single-sex </w:t>
      </w:r>
      <w:r w:rsidR="00154172">
        <w:rPr>
          <w:rFonts w:cstheme="minorHAnsi"/>
          <w:color w:val="auto"/>
        </w:rPr>
        <w:t xml:space="preserve">schools than </w:t>
      </w:r>
      <w:r w:rsidR="00154172">
        <w:rPr>
          <w:rFonts w:cstheme="minorHAnsi"/>
          <w:color w:val="auto"/>
        </w:rPr>
        <w:t>male school leaver</w:t>
      </w:r>
      <w:r w:rsidR="00154172">
        <w:rPr>
          <w:rFonts w:cstheme="minorHAnsi"/>
          <w:color w:val="auto"/>
        </w:rPr>
        <w:t>s</w:t>
      </w:r>
      <w:r w:rsidR="00154172">
        <w:rPr>
          <w:rFonts w:cstheme="minorHAnsi"/>
          <w:color w:val="auto"/>
        </w:rPr>
        <w:t xml:space="preserve"> from </w:t>
      </w:r>
      <w:r w:rsidR="006400EC">
        <w:rPr>
          <w:rFonts w:cstheme="minorHAnsi"/>
          <w:color w:val="auto"/>
        </w:rPr>
        <w:t>coeducational schools in New Zealand</w:t>
      </w:r>
      <w:r w:rsidR="00902DA9">
        <w:rPr>
          <w:rFonts w:cstheme="minorHAnsi"/>
          <w:color w:val="auto"/>
        </w:rPr>
        <w:t xml:space="preserve"> secondary schools</w:t>
      </w:r>
      <w:r w:rsidR="00154172">
        <w:rPr>
          <w:rFonts w:cstheme="minorHAnsi"/>
          <w:color w:val="auto"/>
        </w:rPr>
        <w:t>.</w:t>
      </w:r>
    </w:p>
    <w:p w14:paraId="52D95BCA" w14:textId="24884B7C" w:rsidR="002C6F74" w:rsidRPr="002152F0" w:rsidRDefault="000A5EC4" w:rsidP="002F6BE9">
      <w:p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Note the emphasis on existence over causation. Because we </w:t>
      </w:r>
      <w:r w:rsidR="00CB600F">
        <w:rPr>
          <w:rFonts w:cstheme="minorHAnsi"/>
          <w:color w:val="auto"/>
        </w:rPr>
        <w:t>couldn’t</w:t>
      </w:r>
      <w:r>
        <w:rPr>
          <w:rFonts w:cstheme="minorHAnsi"/>
          <w:color w:val="auto"/>
        </w:rPr>
        <w:t xml:space="preserve"> </w:t>
      </w:r>
      <w:r w:rsidR="005369AB">
        <w:rPr>
          <w:rFonts w:cstheme="minorHAnsi"/>
          <w:color w:val="auto"/>
        </w:rPr>
        <w:t>eliminate all sources of bias and confounding effects</w:t>
      </w:r>
      <w:r w:rsidR="00153CFF">
        <w:rPr>
          <w:rFonts w:cstheme="minorHAnsi"/>
          <w:color w:val="auto"/>
        </w:rPr>
        <w:t xml:space="preserve"> due to the nature of using public</w:t>
      </w:r>
      <w:r w:rsidR="00CB600F">
        <w:rPr>
          <w:rFonts w:cstheme="minorHAnsi"/>
          <w:color w:val="auto"/>
        </w:rPr>
        <w:t>, observational</w:t>
      </w:r>
      <w:r w:rsidR="00153CFF">
        <w:rPr>
          <w:rFonts w:cstheme="minorHAnsi"/>
          <w:color w:val="auto"/>
        </w:rPr>
        <w:t xml:space="preserve"> data</w:t>
      </w:r>
      <w:r w:rsidR="005369AB">
        <w:rPr>
          <w:rFonts w:cstheme="minorHAnsi"/>
          <w:color w:val="auto"/>
        </w:rPr>
        <w:t xml:space="preserve">, we cannot be sure that </w:t>
      </w:r>
      <w:r w:rsidR="00242476">
        <w:rPr>
          <w:rFonts w:cstheme="minorHAnsi"/>
          <w:color w:val="auto"/>
        </w:rPr>
        <w:t xml:space="preserve">single-sex education </w:t>
      </w:r>
      <w:r w:rsidR="005F4F2D">
        <w:rPr>
          <w:rFonts w:cstheme="minorHAnsi"/>
          <w:color w:val="auto"/>
        </w:rPr>
        <w:t xml:space="preserve">is the </w:t>
      </w:r>
      <w:r w:rsidR="005F4F2D" w:rsidRPr="00CB600F">
        <w:rPr>
          <w:rFonts w:cstheme="minorHAnsi"/>
          <w:i/>
          <w:iCs/>
          <w:color w:val="auto"/>
        </w:rPr>
        <w:t>cause</w:t>
      </w:r>
      <w:r w:rsidR="005F4F2D">
        <w:rPr>
          <w:rFonts w:cstheme="minorHAnsi"/>
          <w:color w:val="auto"/>
        </w:rPr>
        <w:t xml:space="preserve"> of increased </w:t>
      </w:r>
      <w:r w:rsidR="00855188">
        <w:rPr>
          <w:rFonts w:cstheme="minorHAnsi"/>
          <w:color w:val="auto"/>
        </w:rPr>
        <w:t>achievement rates</w:t>
      </w:r>
      <w:r w:rsidR="002E5008">
        <w:rPr>
          <w:rFonts w:cstheme="minorHAnsi"/>
          <w:color w:val="auto"/>
        </w:rPr>
        <w:t>.</w:t>
      </w:r>
      <w:r w:rsidR="007D35F2">
        <w:rPr>
          <w:rFonts w:cstheme="minorHAnsi"/>
          <w:color w:val="auto"/>
        </w:rPr>
        <w:t xml:space="preserve"> </w:t>
      </w:r>
      <w:r w:rsidR="005552DB">
        <w:rPr>
          <w:rFonts w:cstheme="minorHAnsi"/>
          <w:color w:val="auto"/>
        </w:rPr>
        <w:t>For example,</w:t>
      </w:r>
      <w:r w:rsidR="00D8592F">
        <w:rPr>
          <w:rFonts w:cstheme="minorHAnsi"/>
          <w:color w:val="auto"/>
        </w:rPr>
        <w:t xml:space="preserve"> a reputation for </w:t>
      </w:r>
      <w:r w:rsidR="00D8592F">
        <w:rPr>
          <w:rFonts w:cstheme="minorHAnsi"/>
          <w:color w:val="auto"/>
        </w:rPr>
        <w:lastRenderedPageBreak/>
        <w:t xml:space="preserve">excellence </w:t>
      </w:r>
      <w:r w:rsidR="00954FE5">
        <w:rPr>
          <w:rFonts w:cstheme="minorHAnsi"/>
          <w:color w:val="auto"/>
        </w:rPr>
        <w:t xml:space="preserve">may cause </w:t>
      </w:r>
      <w:r w:rsidR="009D3808">
        <w:rPr>
          <w:rFonts w:cstheme="minorHAnsi"/>
          <w:color w:val="auto"/>
        </w:rPr>
        <w:t xml:space="preserve">aspirational students to </w:t>
      </w:r>
      <w:r w:rsidR="008C026B">
        <w:rPr>
          <w:rFonts w:cstheme="minorHAnsi"/>
          <w:color w:val="auto"/>
        </w:rPr>
        <w:t>tend towards single-sex schools</w:t>
      </w:r>
      <w:r w:rsidR="00954FE5">
        <w:rPr>
          <w:rFonts w:cstheme="minorHAnsi"/>
          <w:color w:val="auto"/>
        </w:rPr>
        <w:t xml:space="preserve"> – this data cannot tell</w:t>
      </w:r>
      <w:r w:rsidR="005552DB">
        <w:rPr>
          <w:rFonts w:cstheme="minorHAnsi"/>
          <w:color w:val="auto"/>
        </w:rPr>
        <w:t xml:space="preserve">. </w:t>
      </w:r>
      <w:r w:rsidR="00125DB8">
        <w:rPr>
          <w:rFonts w:cstheme="minorHAnsi"/>
          <w:color w:val="auto"/>
        </w:rPr>
        <w:t xml:space="preserve">Equally, we are </w:t>
      </w:r>
      <w:r w:rsidR="00275ED7">
        <w:rPr>
          <w:rFonts w:cstheme="minorHAnsi"/>
          <w:color w:val="auto"/>
        </w:rPr>
        <w:t>unable to confirm the opposite causal claim.</w:t>
      </w:r>
      <w:r w:rsidR="00125DB8">
        <w:rPr>
          <w:rFonts w:cstheme="minorHAnsi"/>
          <w:color w:val="auto"/>
        </w:rPr>
        <w:t xml:space="preserve"> </w:t>
      </w:r>
      <w:r w:rsidR="005552DB">
        <w:rPr>
          <w:rFonts w:cstheme="minorHAnsi"/>
          <w:color w:val="auto"/>
        </w:rPr>
        <w:t>The true direction of causation is likely to be a combination of both.</w:t>
      </w:r>
      <w:r w:rsidR="008C026B">
        <w:rPr>
          <w:rFonts w:cstheme="minorHAnsi"/>
          <w:color w:val="auto"/>
        </w:rPr>
        <w:t xml:space="preserve"> A more rigorous investigation is required to </w:t>
      </w:r>
      <w:r w:rsidR="00DB5793">
        <w:rPr>
          <w:rFonts w:cstheme="minorHAnsi"/>
          <w:color w:val="auto"/>
        </w:rPr>
        <w:t>quantify</w:t>
      </w:r>
      <w:r w:rsidR="008C026B">
        <w:rPr>
          <w:rFonts w:cstheme="minorHAnsi"/>
          <w:color w:val="auto"/>
        </w:rPr>
        <w:t xml:space="preserve"> </w:t>
      </w:r>
      <w:r w:rsidR="00DB5793">
        <w:rPr>
          <w:rFonts w:cstheme="minorHAnsi"/>
          <w:color w:val="auto"/>
        </w:rPr>
        <w:t xml:space="preserve">the proportion of causation due to the nature of </w:t>
      </w:r>
      <w:r w:rsidR="00210D8D">
        <w:rPr>
          <w:rFonts w:cstheme="minorHAnsi"/>
          <w:color w:val="auto"/>
        </w:rPr>
        <w:t>boys’ schools.</w:t>
      </w:r>
    </w:p>
    <w:sectPr w:rsidR="002C6F74" w:rsidRPr="002152F0" w:rsidSect="003F411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440F" w14:textId="77777777" w:rsidR="001362FB" w:rsidRDefault="001362FB" w:rsidP="0063186E">
      <w:pPr>
        <w:spacing w:after="0" w:line="240" w:lineRule="auto"/>
      </w:pPr>
      <w:r>
        <w:separator/>
      </w:r>
    </w:p>
  </w:endnote>
  <w:endnote w:type="continuationSeparator" w:id="0">
    <w:p w14:paraId="44029557" w14:textId="77777777" w:rsidR="001362FB" w:rsidRDefault="001362FB" w:rsidP="0063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674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1B19F" w14:textId="2CBC2055" w:rsidR="0063186E" w:rsidRDefault="00631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57D1F" w14:textId="77777777" w:rsidR="0063186E" w:rsidRDefault="00631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47B0" w14:textId="77777777" w:rsidR="001362FB" w:rsidRDefault="001362FB" w:rsidP="0063186E">
      <w:pPr>
        <w:spacing w:after="0" w:line="240" w:lineRule="auto"/>
      </w:pPr>
      <w:r>
        <w:separator/>
      </w:r>
    </w:p>
  </w:footnote>
  <w:footnote w:type="continuationSeparator" w:id="0">
    <w:p w14:paraId="526D0423" w14:textId="77777777" w:rsidR="001362FB" w:rsidRDefault="001362FB" w:rsidP="0063186E">
      <w:pPr>
        <w:spacing w:after="0" w:line="240" w:lineRule="auto"/>
      </w:pPr>
      <w:r>
        <w:continuationSeparator/>
      </w:r>
    </w:p>
  </w:footnote>
  <w:footnote w:id="1">
    <w:p w14:paraId="14779385" w14:textId="0FC8013A" w:rsidR="009608E3" w:rsidRDefault="009608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608E3">
        <w:t>https://www.educationcounts.govt.nz/statistics/school-leavers</w:t>
      </w:r>
    </w:p>
  </w:footnote>
  <w:footnote w:id="2">
    <w:p w14:paraId="4D59DE77" w14:textId="77777777" w:rsidR="00291288" w:rsidRDefault="00291288" w:rsidP="002912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631E6">
        <w:t>http://www.absnz.co.nz/research.html</w:t>
      </w:r>
    </w:p>
  </w:footnote>
  <w:footnote w:id="3">
    <w:p w14:paraId="7D0CEFE7" w14:textId="77777777" w:rsidR="0077756E" w:rsidRDefault="0077756E" w:rsidP="007775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5466">
        <w:t>https://www.nzqa.govt.nz/qualifications-standards/understanding-nzqf/</w:t>
      </w:r>
    </w:p>
  </w:footnote>
  <w:footnote w:id="4">
    <w:p w14:paraId="33EA0A04" w14:textId="6F0838FC" w:rsidR="00C81A70" w:rsidRDefault="00C81A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81A70">
        <w:t>https://www.nzqa.govt.nz/ncea/understanding-ncea/changes-to-ncea-and-ue-for-202</w:t>
      </w:r>
      <w:r w:rsidR="002A46A7">
        <w:t>0</w:t>
      </w:r>
      <w:r w:rsidRPr="00C81A70">
        <w:t>/</w:t>
      </w:r>
    </w:p>
  </w:footnote>
  <w:footnote w:id="5">
    <w:p w14:paraId="4740E81A" w14:textId="52EB7056" w:rsidR="00AC7519" w:rsidRDefault="00AC75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F3008" w:rsidRPr="006F3008">
        <w:t>https://www.nzqa.govt.nz/ncea/understanding-ncea/changes-to-ncea-and-ue-for-2021/</w:t>
      </w:r>
    </w:p>
  </w:footnote>
  <w:footnote w:id="6">
    <w:p w14:paraId="619E61B8" w14:textId="7331FE73" w:rsidR="00344F60" w:rsidRDefault="00344F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4F60">
        <w:t>http://www.absnz.co.nz/achievement-2013-16.html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86F8C"/>
    <w:multiLevelType w:val="hybridMultilevel"/>
    <w:tmpl w:val="946EB072"/>
    <w:lvl w:ilvl="0" w:tplc="CC5EA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C5EAB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E55BB"/>
    <w:multiLevelType w:val="hybridMultilevel"/>
    <w:tmpl w:val="17D48772"/>
    <w:lvl w:ilvl="0" w:tplc="1E284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96416">
    <w:abstractNumId w:val="1"/>
  </w:num>
  <w:num w:numId="2" w16cid:durableId="2811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EB"/>
    <w:rsid w:val="00000E64"/>
    <w:rsid w:val="00001F5D"/>
    <w:rsid w:val="00002E63"/>
    <w:rsid w:val="000044A5"/>
    <w:rsid w:val="00006808"/>
    <w:rsid w:val="0001617F"/>
    <w:rsid w:val="00021AF5"/>
    <w:rsid w:val="00022DC4"/>
    <w:rsid w:val="000261C8"/>
    <w:rsid w:val="00026B50"/>
    <w:rsid w:val="00027C4D"/>
    <w:rsid w:val="00031E0E"/>
    <w:rsid w:val="0003361B"/>
    <w:rsid w:val="00034E22"/>
    <w:rsid w:val="00034E46"/>
    <w:rsid w:val="000376F4"/>
    <w:rsid w:val="00040B97"/>
    <w:rsid w:val="00041436"/>
    <w:rsid w:val="000437EF"/>
    <w:rsid w:val="00045AC5"/>
    <w:rsid w:val="000510AE"/>
    <w:rsid w:val="00056CB2"/>
    <w:rsid w:val="0006347F"/>
    <w:rsid w:val="000668A7"/>
    <w:rsid w:val="000673A7"/>
    <w:rsid w:val="00071EE4"/>
    <w:rsid w:val="0007214F"/>
    <w:rsid w:val="00073CAE"/>
    <w:rsid w:val="0007755B"/>
    <w:rsid w:val="000777DB"/>
    <w:rsid w:val="00082B34"/>
    <w:rsid w:val="00083763"/>
    <w:rsid w:val="00084AB2"/>
    <w:rsid w:val="00085675"/>
    <w:rsid w:val="000868F8"/>
    <w:rsid w:val="00086C68"/>
    <w:rsid w:val="00090EC1"/>
    <w:rsid w:val="000918D3"/>
    <w:rsid w:val="00091D9A"/>
    <w:rsid w:val="00093064"/>
    <w:rsid w:val="000938A9"/>
    <w:rsid w:val="000A1B2F"/>
    <w:rsid w:val="000A2EC7"/>
    <w:rsid w:val="000A5750"/>
    <w:rsid w:val="000A5EC4"/>
    <w:rsid w:val="000B0401"/>
    <w:rsid w:val="000B247E"/>
    <w:rsid w:val="000B2F25"/>
    <w:rsid w:val="000B36E5"/>
    <w:rsid w:val="000B409B"/>
    <w:rsid w:val="000B7E85"/>
    <w:rsid w:val="000C2640"/>
    <w:rsid w:val="000C4CBC"/>
    <w:rsid w:val="000C4CF0"/>
    <w:rsid w:val="000C59FB"/>
    <w:rsid w:val="000C5B52"/>
    <w:rsid w:val="000C64F4"/>
    <w:rsid w:val="000C75A7"/>
    <w:rsid w:val="000C7FD3"/>
    <w:rsid w:val="000D32E9"/>
    <w:rsid w:val="000D44BF"/>
    <w:rsid w:val="000D4F55"/>
    <w:rsid w:val="000D59CF"/>
    <w:rsid w:val="000D5F4C"/>
    <w:rsid w:val="000D6630"/>
    <w:rsid w:val="000E2283"/>
    <w:rsid w:val="000E47B0"/>
    <w:rsid w:val="000E54EE"/>
    <w:rsid w:val="000E6D9A"/>
    <w:rsid w:val="000F0064"/>
    <w:rsid w:val="000F2499"/>
    <w:rsid w:val="000F2733"/>
    <w:rsid w:val="000F3E98"/>
    <w:rsid w:val="000F434E"/>
    <w:rsid w:val="000F4D01"/>
    <w:rsid w:val="000F4E23"/>
    <w:rsid w:val="000F7E68"/>
    <w:rsid w:val="000F7F6B"/>
    <w:rsid w:val="001017A4"/>
    <w:rsid w:val="00102389"/>
    <w:rsid w:val="0010268A"/>
    <w:rsid w:val="001050F3"/>
    <w:rsid w:val="00107345"/>
    <w:rsid w:val="00112AE3"/>
    <w:rsid w:val="00112D4E"/>
    <w:rsid w:val="001145F3"/>
    <w:rsid w:val="00116974"/>
    <w:rsid w:val="00117D5C"/>
    <w:rsid w:val="0012227D"/>
    <w:rsid w:val="001244C5"/>
    <w:rsid w:val="00124569"/>
    <w:rsid w:val="00124AB5"/>
    <w:rsid w:val="00125219"/>
    <w:rsid w:val="00125DB8"/>
    <w:rsid w:val="0012753B"/>
    <w:rsid w:val="00127826"/>
    <w:rsid w:val="00133DAE"/>
    <w:rsid w:val="00135E06"/>
    <w:rsid w:val="001362FB"/>
    <w:rsid w:val="00140471"/>
    <w:rsid w:val="0014087F"/>
    <w:rsid w:val="00141235"/>
    <w:rsid w:val="001426BB"/>
    <w:rsid w:val="00142E68"/>
    <w:rsid w:val="00144D2A"/>
    <w:rsid w:val="001479E0"/>
    <w:rsid w:val="00147B80"/>
    <w:rsid w:val="00147E53"/>
    <w:rsid w:val="001536C8"/>
    <w:rsid w:val="00153CFF"/>
    <w:rsid w:val="0015413B"/>
    <w:rsid w:val="00154172"/>
    <w:rsid w:val="001545F8"/>
    <w:rsid w:val="00155264"/>
    <w:rsid w:val="0015540C"/>
    <w:rsid w:val="00157574"/>
    <w:rsid w:val="00165E89"/>
    <w:rsid w:val="00171EB3"/>
    <w:rsid w:val="00172749"/>
    <w:rsid w:val="0017334D"/>
    <w:rsid w:val="0017386E"/>
    <w:rsid w:val="001739A6"/>
    <w:rsid w:val="00176141"/>
    <w:rsid w:val="00180D1B"/>
    <w:rsid w:val="00181A9D"/>
    <w:rsid w:val="00185514"/>
    <w:rsid w:val="00186E47"/>
    <w:rsid w:val="001878AD"/>
    <w:rsid w:val="00190172"/>
    <w:rsid w:val="001914B2"/>
    <w:rsid w:val="001914F1"/>
    <w:rsid w:val="00192D35"/>
    <w:rsid w:val="00194212"/>
    <w:rsid w:val="001A3319"/>
    <w:rsid w:val="001A3F48"/>
    <w:rsid w:val="001A526D"/>
    <w:rsid w:val="001A7F0C"/>
    <w:rsid w:val="001B0281"/>
    <w:rsid w:val="001B1B4A"/>
    <w:rsid w:val="001B3BD3"/>
    <w:rsid w:val="001B51D8"/>
    <w:rsid w:val="001B780A"/>
    <w:rsid w:val="001B7D14"/>
    <w:rsid w:val="001C019D"/>
    <w:rsid w:val="001C18F8"/>
    <w:rsid w:val="001C22E8"/>
    <w:rsid w:val="001C33FF"/>
    <w:rsid w:val="001C36A1"/>
    <w:rsid w:val="001C36E4"/>
    <w:rsid w:val="001C5D9C"/>
    <w:rsid w:val="001C6AD3"/>
    <w:rsid w:val="001C74ED"/>
    <w:rsid w:val="001C7B8C"/>
    <w:rsid w:val="001D444E"/>
    <w:rsid w:val="001D6EC8"/>
    <w:rsid w:val="001D79BF"/>
    <w:rsid w:val="001E0CDC"/>
    <w:rsid w:val="001E1BB4"/>
    <w:rsid w:val="001E2A61"/>
    <w:rsid w:val="001E3AE2"/>
    <w:rsid w:val="001E718A"/>
    <w:rsid w:val="001E7641"/>
    <w:rsid w:val="001F0D7F"/>
    <w:rsid w:val="001F20C4"/>
    <w:rsid w:val="001F26D8"/>
    <w:rsid w:val="001F330A"/>
    <w:rsid w:val="001F394C"/>
    <w:rsid w:val="001F6D99"/>
    <w:rsid w:val="00202484"/>
    <w:rsid w:val="002034E9"/>
    <w:rsid w:val="002037C0"/>
    <w:rsid w:val="00203D7F"/>
    <w:rsid w:val="00206880"/>
    <w:rsid w:val="002069FB"/>
    <w:rsid w:val="00206BCD"/>
    <w:rsid w:val="00207DE9"/>
    <w:rsid w:val="002103E3"/>
    <w:rsid w:val="00210D8D"/>
    <w:rsid w:val="00210DBA"/>
    <w:rsid w:val="00211572"/>
    <w:rsid w:val="00213870"/>
    <w:rsid w:val="002140BF"/>
    <w:rsid w:val="002152F0"/>
    <w:rsid w:val="00222522"/>
    <w:rsid w:val="00224656"/>
    <w:rsid w:val="00230634"/>
    <w:rsid w:val="00230CD6"/>
    <w:rsid w:val="0023177C"/>
    <w:rsid w:val="0023689F"/>
    <w:rsid w:val="00236D54"/>
    <w:rsid w:val="0023795E"/>
    <w:rsid w:val="00242476"/>
    <w:rsid w:val="002433CD"/>
    <w:rsid w:val="002508BB"/>
    <w:rsid w:val="002511F8"/>
    <w:rsid w:val="00251B87"/>
    <w:rsid w:val="00253406"/>
    <w:rsid w:val="00255B68"/>
    <w:rsid w:val="002616E2"/>
    <w:rsid w:val="002621BC"/>
    <w:rsid w:val="002631E6"/>
    <w:rsid w:val="002659A4"/>
    <w:rsid w:val="0026763D"/>
    <w:rsid w:val="0027077C"/>
    <w:rsid w:val="002711F9"/>
    <w:rsid w:val="00271B96"/>
    <w:rsid w:val="00271E17"/>
    <w:rsid w:val="0027346F"/>
    <w:rsid w:val="00273F95"/>
    <w:rsid w:val="00275ED7"/>
    <w:rsid w:val="00276B19"/>
    <w:rsid w:val="00277504"/>
    <w:rsid w:val="00277A8E"/>
    <w:rsid w:val="00281C90"/>
    <w:rsid w:val="00282EFA"/>
    <w:rsid w:val="00285502"/>
    <w:rsid w:val="00290573"/>
    <w:rsid w:val="00291288"/>
    <w:rsid w:val="002962E2"/>
    <w:rsid w:val="002A0712"/>
    <w:rsid w:val="002A0B1F"/>
    <w:rsid w:val="002A46A7"/>
    <w:rsid w:val="002A47A8"/>
    <w:rsid w:val="002A7E3F"/>
    <w:rsid w:val="002B0713"/>
    <w:rsid w:val="002B088A"/>
    <w:rsid w:val="002B1F77"/>
    <w:rsid w:val="002B26A3"/>
    <w:rsid w:val="002B396D"/>
    <w:rsid w:val="002B3D7C"/>
    <w:rsid w:val="002B4A77"/>
    <w:rsid w:val="002B5BEB"/>
    <w:rsid w:val="002B6A8D"/>
    <w:rsid w:val="002B7607"/>
    <w:rsid w:val="002B7963"/>
    <w:rsid w:val="002C1467"/>
    <w:rsid w:val="002C435F"/>
    <w:rsid w:val="002C5A74"/>
    <w:rsid w:val="002C6826"/>
    <w:rsid w:val="002C6E73"/>
    <w:rsid w:val="002C6F74"/>
    <w:rsid w:val="002D1EE1"/>
    <w:rsid w:val="002D32BC"/>
    <w:rsid w:val="002D5D04"/>
    <w:rsid w:val="002E31E1"/>
    <w:rsid w:val="002E5008"/>
    <w:rsid w:val="002F0F37"/>
    <w:rsid w:val="002F1C2A"/>
    <w:rsid w:val="002F4003"/>
    <w:rsid w:val="002F4013"/>
    <w:rsid w:val="002F6BE9"/>
    <w:rsid w:val="00302AB9"/>
    <w:rsid w:val="0030381A"/>
    <w:rsid w:val="00304E42"/>
    <w:rsid w:val="00305C71"/>
    <w:rsid w:val="003064CC"/>
    <w:rsid w:val="00307712"/>
    <w:rsid w:val="0030799A"/>
    <w:rsid w:val="0031139F"/>
    <w:rsid w:val="00312156"/>
    <w:rsid w:val="00312B22"/>
    <w:rsid w:val="00315062"/>
    <w:rsid w:val="00316B70"/>
    <w:rsid w:val="003177E3"/>
    <w:rsid w:val="00317DA7"/>
    <w:rsid w:val="00320406"/>
    <w:rsid w:val="003241CA"/>
    <w:rsid w:val="00325617"/>
    <w:rsid w:val="00326AA8"/>
    <w:rsid w:val="0033490A"/>
    <w:rsid w:val="003367F7"/>
    <w:rsid w:val="00337438"/>
    <w:rsid w:val="0033797B"/>
    <w:rsid w:val="00340FEE"/>
    <w:rsid w:val="00344554"/>
    <w:rsid w:val="00344F60"/>
    <w:rsid w:val="00345068"/>
    <w:rsid w:val="003457EF"/>
    <w:rsid w:val="0034642D"/>
    <w:rsid w:val="003464EC"/>
    <w:rsid w:val="00352C04"/>
    <w:rsid w:val="00353C91"/>
    <w:rsid w:val="0035468E"/>
    <w:rsid w:val="00356861"/>
    <w:rsid w:val="00357EC8"/>
    <w:rsid w:val="00360A7E"/>
    <w:rsid w:val="00362D05"/>
    <w:rsid w:val="00363C2F"/>
    <w:rsid w:val="00364505"/>
    <w:rsid w:val="0036566B"/>
    <w:rsid w:val="003660B3"/>
    <w:rsid w:val="0036642A"/>
    <w:rsid w:val="003676C7"/>
    <w:rsid w:val="0036783F"/>
    <w:rsid w:val="00367B5E"/>
    <w:rsid w:val="00371778"/>
    <w:rsid w:val="00373A10"/>
    <w:rsid w:val="00375263"/>
    <w:rsid w:val="00377E37"/>
    <w:rsid w:val="00380AC6"/>
    <w:rsid w:val="00381D83"/>
    <w:rsid w:val="00384944"/>
    <w:rsid w:val="00384CCC"/>
    <w:rsid w:val="003867F0"/>
    <w:rsid w:val="00394D76"/>
    <w:rsid w:val="0039507B"/>
    <w:rsid w:val="003965EE"/>
    <w:rsid w:val="00397FD6"/>
    <w:rsid w:val="003A0F58"/>
    <w:rsid w:val="003A3AB4"/>
    <w:rsid w:val="003A4005"/>
    <w:rsid w:val="003A4A31"/>
    <w:rsid w:val="003A4FAB"/>
    <w:rsid w:val="003A5778"/>
    <w:rsid w:val="003A61B1"/>
    <w:rsid w:val="003A61F2"/>
    <w:rsid w:val="003A68DE"/>
    <w:rsid w:val="003B0990"/>
    <w:rsid w:val="003B1A67"/>
    <w:rsid w:val="003B3432"/>
    <w:rsid w:val="003B4DCA"/>
    <w:rsid w:val="003B6C9D"/>
    <w:rsid w:val="003C1CB1"/>
    <w:rsid w:val="003C3024"/>
    <w:rsid w:val="003C3782"/>
    <w:rsid w:val="003C46EB"/>
    <w:rsid w:val="003C7A39"/>
    <w:rsid w:val="003D1FA3"/>
    <w:rsid w:val="003D2C82"/>
    <w:rsid w:val="003D4502"/>
    <w:rsid w:val="003D4E55"/>
    <w:rsid w:val="003D54C6"/>
    <w:rsid w:val="003D6AF9"/>
    <w:rsid w:val="003E0732"/>
    <w:rsid w:val="003E095B"/>
    <w:rsid w:val="003E11FF"/>
    <w:rsid w:val="003E1223"/>
    <w:rsid w:val="003E4971"/>
    <w:rsid w:val="003E57FB"/>
    <w:rsid w:val="003E5E31"/>
    <w:rsid w:val="003E66D5"/>
    <w:rsid w:val="003E6C87"/>
    <w:rsid w:val="003F0BB6"/>
    <w:rsid w:val="003F2536"/>
    <w:rsid w:val="003F4116"/>
    <w:rsid w:val="003F4D7A"/>
    <w:rsid w:val="003F53FE"/>
    <w:rsid w:val="003F6228"/>
    <w:rsid w:val="0040248A"/>
    <w:rsid w:val="00402835"/>
    <w:rsid w:val="0040367B"/>
    <w:rsid w:val="00405031"/>
    <w:rsid w:val="00405202"/>
    <w:rsid w:val="00405542"/>
    <w:rsid w:val="00405801"/>
    <w:rsid w:val="0040589F"/>
    <w:rsid w:val="0040674C"/>
    <w:rsid w:val="00407A83"/>
    <w:rsid w:val="0041125C"/>
    <w:rsid w:val="004126DB"/>
    <w:rsid w:val="004147D6"/>
    <w:rsid w:val="00414F0E"/>
    <w:rsid w:val="004150C8"/>
    <w:rsid w:val="00415BDD"/>
    <w:rsid w:val="00415D57"/>
    <w:rsid w:val="00416128"/>
    <w:rsid w:val="0041684D"/>
    <w:rsid w:val="00417A69"/>
    <w:rsid w:val="00420895"/>
    <w:rsid w:val="00420CE8"/>
    <w:rsid w:val="00422E8C"/>
    <w:rsid w:val="00424462"/>
    <w:rsid w:val="00424C97"/>
    <w:rsid w:val="00427990"/>
    <w:rsid w:val="00432EB5"/>
    <w:rsid w:val="004334EE"/>
    <w:rsid w:val="00434A61"/>
    <w:rsid w:val="00434F6C"/>
    <w:rsid w:val="00436027"/>
    <w:rsid w:val="00437311"/>
    <w:rsid w:val="00443D0D"/>
    <w:rsid w:val="00444FC2"/>
    <w:rsid w:val="00452A10"/>
    <w:rsid w:val="004538CE"/>
    <w:rsid w:val="00454CF0"/>
    <w:rsid w:val="00456E8D"/>
    <w:rsid w:val="00457448"/>
    <w:rsid w:val="00457993"/>
    <w:rsid w:val="00457AF6"/>
    <w:rsid w:val="0046132F"/>
    <w:rsid w:val="00463AE4"/>
    <w:rsid w:val="004657F9"/>
    <w:rsid w:val="0046613F"/>
    <w:rsid w:val="00467044"/>
    <w:rsid w:val="004677D0"/>
    <w:rsid w:val="004708AD"/>
    <w:rsid w:val="00473A8D"/>
    <w:rsid w:val="00474306"/>
    <w:rsid w:val="00475405"/>
    <w:rsid w:val="00475E57"/>
    <w:rsid w:val="004822B4"/>
    <w:rsid w:val="004834B8"/>
    <w:rsid w:val="00483817"/>
    <w:rsid w:val="004868BA"/>
    <w:rsid w:val="00491267"/>
    <w:rsid w:val="00491A91"/>
    <w:rsid w:val="00493207"/>
    <w:rsid w:val="00495952"/>
    <w:rsid w:val="00497101"/>
    <w:rsid w:val="004A00D6"/>
    <w:rsid w:val="004A0964"/>
    <w:rsid w:val="004A29E9"/>
    <w:rsid w:val="004A32E8"/>
    <w:rsid w:val="004A44B5"/>
    <w:rsid w:val="004B134C"/>
    <w:rsid w:val="004B1ED8"/>
    <w:rsid w:val="004B4BC2"/>
    <w:rsid w:val="004B5902"/>
    <w:rsid w:val="004B7290"/>
    <w:rsid w:val="004C05A4"/>
    <w:rsid w:val="004C0850"/>
    <w:rsid w:val="004C1F07"/>
    <w:rsid w:val="004C3C2A"/>
    <w:rsid w:val="004C44D0"/>
    <w:rsid w:val="004C467A"/>
    <w:rsid w:val="004D3F84"/>
    <w:rsid w:val="004D74D7"/>
    <w:rsid w:val="004E0109"/>
    <w:rsid w:val="004E223B"/>
    <w:rsid w:val="004E2792"/>
    <w:rsid w:val="004E43BC"/>
    <w:rsid w:val="004E45D1"/>
    <w:rsid w:val="004E5A98"/>
    <w:rsid w:val="004E6D0D"/>
    <w:rsid w:val="004F4FD8"/>
    <w:rsid w:val="004F55C6"/>
    <w:rsid w:val="004F666E"/>
    <w:rsid w:val="004F6739"/>
    <w:rsid w:val="00501C61"/>
    <w:rsid w:val="005030E5"/>
    <w:rsid w:val="00503DA8"/>
    <w:rsid w:val="00504456"/>
    <w:rsid w:val="0051063C"/>
    <w:rsid w:val="00513762"/>
    <w:rsid w:val="00513946"/>
    <w:rsid w:val="00514384"/>
    <w:rsid w:val="00515D84"/>
    <w:rsid w:val="0051615F"/>
    <w:rsid w:val="0051642C"/>
    <w:rsid w:val="00516BC9"/>
    <w:rsid w:val="0052298E"/>
    <w:rsid w:val="00522D49"/>
    <w:rsid w:val="005236D5"/>
    <w:rsid w:val="00524A0C"/>
    <w:rsid w:val="005262DB"/>
    <w:rsid w:val="00526BA7"/>
    <w:rsid w:val="00527C37"/>
    <w:rsid w:val="00530210"/>
    <w:rsid w:val="00530586"/>
    <w:rsid w:val="0053126E"/>
    <w:rsid w:val="00532CDB"/>
    <w:rsid w:val="005369AB"/>
    <w:rsid w:val="0054028E"/>
    <w:rsid w:val="00541559"/>
    <w:rsid w:val="00541A9E"/>
    <w:rsid w:val="00542E70"/>
    <w:rsid w:val="00545AEF"/>
    <w:rsid w:val="005478AD"/>
    <w:rsid w:val="005526A2"/>
    <w:rsid w:val="005533FE"/>
    <w:rsid w:val="005536D3"/>
    <w:rsid w:val="005541B7"/>
    <w:rsid w:val="00554A94"/>
    <w:rsid w:val="005552DB"/>
    <w:rsid w:val="005570B9"/>
    <w:rsid w:val="00557146"/>
    <w:rsid w:val="0057237B"/>
    <w:rsid w:val="00573B67"/>
    <w:rsid w:val="005741ED"/>
    <w:rsid w:val="005758F3"/>
    <w:rsid w:val="00575C70"/>
    <w:rsid w:val="00575D65"/>
    <w:rsid w:val="00577BD9"/>
    <w:rsid w:val="00580265"/>
    <w:rsid w:val="00580AFA"/>
    <w:rsid w:val="00581867"/>
    <w:rsid w:val="00583C68"/>
    <w:rsid w:val="00584031"/>
    <w:rsid w:val="0058645D"/>
    <w:rsid w:val="00587960"/>
    <w:rsid w:val="00587B4C"/>
    <w:rsid w:val="00587C4B"/>
    <w:rsid w:val="00587C5D"/>
    <w:rsid w:val="00590F8F"/>
    <w:rsid w:val="00591A32"/>
    <w:rsid w:val="00591DFC"/>
    <w:rsid w:val="0059614A"/>
    <w:rsid w:val="00597265"/>
    <w:rsid w:val="005A17EB"/>
    <w:rsid w:val="005A2A63"/>
    <w:rsid w:val="005A3448"/>
    <w:rsid w:val="005A3986"/>
    <w:rsid w:val="005A3ABD"/>
    <w:rsid w:val="005A528E"/>
    <w:rsid w:val="005A6CAE"/>
    <w:rsid w:val="005B10E5"/>
    <w:rsid w:val="005B2197"/>
    <w:rsid w:val="005B295A"/>
    <w:rsid w:val="005B2984"/>
    <w:rsid w:val="005B31C3"/>
    <w:rsid w:val="005B4281"/>
    <w:rsid w:val="005B5162"/>
    <w:rsid w:val="005B7502"/>
    <w:rsid w:val="005C12DD"/>
    <w:rsid w:val="005C3031"/>
    <w:rsid w:val="005C33B2"/>
    <w:rsid w:val="005C33DD"/>
    <w:rsid w:val="005C459F"/>
    <w:rsid w:val="005C53E0"/>
    <w:rsid w:val="005C6786"/>
    <w:rsid w:val="005C7F8C"/>
    <w:rsid w:val="005D1B9A"/>
    <w:rsid w:val="005D3099"/>
    <w:rsid w:val="005D38F2"/>
    <w:rsid w:val="005D49B3"/>
    <w:rsid w:val="005E2A71"/>
    <w:rsid w:val="005E2C67"/>
    <w:rsid w:val="005E2E02"/>
    <w:rsid w:val="005E392A"/>
    <w:rsid w:val="005E3F68"/>
    <w:rsid w:val="005E4EA7"/>
    <w:rsid w:val="005E500C"/>
    <w:rsid w:val="005E6C71"/>
    <w:rsid w:val="005E7B7F"/>
    <w:rsid w:val="005F1E18"/>
    <w:rsid w:val="005F396C"/>
    <w:rsid w:val="005F41FC"/>
    <w:rsid w:val="005F4315"/>
    <w:rsid w:val="005F47B7"/>
    <w:rsid w:val="005F4F2D"/>
    <w:rsid w:val="005F5959"/>
    <w:rsid w:val="005F6AB1"/>
    <w:rsid w:val="005F7128"/>
    <w:rsid w:val="005F74EC"/>
    <w:rsid w:val="006004F0"/>
    <w:rsid w:val="00601478"/>
    <w:rsid w:val="00602731"/>
    <w:rsid w:val="00602CF3"/>
    <w:rsid w:val="0060389C"/>
    <w:rsid w:val="0060463E"/>
    <w:rsid w:val="0060607B"/>
    <w:rsid w:val="00606352"/>
    <w:rsid w:val="0060711B"/>
    <w:rsid w:val="006110C4"/>
    <w:rsid w:val="006146BE"/>
    <w:rsid w:val="00615739"/>
    <w:rsid w:val="00615FF1"/>
    <w:rsid w:val="0062029A"/>
    <w:rsid w:val="00624076"/>
    <w:rsid w:val="00624306"/>
    <w:rsid w:val="00624FB1"/>
    <w:rsid w:val="0062766E"/>
    <w:rsid w:val="00631003"/>
    <w:rsid w:val="0063186E"/>
    <w:rsid w:val="006325ED"/>
    <w:rsid w:val="00632871"/>
    <w:rsid w:val="00633065"/>
    <w:rsid w:val="00633299"/>
    <w:rsid w:val="006360D0"/>
    <w:rsid w:val="006400EC"/>
    <w:rsid w:val="0064015B"/>
    <w:rsid w:val="00642ED5"/>
    <w:rsid w:val="00644469"/>
    <w:rsid w:val="00644793"/>
    <w:rsid w:val="006472C2"/>
    <w:rsid w:val="0065151E"/>
    <w:rsid w:val="006535E9"/>
    <w:rsid w:val="0065422A"/>
    <w:rsid w:val="006576FC"/>
    <w:rsid w:val="00660065"/>
    <w:rsid w:val="006600A3"/>
    <w:rsid w:val="00661971"/>
    <w:rsid w:val="006635C8"/>
    <w:rsid w:val="00663A7A"/>
    <w:rsid w:val="00664DA6"/>
    <w:rsid w:val="00664DB3"/>
    <w:rsid w:val="0067335D"/>
    <w:rsid w:val="0067344D"/>
    <w:rsid w:val="00676041"/>
    <w:rsid w:val="006776FF"/>
    <w:rsid w:val="006778FF"/>
    <w:rsid w:val="0067797C"/>
    <w:rsid w:val="006802BC"/>
    <w:rsid w:val="006814D1"/>
    <w:rsid w:val="006816A7"/>
    <w:rsid w:val="006824CC"/>
    <w:rsid w:val="00691903"/>
    <w:rsid w:val="00691CBD"/>
    <w:rsid w:val="006949F5"/>
    <w:rsid w:val="00694AEF"/>
    <w:rsid w:val="00694F4E"/>
    <w:rsid w:val="00695AD8"/>
    <w:rsid w:val="006A6059"/>
    <w:rsid w:val="006A6240"/>
    <w:rsid w:val="006B14DB"/>
    <w:rsid w:val="006B5D66"/>
    <w:rsid w:val="006B6622"/>
    <w:rsid w:val="006B7DFD"/>
    <w:rsid w:val="006C29B4"/>
    <w:rsid w:val="006C332C"/>
    <w:rsid w:val="006C5AE7"/>
    <w:rsid w:val="006C6A82"/>
    <w:rsid w:val="006C7D6D"/>
    <w:rsid w:val="006D0605"/>
    <w:rsid w:val="006D33A4"/>
    <w:rsid w:val="006D3BE2"/>
    <w:rsid w:val="006D499F"/>
    <w:rsid w:val="006D4D49"/>
    <w:rsid w:val="006D68BB"/>
    <w:rsid w:val="006D6A57"/>
    <w:rsid w:val="006D7B0D"/>
    <w:rsid w:val="006E306B"/>
    <w:rsid w:val="006E44E5"/>
    <w:rsid w:val="006F1927"/>
    <w:rsid w:val="006F29DD"/>
    <w:rsid w:val="006F3008"/>
    <w:rsid w:val="006F4BAB"/>
    <w:rsid w:val="006F5121"/>
    <w:rsid w:val="0070111D"/>
    <w:rsid w:val="00701DE6"/>
    <w:rsid w:val="00704160"/>
    <w:rsid w:val="00705825"/>
    <w:rsid w:val="00706CEE"/>
    <w:rsid w:val="00712204"/>
    <w:rsid w:val="00714EAE"/>
    <w:rsid w:val="0071558D"/>
    <w:rsid w:val="00717B74"/>
    <w:rsid w:val="007216A1"/>
    <w:rsid w:val="00721736"/>
    <w:rsid w:val="00721DA4"/>
    <w:rsid w:val="00724C06"/>
    <w:rsid w:val="00725BA8"/>
    <w:rsid w:val="00725EA7"/>
    <w:rsid w:val="00727C26"/>
    <w:rsid w:val="00735466"/>
    <w:rsid w:val="007412BE"/>
    <w:rsid w:val="007413FC"/>
    <w:rsid w:val="00742234"/>
    <w:rsid w:val="00743C69"/>
    <w:rsid w:val="007444D0"/>
    <w:rsid w:val="0074589C"/>
    <w:rsid w:val="00747DDA"/>
    <w:rsid w:val="00750DBD"/>
    <w:rsid w:val="007535F7"/>
    <w:rsid w:val="00753AC0"/>
    <w:rsid w:val="0075400E"/>
    <w:rsid w:val="00754F72"/>
    <w:rsid w:val="00755E6D"/>
    <w:rsid w:val="00762999"/>
    <w:rsid w:val="0076471C"/>
    <w:rsid w:val="00764AC8"/>
    <w:rsid w:val="00765B5A"/>
    <w:rsid w:val="007662C7"/>
    <w:rsid w:val="0076694A"/>
    <w:rsid w:val="00767564"/>
    <w:rsid w:val="00767D50"/>
    <w:rsid w:val="00771A79"/>
    <w:rsid w:val="00772126"/>
    <w:rsid w:val="0077270B"/>
    <w:rsid w:val="007768B5"/>
    <w:rsid w:val="0077699F"/>
    <w:rsid w:val="00776B32"/>
    <w:rsid w:val="0077756E"/>
    <w:rsid w:val="00780180"/>
    <w:rsid w:val="007803B1"/>
    <w:rsid w:val="0078041E"/>
    <w:rsid w:val="00781EB2"/>
    <w:rsid w:val="00782725"/>
    <w:rsid w:val="007829D7"/>
    <w:rsid w:val="00782A25"/>
    <w:rsid w:val="00783585"/>
    <w:rsid w:val="00783EB1"/>
    <w:rsid w:val="007861CB"/>
    <w:rsid w:val="007875DD"/>
    <w:rsid w:val="0079132A"/>
    <w:rsid w:val="00791688"/>
    <w:rsid w:val="007948EE"/>
    <w:rsid w:val="0079654F"/>
    <w:rsid w:val="007974D2"/>
    <w:rsid w:val="00797CDC"/>
    <w:rsid w:val="007A03DA"/>
    <w:rsid w:val="007A0CFB"/>
    <w:rsid w:val="007A1B51"/>
    <w:rsid w:val="007A20B4"/>
    <w:rsid w:val="007A2DFA"/>
    <w:rsid w:val="007A70C8"/>
    <w:rsid w:val="007A7515"/>
    <w:rsid w:val="007A768F"/>
    <w:rsid w:val="007A7C56"/>
    <w:rsid w:val="007A7CFC"/>
    <w:rsid w:val="007B0C7F"/>
    <w:rsid w:val="007B17B3"/>
    <w:rsid w:val="007B377E"/>
    <w:rsid w:val="007B50EB"/>
    <w:rsid w:val="007B7F81"/>
    <w:rsid w:val="007C1EB5"/>
    <w:rsid w:val="007C47F7"/>
    <w:rsid w:val="007C5D2D"/>
    <w:rsid w:val="007C644A"/>
    <w:rsid w:val="007C7546"/>
    <w:rsid w:val="007D2C22"/>
    <w:rsid w:val="007D2E41"/>
    <w:rsid w:val="007D35F2"/>
    <w:rsid w:val="007D447F"/>
    <w:rsid w:val="007D7A9D"/>
    <w:rsid w:val="007E3B90"/>
    <w:rsid w:val="007E4694"/>
    <w:rsid w:val="007E6893"/>
    <w:rsid w:val="007F216B"/>
    <w:rsid w:val="007F4762"/>
    <w:rsid w:val="007F487B"/>
    <w:rsid w:val="007F504B"/>
    <w:rsid w:val="007F50E0"/>
    <w:rsid w:val="007F694B"/>
    <w:rsid w:val="007F6D2D"/>
    <w:rsid w:val="00801CE6"/>
    <w:rsid w:val="00802C80"/>
    <w:rsid w:val="00803171"/>
    <w:rsid w:val="008038D1"/>
    <w:rsid w:val="00803A3E"/>
    <w:rsid w:val="00805E77"/>
    <w:rsid w:val="0081014A"/>
    <w:rsid w:val="00810AFC"/>
    <w:rsid w:val="0081154D"/>
    <w:rsid w:val="00812066"/>
    <w:rsid w:val="008136D8"/>
    <w:rsid w:val="00814100"/>
    <w:rsid w:val="00815ACC"/>
    <w:rsid w:val="00816F32"/>
    <w:rsid w:val="00820E08"/>
    <w:rsid w:val="00822130"/>
    <w:rsid w:val="00823B5F"/>
    <w:rsid w:val="00826D51"/>
    <w:rsid w:val="00826EDA"/>
    <w:rsid w:val="00830B13"/>
    <w:rsid w:val="00831093"/>
    <w:rsid w:val="0083166B"/>
    <w:rsid w:val="008316B8"/>
    <w:rsid w:val="0083431A"/>
    <w:rsid w:val="00835122"/>
    <w:rsid w:val="00836A46"/>
    <w:rsid w:val="00837940"/>
    <w:rsid w:val="00841B23"/>
    <w:rsid w:val="008424A0"/>
    <w:rsid w:val="008443D1"/>
    <w:rsid w:val="00844D41"/>
    <w:rsid w:val="00845688"/>
    <w:rsid w:val="00845ED4"/>
    <w:rsid w:val="0084619B"/>
    <w:rsid w:val="00846876"/>
    <w:rsid w:val="008469D4"/>
    <w:rsid w:val="00847D81"/>
    <w:rsid w:val="00850B68"/>
    <w:rsid w:val="00855188"/>
    <w:rsid w:val="00857D8A"/>
    <w:rsid w:val="008609D6"/>
    <w:rsid w:val="00861EC2"/>
    <w:rsid w:val="00861EE9"/>
    <w:rsid w:val="00863D40"/>
    <w:rsid w:val="008647EA"/>
    <w:rsid w:val="00865652"/>
    <w:rsid w:val="008657CA"/>
    <w:rsid w:val="00865A7B"/>
    <w:rsid w:val="0086657B"/>
    <w:rsid w:val="008672AC"/>
    <w:rsid w:val="0086732C"/>
    <w:rsid w:val="0087096A"/>
    <w:rsid w:val="00870CC6"/>
    <w:rsid w:val="008715A5"/>
    <w:rsid w:val="00871820"/>
    <w:rsid w:val="00872A94"/>
    <w:rsid w:val="00873CA5"/>
    <w:rsid w:val="00877F7B"/>
    <w:rsid w:val="00883466"/>
    <w:rsid w:val="00884EB7"/>
    <w:rsid w:val="008861CE"/>
    <w:rsid w:val="00894EEB"/>
    <w:rsid w:val="0089659A"/>
    <w:rsid w:val="008A0CD0"/>
    <w:rsid w:val="008A146C"/>
    <w:rsid w:val="008A15F1"/>
    <w:rsid w:val="008A2C27"/>
    <w:rsid w:val="008A6860"/>
    <w:rsid w:val="008A7D2C"/>
    <w:rsid w:val="008B0446"/>
    <w:rsid w:val="008B044A"/>
    <w:rsid w:val="008B1C60"/>
    <w:rsid w:val="008B289F"/>
    <w:rsid w:val="008B33BB"/>
    <w:rsid w:val="008B5E66"/>
    <w:rsid w:val="008B626A"/>
    <w:rsid w:val="008B7333"/>
    <w:rsid w:val="008B763D"/>
    <w:rsid w:val="008C026B"/>
    <w:rsid w:val="008C095A"/>
    <w:rsid w:val="008C287C"/>
    <w:rsid w:val="008C2D2C"/>
    <w:rsid w:val="008C5D34"/>
    <w:rsid w:val="008D1AD1"/>
    <w:rsid w:val="008D1F33"/>
    <w:rsid w:val="008D354D"/>
    <w:rsid w:val="008D575F"/>
    <w:rsid w:val="008D639A"/>
    <w:rsid w:val="008D7235"/>
    <w:rsid w:val="008D75E0"/>
    <w:rsid w:val="008D7B99"/>
    <w:rsid w:val="008D7BC1"/>
    <w:rsid w:val="008E0E67"/>
    <w:rsid w:val="008E4207"/>
    <w:rsid w:val="008E4854"/>
    <w:rsid w:val="008E6F22"/>
    <w:rsid w:val="008F2A95"/>
    <w:rsid w:val="008F5CC8"/>
    <w:rsid w:val="008F5CCB"/>
    <w:rsid w:val="008F7C87"/>
    <w:rsid w:val="009027EA"/>
    <w:rsid w:val="00902A1B"/>
    <w:rsid w:val="00902DA9"/>
    <w:rsid w:val="00904379"/>
    <w:rsid w:val="00906542"/>
    <w:rsid w:val="00910618"/>
    <w:rsid w:val="0091148E"/>
    <w:rsid w:val="00914381"/>
    <w:rsid w:val="00914802"/>
    <w:rsid w:val="009149ED"/>
    <w:rsid w:val="00922EED"/>
    <w:rsid w:val="009238BE"/>
    <w:rsid w:val="00923D21"/>
    <w:rsid w:val="00924FDA"/>
    <w:rsid w:val="0092726A"/>
    <w:rsid w:val="00927C4B"/>
    <w:rsid w:val="00927CBD"/>
    <w:rsid w:val="00927DA0"/>
    <w:rsid w:val="009300A3"/>
    <w:rsid w:val="0093283D"/>
    <w:rsid w:val="009335E2"/>
    <w:rsid w:val="00935541"/>
    <w:rsid w:val="00935650"/>
    <w:rsid w:val="00936EA2"/>
    <w:rsid w:val="00940B2A"/>
    <w:rsid w:val="00941B34"/>
    <w:rsid w:val="00941ED7"/>
    <w:rsid w:val="009433E0"/>
    <w:rsid w:val="0094366A"/>
    <w:rsid w:val="00943F1B"/>
    <w:rsid w:val="00945765"/>
    <w:rsid w:val="00945C22"/>
    <w:rsid w:val="00954FE5"/>
    <w:rsid w:val="0095534A"/>
    <w:rsid w:val="00956A7B"/>
    <w:rsid w:val="009608E3"/>
    <w:rsid w:val="00960D65"/>
    <w:rsid w:val="009615C2"/>
    <w:rsid w:val="00962060"/>
    <w:rsid w:val="00963DE6"/>
    <w:rsid w:val="009649F0"/>
    <w:rsid w:val="009666D4"/>
    <w:rsid w:val="00966FAD"/>
    <w:rsid w:val="00970535"/>
    <w:rsid w:val="00970AC9"/>
    <w:rsid w:val="009725AB"/>
    <w:rsid w:val="0097713E"/>
    <w:rsid w:val="00977A1F"/>
    <w:rsid w:val="0098081D"/>
    <w:rsid w:val="009821EA"/>
    <w:rsid w:val="00982A31"/>
    <w:rsid w:val="00982CCD"/>
    <w:rsid w:val="00983341"/>
    <w:rsid w:val="009843D2"/>
    <w:rsid w:val="00986FA9"/>
    <w:rsid w:val="00987988"/>
    <w:rsid w:val="00987E07"/>
    <w:rsid w:val="009908E9"/>
    <w:rsid w:val="00992AAF"/>
    <w:rsid w:val="009A0E60"/>
    <w:rsid w:val="009A1CDA"/>
    <w:rsid w:val="009A3325"/>
    <w:rsid w:val="009A3784"/>
    <w:rsid w:val="009A42C1"/>
    <w:rsid w:val="009A42F2"/>
    <w:rsid w:val="009A46D6"/>
    <w:rsid w:val="009B050F"/>
    <w:rsid w:val="009B2060"/>
    <w:rsid w:val="009B79E4"/>
    <w:rsid w:val="009C0527"/>
    <w:rsid w:val="009C18CF"/>
    <w:rsid w:val="009C4DF1"/>
    <w:rsid w:val="009C52AB"/>
    <w:rsid w:val="009C5723"/>
    <w:rsid w:val="009C6792"/>
    <w:rsid w:val="009D1185"/>
    <w:rsid w:val="009D316E"/>
    <w:rsid w:val="009D33A4"/>
    <w:rsid w:val="009D360F"/>
    <w:rsid w:val="009D3808"/>
    <w:rsid w:val="009D5509"/>
    <w:rsid w:val="009D58DF"/>
    <w:rsid w:val="009E64D6"/>
    <w:rsid w:val="009E7E8D"/>
    <w:rsid w:val="009F1DC4"/>
    <w:rsid w:val="009F238C"/>
    <w:rsid w:val="009F3888"/>
    <w:rsid w:val="009F4189"/>
    <w:rsid w:val="009F4A59"/>
    <w:rsid w:val="009F56C9"/>
    <w:rsid w:val="009F6FAB"/>
    <w:rsid w:val="009F7081"/>
    <w:rsid w:val="00A00200"/>
    <w:rsid w:val="00A01A60"/>
    <w:rsid w:val="00A02D58"/>
    <w:rsid w:val="00A05F25"/>
    <w:rsid w:val="00A06B4F"/>
    <w:rsid w:val="00A06B98"/>
    <w:rsid w:val="00A075B5"/>
    <w:rsid w:val="00A07902"/>
    <w:rsid w:val="00A124C0"/>
    <w:rsid w:val="00A156C2"/>
    <w:rsid w:val="00A15DB0"/>
    <w:rsid w:val="00A17D21"/>
    <w:rsid w:val="00A17D90"/>
    <w:rsid w:val="00A228AD"/>
    <w:rsid w:val="00A24D71"/>
    <w:rsid w:val="00A33082"/>
    <w:rsid w:val="00A37E9F"/>
    <w:rsid w:val="00A402D5"/>
    <w:rsid w:val="00A42409"/>
    <w:rsid w:val="00A43AA3"/>
    <w:rsid w:val="00A44CBB"/>
    <w:rsid w:val="00A46126"/>
    <w:rsid w:val="00A4641F"/>
    <w:rsid w:val="00A50FD5"/>
    <w:rsid w:val="00A55237"/>
    <w:rsid w:val="00A6154B"/>
    <w:rsid w:val="00A63FA8"/>
    <w:rsid w:val="00A65DDA"/>
    <w:rsid w:val="00A67429"/>
    <w:rsid w:val="00A71970"/>
    <w:rsid w:val="00A7276A"/>
    <w:rsid w:val="00A7521A"/>
    <w:rsid w:val="00A77215"/>
    <w:rsid w:val="00A776E9"/>
    <w:rsid w:val="00A80A65"/>
    <w:rsid w:val="00A82E62"/>
    <w:rsid w:val="00A83FF6"/>
    <w:rsid w:val="00A84B8C"/>
    <w:rsid w:val="00A85DE9"/>
    <w:rsid w:val="00A90FDA"/>
    <w:rsid w:val="00A95AD2"/>
    <w:rsid w:val="00AA1D16"/>
    <w:rsid w:val="00AA2D4A"/>
    <w:rsid w:val="00AA47A5"/>
    <w:rsid w:val="00AA494C"/>
    <w:rsid w:val="00AA7328"/>
    <w:rsid w:val="00AB1423"/>
    <w:rsid w:val="00AB20CA"/>
    <w:rsid w:val="00AB27ED"/>
    <w:rsid w:val="00AB6D01"/>
    <w:rsid w:val="00AB7334"/>
    <w:rsid w:val="00AB7D67"/>
    <w:rsid w:val="00AC041A"/>
    <w:rsid w:val="00AC0B2F"/>
    <w:rsid w:val="00AC3BF1"/>
    <w:rsid w:val="00AC5C27"/>
    <w:rsid w:val="00AC7519"/>
    <w:rsid w:val="00AD0304"/>
    <w:rsid w:val="00AD5113"/>
    <w:rsid w:val="00AD5A22"/>
    <w:rsid w:val="00AD684A"/>
    <w:rsid w:val="00AD6D3B"/>
    <w:rsid w:val="00AD737E"/>
    <w:rsid w:val="00AE0496"/>
    <w:rsid w:val="00AE08D5"/>
    <w:rsid w:val="00AE13E0"/>
    <w:rsid w:val="00AE5352"/>
    <w:rsid w:val="00AE5769"/>
    <w:rsid w:val="00AF0A7D"/>
    <w:rsid w:val="00AF0AFD"/>
    <w:rsid w:val="00AF49AE"/>
    <w:rsid w:val="00AF4E24"/>
    <w:rsid w:val="00AF5E2A"/>
    <w:rsid w:val="00B00849"/>
    <w:rsid w:val="00B00D18"/>
    <w:rsid w:val="00B035FF"/>
    <w:rsid w:val="00B04AB5"/>
    <w:rsid w:val="00B064A8"/>
    <w:rsid w:val="00B0695E"/>
    <w:rsid w:val="00B122A4"/>
    <w:rsid w:val="00B12533"/>
    <w:rsid w:val="00B13C24"/>
    <w:rsid w:val="00B1435D"/>
    <w:rsid w:val="00B15268"/>
    <w:rsid w:val="00B168C0"/>
    <w:rsid w:val="00B17102"/>
    <w:rsid w:val="00B17FF5"/>
    <w:rsid w:val="00B207B0"/>
    <w:rsid w:val="00B21C8B"/>
    <w:rsid w:val="00B22A13"/>
    <w:rsid w:val="00B238F0"/>
    <w:rsid w:val="00B23CC3"/>
    <w:rsid w:val="00B23F68"/>
    <w:rsid w:val="00B2538E"/>
    <w:rsid w:val="00B30B99"/>
    <w:rsid w:val="00B31BB1"/>
    <w:rsid w:val="00B325F2"/>
    <w:rsid w:val="00B34AED"/>
    <w:rsid w:val="00B37898"/>
    <w:rsid w:val="00B40D62"/>
    <w:rsid w:val="00B46293"/>
    <w:rsid w:val="00B4649E"/>
    <w:rsid w:val="00B46544"/>
    <w:rsid w:val="00B46A0E"/>
    <w:rsid w:val="00B4731B"/>
    <w:rsid w:val="00B50D67"/>
    <w:rsid w:val="00B5229C"/>
    <w:rsid w:val="00B526A9"/>
    <w:rsid w:val="00B53D0E"/>
    <w:rsid w:val="00B57622"/>
    <w:rsid w:val="00B6149F"/>
    <w:rsid w:val="00B61D1F"/>
    <w:rsid w:val="00B629EB"/>
    <w:rsid w:val="00B62C83"/>
    <w:rsid w:val="00B62FD9"/>
    <w:rsid w:val="00B64554"/>
    <w:rsid w:val="00B71994"/>
    <w:rsid w:val="00B76BE9"/>
    <w:rsid w:val="00B77F05"/>
    <w:rsid w:val="00B80976"/>
    <w:rsid w:val="00B8550F"/>
    <w:rsid w:val="00B8598F"/>
    <w:rsid w:val="00B86414"/>
    <w:rsid w:val="00B91317"/>
    <w:rsid w:val="00B943EF"/>
    <w:rsid w:val="00B94B24"/>
    <w:rsid w:val="00B952F9"/>
    <w:rsid w:val="00B96C1D"/>
    <w:rsid w:val="00B972FB"/>
    <w:rsid w:val="00BA3092"/>
    <w:rsid w:val="00BA4075"/>
    <w:rsid w:val="00BA4FC5"/>
    <w:rsid w:val="00BA591D"/>
    <w:rsid w:val="00BA74BB"/>
    <w:rsid w:val="00BB159B"/>
    <w:rsid w:val="00BB252E"/>
    <w:rsid w:val="00BB2A39"/>
    <w:rsid w:val="00BC2250"/>
    <w:rsid w:val="00BC5529"/>
    <w:rsid w:val="00BC7A48"/>
    <w:rsid w:val="00BD003C"/>
    <w:rsid w:val="00BD2843"/>
    <w:rsid w:val="00BD288F"/>
    <w:rsid w:val="00BD5350"/>
    <w:rsid w:val="00BD5C27"/>
    <w:rsid w:val="00BD7166"/>
    <w:rsid w:val="00BD75DD"/>
    <w:rsid w:val="00BD7714"/>
    <w:rsid w:val="00BD7768"/>
    <w:rsid w:val="00BE0093"/>
    <w:rsid w:val="00BE0139"/>
    <w:rsid w:val="00BE0491"/>
    <w:rsid w:val="00BE4FB9"/>
    <w:rsid w:val="00BE52E7"/>
    <w:rsid w:val="00BE534F"/>
    <w:rsid w:val="00BF00AC"/>
    <w:rsid w:val="00BF25E5"/>
    <w:rsid w:val="00BF39D0"/>
    <w:rsid w:val="00BF4F32"/>
    <w:rsid w:val="00BF5259"/>
    <w:rsid w:val="00BF5E8A"/>
    <w:rsid w:val="00BF64DE"/>
    <w:rsid w:val="00BF7DCA"/>
    <w:rsid w:val="00C02398"/>
    <w:rsid w:val="00C02897"/>
    <w:rsid w:val="00C02D58"/>
    <w:rsid w:val="00C04CED"/>
    <w:rsid w:val="00C06A09"/>
    <w:rsid w:val="00C10352"/>
    <w:rsid w:val="00C113B8"/>
    <w:rsid w:val="00C12D67"/>
    <w:rsid w:val="00C1685D"/>
    <w:rsid w:val="00C16AA1"/>
    <w:rsid w:val="00C16F51"/>
    <w:rsid w:val="00C16F80"/>
    <w:rsid w:val="00C239A3"/>
    <w:rsid w:val="00C33710"/>
    <w:rsid w:val="00C33B6F"/>
    <w:rsid w:val="00C343D6"/>
    <w:rsid w:val="00C34FDE"/>
    <w:rsid w:val="00C36DC7"/>
    <w:rsid w:val="00C3708D"/>
    <w:rsid w:val="00C377EC"/>
    <w:rsid w:val="00C378B3"/>
    <w:rsid w:val="00C40538"/>
    <w:rsid w:val="00C4163B"/>
    <w:rsid w:val="00C42D29"/>
    <w:rsid w:val="00C43FD8"/>
    <w:rsid w:val="00C458AF"/>
    <w:rsid w:val="00C473DA"/>
    <w:rsid w:val="00C50FDA"/>
    <w:rsid w:val="00C521A6"/>
    <w:rsid w:val="00C52617"/>
    <w:rsid w:val="00C5366D"/>
    <w:rsid w:val="00C53675"/>
    <w:rsid w:val="00C543A0"/>
    <w:rsid w:val="00C54BE2"/>
    <w:rsid w:val="00C60238"/>
    <w:rsid w:val="00C60797"/>
    <w:rsid w:val="00C60972"/>
    <w:rsid w:val="00C613B8"/>
    <w:rsid w:val="00C61C7D"/>
    <w:rsid w:val="00C623EC"/>
    <w:rsid w:val="00C639E0"/>
    <w:rsid w:val="00C63DFF"/>
    <w:rsid w:val="00C70618"/>
    <w:rsid w:val="00C70C08"/>
    <w:rsid w:val="00C710A1"/>
    <w:rsid w:val="00C71763"/>
    <w:rsid w:val="00C7239D"/>
    <w:rsid w:val="00C73C48"/>
    <w:rsid w:val="00C749A7"/>
    <w:rsid w:val="00C76D4D"/>
    <w:rsid w:val="00C77135"/>
    <w:rsid w:val="00C81A70"/>
    <w:rsid w:val="00C829F3"/>
    <w:rsid w:val="00C83B26"/>
    <w:rsid w:val="00C8405D"/>
    <w:rsid w:val="00C8484D"/>
    <w:rsid w:val="00C84910"/>
    <w:rsid w:val="00C84B7B"/>
    <w:rsid w:val="00C85F30"/>
    <w:rsid w:val="00C860AE"/>
    <w:rsid w:val="00C9059F"/>
    <w:rsid w:val="00C9244A"/>
    <w:rsid w:val="00CA0879"/>
    <w:rsid w:val="00CA230D"/>
    <w:rsid w:val="00CA35D1"/>
    <w:rsid w:val="00CA40A9"/>
    <w:rsid w:val="00CA4692"/>
    <w:rsid w:val="00CA6080"/>
    <w:rsid w:val="00CA6C77"/>
    <w:rsid w:val="00CA6C86"/>
    <w:rsid w:val="00CB0F15"/>
    <w:rsid w:val="00CB2E03"/>
    <w:rsid w:val="00CB4AED"/>
    <w:rsid w:val="00CB600F"/>
    <w:rsid w:val="00CB6D17"/>
    <w:rsid w:val="00CC2A4E"/>
    <w:rsid w:val="00CC2D8F"/>
    <w:rsid w:val="00CC74C6"/>
    <w:rsid w:val="00CC7BA0"/>
    <w:rsid w:val="00CD05D9"/>
    <w:rsid w:val="00CD10C4"/>
    <w:rsid w:val="00CD5567"/>
    <w:rsid w:val="00CD6175"/>
    <w:rsid w:val="00CD78EF"/>
    <w:rsid w:val="00CE0F1D"/>
    <w:rsid w:val="00CE3D34"/>
    <w:rsid w:val="00CE44E8"/>
    <w:rsid w:val="00CE4941"/>
    <w:rsid w:val="00CE4EC1"/>
    <w:rsid w:val="00CF152D"/>
    <w:rsid w:val="00CF25B3"/>
    <w:rsid w:val="00CF5961"/>
    <w:rsid w:val="00CF675A"/>
    <w:rsid w:val="00CF6DC9"/>
    <w:rsid w:val="00CF6FD4"/>
    <w:rsid w:val="00CF74D8"/>
    <w:rsid w:val="00D0164F"/>
    <w:rsid w:val="00D01F30"/>
    <w:rsid w:val="00D03031"/>
    <w:rsid w:val="00D07C17"/>
    <w:rsid w:val="00D165D0"/>
    <w:rsid w:val="00D20677"/>
    <w:rsid w:val="00D21B5E"/>
    <w:rsid w:val="00D22053"/>
    <w:rsid w:val="00D25315"/>
    <w:rsid w:val="00D25624"/>
    <w:rsid w:val="00D275E2"/>
    <w:rsid w:val="00D34073"/>
    <w:rsid w:val="00D34669"/>
    <w:rsid w:val="00D36BFA"/>
    <w:rsid w:val="00D37CA1"/>
    <w:rsid w:val="00D41CDD"/>
    <w:rsid w:val="00D44246"/>
    <w:rsid w:val="00D44444"/>
    <w:rsid w:val="00D44DE6"/>
    <w:rsid w:val="00D47484"/>
    <w:rsid w:val="00D47AF4"/>
    <w:rsid w:val="00D51435"/>
    <w:rsid w:val="00D5525F"/>
    <w:rsid w:val="00D5646F"/>
    <w:rsid w:val="00D60539"/>
    <w:rsid w:val="00D61737"/>
    <w:rsid w:val="00D627AB"/>
    <w:rsid w:val="00D62F67"/>
    <w:rsid w:val="00D6324C"/>
    <w:rsid w:val="00D63A98"/>
    <w:rsid w:val="00D65196"/>
    <w:rsid w:val="00D65429"/>
    <w:rsid w:val="00D65BDD"/>
    <w:rsid w:val="00D675B3"/>
    <w:rsid w:val="00D67BB0"/>
    <w:rsid w:val="00D7182B"/>
    <w:rsid w:val="00D72F37"/>
    <w:rsid w:val="00D73347"/>
    <w:rsid w:val="00D74459"/>
    <w:rsid w:val="00D7595C"/>
    <w:rsid w:val="00D761A2"/>
    <w:rsid w:val="00D764A6"/>
    <w:rsid w:val="00D77076"/>
    <w:rsid w:val="00D77BF6"/>
    <w:rsid w:val="00D81366"/>
    <w:rsid w:val="00D8408F"/>
    <w:rsid w:val="00D8592F"/>
    <w:rsid w:val="00D86A3B"/>
    <w:rsid w:val="00D92921"/>
    <w:rsid w:val="00D92ADE"/>
    <w:rsid w:val="00D94780"/>
    <w:rsid w:val="00D94E92"/>
    <w:rsid w:val="00D957EB"/>
    <w:rsid w:val="00D95A53"/>
    <w:rsid w:val="00D95CF1"/>
    <w:rsid w:val="00DA0337"/>
    <w:rsid w:val="00DA1225"/>
    <w:rsid w:val="00DA1BE2"/>
    <w:rsid w:val="00DA2974"/>
    <w:rsid w:val="00DA3048"/>
    <w:rsid w:val="00DA3568"/>
    <w:rsid w:val="00DA6ABA"/>
    <w:rsid w:val="00DB0F50"/>
    <w:rsid w:val="00DB1456"/>
    <w:rsid w:val="00DB15D9"/>
    <w:rsid w:val="00DB28C8"/>
    <w:rsid w:val="00DB34CD"/>
    <w:rsid w:val="00DB483B"/>
    <w:rsid w:val="00DB5185"/>
    <w:rsid w:val="00DB5793"/>
    <w:rsid w:val="00DB6C84"/>
    <w:rsid w:val="00DB75D1"/>
    <w:rsid w:val="00DC25B0"/>
    <w:rsid w:val="00DC2CC6"/>
    <w:rsid w:val="00DC3265"/>
    <w:rsid w:val="00DC5BED"/>
    <w:rsid w:val="00DC71EC"/>
    <w:rsid w:val="00DC7BA7"/>
    <w:rsid w:val="00DD10A8"/>
    <w:rsid w:val="00DD1E54"/>
    <w:rsid w:val="00DD392C"/>
    <w:rsid w:val="00DD5ED8"/>
    <w:rsid w:val="00DD64A9"/>
    <w:rsid w:val="00DD73ED"/>
    <w:rsid w:val="00DE08AB"/>
    <w:rsid w:val="00DE095F"/>
    <w:rsid w:val="00DE0E09"/>
    <w:rsid w:val="00DE338C"/>
    <w:rsid w:val="00DE3656"/>
    <w:rsid w:val="00DE4C90"/>
    <w:rsid w:val="00DE56B4"/>
    <w:rsid w:val="00DE58D2"/>
    <w:rsid w:val="00DE58D5"/>
    <w:rsid w:val="00DE5C4A"/>
    <w:rsid w:val="00DE5EC0"/>
    <w:rsid w:val="00DE70CE"/>
    <w:rsid w:val="00DE7B41"/>
    <w:rsid w:val="00DE7FCC"/>
    <w:rsid w:val="00DF1C99"/>
    <w:rsid w:val="00DF43CF"/>
    <w:rsid w:val="00DF7F0D"/>
    <w:rsid w:val="00E01DC1"/>
    <w:rsid w:val="00E02ADC"/>
    <w:rsid w:val="00E02D35"/>
    <w:rsid w:val="00E037DB"/>
    <w:rsid w:val="00E07D47"/>
    <w:rsid w:val="00E10878"/>
    <w:rsid w:val="00E1308C"/>
    <w:rsid w:val="00E14223"/>
    <w:rsid w:val="00E151A4"/>
    <w:rsid w:val="00E1574F"/>
    <w:rsid w:val="00E2027D"/>
    <w:rsid w:val="00E22329"/>
    <w:rsid w:val="00E22A6E"/>
    <w:rsid w:val="00E23BB3"/>
    <w:rsid w:val="00E2772A"/>
    <w:rsid w:val="00E30C91"/>
    <w:rsid w:val="00E3102B"/>
    <w:rsid w:val="00E31056"/>
    <w:rsid w:val="00E3144A"/>
    <w:rsid w:val="00E34FA8"/>
    <w:rsid w:val="00E364E7"/>
    <w:rsid w:val="00E36EAD"/>
    <w:rsid w:val="00E373D2"/>
    <w:rsid w:val="00E37464"/>
    <w:rsid w:val="00E402E3"/>
    <w:rsid w:val="00E4037C"/>
    <w:rsid w:val="00E412F0"/>
    <w:rsid w:val="00E417B3"/>
    <w:rsid w:val="00E4284F"/>
    <w:rsid w:val="00E44417"/>
    <w:rsid w:val="00E537FC"/>
    <w:rsid w:val="00E5454F"/>
    <w:rsid w:val="00E5487F"/>
    <w:rsid w:val="00E60B53"/>
    <w:rsid w:val="00E623B1"/>
    <w:rsid w:val="00E65543"/>
    <w:rsid w:val="00E65B5E"/>
    <w:rsid w:val="00E668A5"/>
    <w:rsid w:val="00E66A5E"/>
    <w:rsid w:val="00E6722D"/>
    <w:rsid w:val="00E705AD"/>
    <w:rsid w:val="00E71E56"/>
    <w:rsid w:val="00E745F7"/>
    <w:rsid w:val="00E75298"/>
    <w:rsid w:val="00E76346"/>
    <w:rsid w:val="00E766A5"/>
    <w:rsid w:val="00E7717B"/>
    <w:rsid w:val="00E80341"/>
    <w:rsid w:val="00E815DE"/>
    <w:rsid w:val="00E82833"/>
    <w:rsid w:val="00E82DDE"/>
    <w:rsid w:val="00E86C6C"/>
    <w:rsid w:val="00E87AC9"/>
    <w:rsid w:val="00E907CE"/>
    <w:rsid w:val="00E918DE"/>
    <w:rsid w:val="00E91EB8"/>
    <w:rsid w:val="00E951B6"/>
    <w:rsid w:val="00E95B54"/>
    <w:rsid w:val="00E9776B"/>
    <w:rsid w:val="00EA0BA5"/>
    <w:rsid w:val="00EA2433"/>
    <w:rsid w:val="00EA2C2A"/>
    <w:rsid w:val="00EA382C"/>
    <w:rsid w:val="00EA4C50"/>
    <w:rsid w:val="00EB1F7B"/>
    <w:rsid w:val="00EB3B4E"/>
    <w:rsid w:val="00EB3F4F"/>
    <w:rsid w:val="00EB533D"/>
    <w:rsid w:val="00EB57A0"/>
    <w:rsid w:val="00EB72A3"/>
    <w:rsid w:val="00EC1156"/>
    <w:rsid w:val="00EC218F"/>
    <w:rsid w:val="00EC2369"/>
    <w:rsid w:val="00EC23E1"/>
    <w:rsid w:val="00EC3227"/>
    <w:rsid w:val="00EC5351"/>
    <w:rsid w:val="00EC5BE5"/>
    <w:rsid w:val="00EC793D"/>
    <w:rsid w:val="00ED0662"/>
    <w:rsid w:val="00ED11E5"/>
    <w:rsid w:val="00ED13A5"/>
    <w:rsid w:val="00ED388E"/>
    <w:rsid w:val="00ED3FFD"/>
    <w:rsid w:val="00ED5C57"/>
    <w:rsid w:val="00ED7347"/>
    <w:rsid w:val="00EE0453"/>
    <w:rsid w:val="00EE0823"/>
    <w:rsid w:val="00EE190A"/>
    <w:rsid w:val="00EE1AC0"/>
    <w:rsid w:val="00EE22CA"/>
    <w:rsid w:val="00EE5FA7"/>
    <w:rsid w:val="00EE6C5F"/>
    <w:rsid w:val="00EF076D"/>
    <w:rsid w:val="00EF1391"/>
    <w:rsid w:val="00EF30E6"/>
    <w:rsid w:val="00EF4E02"/>
    <w:rsid w:val="00EF64E3"/>
    <w:rsid w:val="00F00DF7"/>
    <w:rsid w:val="00F014FE"/>
    <w:rsid w:val="00F04D46"/>
    <w:rsid w:val="00F05940"/>
    <w:rsid w:val="00F05E2D"/>
    <w:rsid w:val="00F109A9"/>
    <w:rsid w:val="00F135EA"/>
    <w:rsid w:val="00F13A92"/>
    <w:rsid w:val="00F15B83"/>
    <w:rsid w:val="00F1615F"/>
    <w:rsid w:val="00F171B3"/>
    <w:rsid w:val="00F208CF"/>
    <w:rsid w:val="00F20B36"/>
    <w:rsid w:val="00F20DED"/>
    <w:rsid w:val="00F21469"/>
    <w:rsid w:val="00F21E85"/>
    <w:rsid w:val="00F225A8"/>
    <w:rsid w:val="00F23329"/>
    <w:rsid w:val="00F247C1"/>
    <w:rsid w:val="00F31BF3"/>
    <w:rsid w:val="00F32C6B"/>
    <w:rsid w:val="00F32E75"/>
    <w:rsid w:val="00F33EBA"/>
    <w:rsid w:val="00F34A18"/>
    <w:rsid w:val="00F40DED"/>
    <w:rsid w:val="00F4396B"/>
    <w:rsid w:val="00F51AD6"/>
    <w:rsid w:val="00F53427"/>
    <w:rsid w:val="00F60134"/>
    <w:rsid w:val="00F608F0"/>
    <w:rsid w:val="00F60FD0"/>
    <w:rsid w:val="00F61ACC"/>
    <w:rsid w:val="00F61F40"/>
    <w:rsid w:val="00F650D7"/>
    <w:rsid w:val="00F661CE"/>
    <w:rsid w:val="00F67346"/>
    <w:rsid w:val="00F70833"/>
    <w:rsid w:val="00F70FBE"/>
    <w:rsid w:val="00F71222"/>
    <w:rsid w:val="00F723D2"/>
    <w:rsid w:val="00F728C1"/>
    <w:rsid w:val="00F73905"/>
    <w:rsid w:val="00F749A7"/>
    <w:rsid w:val="00F76185"/>
    <w:rsid w:val="00F76BD2"/>
    <w:rsid w:val="00F80B10"/>
    <w:rsid w:val="00F81459"/>
    <w:rsid w:val="00F8285F"/>
    <w:rsid w:val="00F85097"/>
    <w:rsid w:val="00F874FC"/>
    <w:rsid w:val="00F9052E"/>
    <w:rsid w:val="00F96D44"/>
    <w:rsid w:val="00FA070A"/>
    <w:rsid w:val="00FA0B26"/>
    <w:rsid w:val="00FA1679"/>
    <w:rsid w:val="00FA1A33"/>
    <w:rsid w:val="00FA34A5"/>
    <w:rsid w:val="00FA3838"/>
    <w:rsid w:val="00FA4683"/>
    <w:rsid w:val="00FA6607"/>
    <w:rsid w:val="00FA68FF"/>
    <w:rsid w:val="00FB1B79"/>
    <w:rsid w:val="00FB1BB8"/>
    <w:rsid w:val="00FB1FCB"/>
    <w:rsid w:val="00FB243D"/>
    <w:rsid w:val="00FB2A14"/>
    <w:rsid w:val="00FB2BE1"/>
    <w:rsid w:val="00FB4217"/>
    <w:rsid w:val="00FB61E3"/>
    <w:rsid w:val="00FB6543"/>
    <w:rsid w:val="00FB6792"/>
    <w:rsid w:val="00FC0621"/>
    <w:rsid w:val="00FC0AC2"/>
    <w:rsid w:val="00FC12BF"/>
    <w:rsid w:val="00FC204E"/>
    <w:rsid w:val="00FC3A34"/>
    <w:rsid w:val="00FC5ABF"/>
    <w:rsid w:val="00FC5F79"/>
    <w:rsid w:val="00FC6DEA"/>
    <w:rsid w:val="00FD056E"/>
    <w:rsid w:val="00FD1C81"/>
    <w:rsid w:val="00FD3C93"/>
    <w:rsid w:val="00FD44CF"/>
    <w:rsid w:val="00FD4C06"/>
    <w:rsid w:val="00FD5177"/>
    <w:rsid w:val="00FD61F0"/>
    <w:rsid w:val="00FE13FD"/>
    <w:rsid w:val="00FE2971"/>
    <w:rsid w:val="00FE2A23"/>
    <w:rsid w:val="00FE4072"/>
    <w:rsid w:val="00FE4E93"/>
    <w:rsid w:val="00FF0CF5"/>
    <w:rsid w:val="00FF3764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BF1EAC6"/>
  <w15:chartTrackingRefBased/>
  <w15:docId w15:val="{3B6CC082-F282-479E-808F-D8B32A56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81"/>
    <w:pPr>
      <w:spacing w:line="300" w:lineRule="auto"/>
    </w:pPr>
    <w:rPr>
      <w:rFonts w:cstheme="majorHAns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961"/>
    <w:pPr>
      <w:spacing w:after="480"/>
      <w:outlineLvl w:val="0"/>
    </w:pPr>
    <w:rPr>
      <w:rFonts w:asciiTheme="majorHAnsi" w:hAnsiTheme="majorHAnsi"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34A18"/>
    <w:pPr>
      <w:spacing w:before="360" w:after="160"/>
      <w:contextualSpacing/>
      <w:outlineLvl w:val="1"/>
    </w:pPr>
    <w:rPr>
      <w:rFonts w:asciiTheme="minorHAnsi" w:hAnsiTheme="minorHAnsi" w:cstheme="minorHAnsi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A18"/>
    <w:rPr>
      <w:rFonts w:cstheme="minorHAns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5961"/>
    <w:rPr>
      <w:rFonts w:asciiTheme="majorHAnsi" w:hAnsiTheme="majorHAnsi" w:cstheme="majorHAnsi"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45688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688"/>
    <w:rPr>
      <w:rFonts w:asciiTheme="majorHAnsi" w:eastAsiaTheme="majorEastAsia" w:hAnsiTheme="majorHAnsi" w:cstheme="majorHAnsi"/>
      <w:color w:val="000000" w:themeColor="text1"/>
      <w:spacing w:val="-10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EE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1F5D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402D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64D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4D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4DA6"/>
    <w:rPr>
      <w:rFonts w:cstheme="majorHAns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A6"/>
    <w:rPr>
      <w:rFonts w:cstheme="majorHAnsi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6E"/>
    <w:rPr>
      <w:rFonts w:cs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31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6E"/>
    <w:rPr>
      <w:rFonts w:cstheme="majorHAnsi"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31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31E6"/>
    <w:rPr>
      <w:rFonts w:cstheme="majorHAnsi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631E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60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2A4E"/>
    <w:pPr>
      <w:spacing w:after="6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574F-E971-4177-88CA-E36B52D4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10650</TotalTime>
  <Pages>17</Pages>
  <Words>4651</Words>
  <Characters>24512</Characters>
  <Application>Microsoft Office Word</Application>
  <DocSecurity>0</DocSecurity>
  <Lines>1634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Williamson</dc:creator>
  <cp:keywords/>
  <dc:description/>
  <cp:lastModifiedBy>Nate Williamson</cp:lastModifiedBy>
  <cp:revision>1459</cp:revision>
  <cp:lastPrinted>2023-03-27T13:47:00Z</cp:lastPrinted>
  <dcterms:created xsi:type="dcterms:W3CDTF">2023-02-14T06:51:00Z</dcterms:created>
  <dcterms:modified xsi:type="dcterms:W3CDTF">2023-03-27T13:47:00Z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0e3cd0f89945c23997dc6fbff90355c2a7bb45844e21675758fa4319307012c6</vt:lpwstr>
  </property>
</Properties>
</file>