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89955" w14:textId="37E62E62" w:rsidR="00596D6D" w:rsidRPr="008F1B55" w:rsidRDefault="00315997" w:rsidP="008F1B55">
      <w:pPr>
        <w:jc w:val="both"/>
        <w:rPr>
          <w:b/>
          <w:bCs/>
          <w:sz w:val="32"/>
          <w:szCs w:val="32"/>
        </w:rPr>
      </w:pPr>
      <w:r w:rsidRPr="008F1B55">
        <w:rPr>
          <w:b/>
          <w:bCs/>
          <w:sz w:val="32"/>
          <w:szCs w:val="32"/>
        </w:rPr>
        <w:t>Relatório</w:t>
      </w:r>
      <w:r w:rsidR="008F1B55" w:rsidRPr="008F1B55">
        <w:rPr>
          <w:b/>
          <w:bCs/>
          <w:sz w:val="32"/>
          <w:szCs w:val="32"/>
        </w:rPr>
        <w:t xml:space="preserve"> TCC Portal Etec – 16/04/2026 - 3DA</w:t>
      </w:r>
    </w:p>
    <w:p w14:paraId="2C0E52CC" w14:textId="21C54FD4" w:rsidR="008F1B55" w:rsidRDefault="008F1B55" w:rsidP="008F1B55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Integrantes: </w:t>
      </w:r>
      <w:r>
        <w:rPr>
          <w:sz w:val="28"/>
          <w:szCs w:val="28"/>
        </w:rPr>
        <w:t xml:space="preserve">Davi </w:t>
      </w:r>
      <w:proofErr w:type="spellStart"/>
      <w:r>
        <w:rPr>
          <w:sz w:val="28"/>
          <w:szCs w:val="28"/>
        </w:rPr>
        <w:t>Furigo</w:t>
      </w:r>
      <w:proofErr w:type="spellEnd"/>
      <w:r>
        <w:rPr>
          <w:sz w:val="28"/>
          <w:szCs w:val="28"/>
        </w:rPr>
        <w:t xml:space="preserve">, Felipe </w:t>
      </w:r>
      <w:proofErr w:type="spellStart"/>
      <w:r>
        <w:rPr>
          <w:sz w:val="28"/>
          <w:szCs w:val="28"/>
        </w:rPr>
        <w:t>Yuji</w:t>
      </w:r>
      <w:proofErr w:type="spellEnd"/>
      <w:r>
        <w:rPr>
          <w:sz w:val="28"/>
          <w:szCs w:val="28"/>
        </w:rPr>
        <w:t>, Gustavo Lopez, Pedro Custódio, Samuel Lírio</w:t>
      </w:r>
    </w:p>
    <w:p w14:paraId="3107C364" w14:textId="77777777" w:rsidR="008F1B55" w:rsidRPr="008F1B55" w:rsidRDefault="008F1B55" w:rsidP="008F1B55">
      <w:pPr>
        <w:jc w:val="both"/>
        <w:rPr>
          <w:sz w:val="28"/>
          <w:szCs w:val="28"/>
        </w:rPr>
      </w:pPr>
    </w:p>
    <w:p w14:paraId="5492A98D" w14:textId="11DF9FAF" w:rsidR="00315997" w:rsidRPr="008F1B55" w:rsidRDefault="008F1B55" w:rsidP="008F1B55">
      <w:pPr>
        <w:jc w:val="both"/>
        <w:rPr>
          <w:b/>
          <w:bCs/>
          <w:sz w:val="32"/>
          <w:szCs w:val="32"/>
        </w:rPr>
      </w:pPr>
      <w:r w:rsidRPr="008F1B55">
        <w:rPr>
          <w:b/>
          <w:bCs/>
          <w:sz w:val="32"/>
          <w:szCs w:val="32"/>
        </w:rPr>
        <w:t>Cores</w:t>
      </w:r>
      <w:r w:rsidR="00315997" w:rsidRPr="008F1B55">
        <w:rPr>
          <w:b/>
          <w:bCs/>
          <w:sz w:val="32"/>
          <w:szCs w:val="32"/>
        </w:rPr>
        <w:t>:</w:t>
      </w:r>
    </w:p>
    <w:p w14:paraId="44784A78" w14:textId="492A4533" w:rsidR="008F1B55" w:rsidRPr="008F1B55" w:rsidRDefault="00315997" w:rsidP="008F1B55">
      <w:pPr>
        <w:pStyle w:val="PargrafodaLista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8F1B55">
        <w:rPr>
          <w:b/>
          <w:bCs/>
          <w:sz w:val="28"/>
          <w:szCs w:val="28"/>
        </w:rPr>
        <w:t>Cor de fundo primária:</w:t>
      </w:r>
      <w:r w:rsidR="008F1B55" w:rsidRPr="008F1B55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8F1B55">
        <w:rPr>
          <w:b/>
          <w:bCs/>
          <w:sz w:val="28"/>
          <w:szCs w:val="28"/>
        </w:rPr>
        <w:t>hsl</w:t>
      </w:r>
      <w:proofErr w:type="spellEnd"/>
      <w:r w:rsidRPr="008F1B55">
        <w:rPr>
          <w:b/>
          <w:bCs/>
          <w:sz w:val="28"/>
          <w:szCs w:val="28"/>
        </w:rPr>
        <w:t>(</w:t>
      </w:r>
      <w:proofErr w:type="gramEnd"/>
      <w:r w:rsidRPr="008F1B55">
        <w:rPr>
          <w:b/>
          <w:bCs/>
          <w:sz w:val="28"/>
          <w:szCs w:val="28"/>
        </w:rPr>
        <w:t>73, 69%, 97%)</w:t>
      </w:r>
    </w:p>
    <w:p w14:paraId="11B46C52" w14:textId="38648AF9" w:rsidR="00315997" w:rsidRPr="008F1B55" w:rsidRDefault="008F1B55" w:rsidP="008F1B55">
      <w:pPr>
        <w:pStyle w:val="PargrafodaLista"/>
        <w:numPr>
          <w:ilvl w:val="1"/>
          <w:numId w:val="1"/>
        </w:numPr>
        <w:jc w:val="both"/>
        <w:rPr>
          <w:sz w:val="28"/>
          <w:szCs w:val="28"/>
        </w:rPr>
      </w:pPr>
      <w:r w:rsidRPr="008F1B55">
        <w:rPr>
          <w:sz w:val="28"/>
          <w:szCs w:val="28"/>
        </w:rPr>
        <w:t>F</w:t>
      </w:r>
      <w:r w:rsidR="00315997" w:rsidRPr="008F1B55">
        <w:rPr>
          <w:sz w:val="28"/>
          <w:szCs w:val="28"/>
        </w:rPr>
        <w:t xml:space="preserve">undo branco levemente </w:t>
      </w:r>
      <w:r w:rsidRPr="008F1B55">
        <w:rPr>
          <w:sz w:val="28"/>
          <w:szCs w:val="28"/>
        </w:rPr>
        <w:t>amarelado. C</w:t>
      </w:r>
      <w:r w:rsidR="00315997" w:rsidRPr="008F1B55">
        <w:rPr>
          <w:sz w:val="28"/>
          <w:szCs w:val="28"/>
        </w:rPr>
        <w:t>or branco damasco.</w:t>
      </w:r>
    </w:p>
    <w:p w14:paraId="11588F82" w14:textId="595E8EB3" w:rsidR="008F1B55" w:rsidRPr="008F1B55" w:rsidRDefault="00315997" w:rsidP="008F1B55">
      <w:pPr>
        <w:pStyle w:val="PargrafodaLista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8F1B55">
        <w:rPr>
          <w:b/>
          <w:bCs/>
          <w:sz w:val="28"/>
          <w:szCs w:val="28"/>
        </w:rPr>
        <w:t>Cor de fundo secundária:</w:t>
      </w:r>
      <w:r w:rsidR="008F1B55" w:rsidRPr="008F1B55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8F1B55">
        <w:rPr>
          <w:b/>
          <w:bCs/>
          <w:sz w:val="28"/>
          <w:szCs w:val="28"/>
        </w:rPr>
        <w:t>hsl</w:t>
      </w:r>
      <w:proofErr w:type="spellEnd"/>
      <w:r w:rsidRPr="008F1B55">
        <w:rPr>
          <w:b/>
          <w:bCs/>
          <w:sz w:val="28"/>
          <w:szCs w:val="28"/>
        </w:rPr>
        <w:t>(</w:t>
      </w:r>
      <w:proofErr w:type="gramEnd"/>
      <w:r w:rsidRPr="008F1B55">
        <w:rPr>
          <w:b/>
          <w:bCs/>
          <w:sz w:val="28"/>
          <w:szCs w:val="28"/>
        </w:rPr>
        <w:t>260, 69%, 97%)</w:t>
      </w:r>
    </w:p>
    <w:p w14:paraId="4DA30097" w14:textId="22CAC3CC" w:rsidR="00315997" w:rsidRPr="008F1B55" w:rsidRDefault="008F1B55" w:rsidP="008F1B55">
      <w:pPr>
        <w:pStyle w:val="PargrafodaLista"/>
        <w:numPr>
          <w:ilvl w:val="1"/>
          <w:numId w:val="1"/>
        </w:numPr>
        <w:jc w:val="both"/>
        <w:rPr>
          <w:sz w:val="28"/>
          <w:szCs w:val="28"/>
        </w:rPr>
      </w:pPr>
      <w:r w:rsidRPr="008F1B55">
        <w:rPr>
          <w:sz w:val="28"/>
          <w:szCs w:val="28"/>
        </w:rPr>
        <w:t>F</w:t>
      </w:r>
      <w:r w:rsidR="00315997" w:rsidRPr="008F1B55">
        <w:rPr>
          <w:sz w:val="28"/>
          <w:szCs w:val="28"/>
        </w:rPr>
        <w:t>undo branco levemente azulado</w:t>
      </w:r>
      <w:r w:rsidRPr="008F1B55">
        <w:rPr>
          <w:sz w:val="28"/>
          <w:szCs w:val="28"/>
        </w:rPr>
        <w:t>. C</w:t>
      </w:r>
      <w:r w:rsidR="00315997" w:rsidRPr="008F1B55">
        <w:rPr>
          <w:sz w:val="28"/>
          <w:szCs w:val="28"/>
        </w:rPr>
        <w:t>or branco gelo.</w:t>
      </w:r>
    </w:p>
    <w:p w14:paraId="100F8D0B" w14:textId="77777777" w:rsidR="008F1B55" w:rsidRPr="008F1B55" w:rsidRDefault="00315997" w:rsidP="008F1B55">
      <w:pPr>
        <w:pStyle w:val="PargrafodaLista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8F1B55">
        <w:rPr>
          <w:b/>
          <w:bCs/>
          <w:sz w:val="28"/>
          <w:szCs w:val="28"/>
        </w:rPr>
        <w:t xml:space="preserve">Borda simples: </w:t>
      </w:r>
      <w:proofErr w:type="spellStart"/>
      <w:proofErr w:type="gramStart"/>
      <w:r w:rsidRPr="008F1B55">
        <w:rPr>
          <w:b/>
          <w:bCs/>
          <w:sz w:val="28"/>
          <w:szCs w:val="28"/>
        </w:rPr>
        <w:t>hsl</w:t>
      </w:r>
      <w:proofErr w:type="spellEnd"/>
      <w:r w:rsidRPr="008F1B55">
        <w:rPr>
          <w:b/>
          <w:bCs/>
          <w:sz w:val="28"/>
          <w:szCs w:val="28"/>
        </w:rPr>
        <w:t>(</w:t>
      </w:r>
      <w:proofErr w:type="gramEnd"/>
      <w:r w:rsidRPr="008F1B55">
        <w:rPr>
          <w:b/>
          <w:bCs/>
          <w:sz w:val="28"/>
          <w:szCs w:val="28"/>
        </w:rPr>
        <w:t>0, 0%, 88%)</w:t>
      </w:r>
    </w:p>
    <w:p w14:paraId="314F663B" w14:textId="7BF1F4DF" w:rsidR="00315997" w:rsidRPr="008F1B55" w:rsidRDefault="008F1B55" w:rsidP="008F1B55">
      <w:pPr>
        <w:pStyle w:val="PargrafodaLista"/>
        <w:numPr>
          <w:ilvl w:val="1"/>
          <w:numId w:val="1"/>
        </w:numPr>
        <w:jc w:val="both"/>
        <w:rPr>
          <w:b/>
          <w:bCs/>
          <w:sz w:val="28"/>
          <w:szCs w:val="28"/>
        </w:rPr>
      </w:pPr>
      <w:r w:rsidRPr="008F1B55">
        <w:rPr>
          <w:sz w:val="28"/>
          <w:szCs w:val="28"/>
        </w:rPr>
        <w:t>B</w:t>
      </w:r>
      <w:r w:rsidR="00315997" w:rsidRPr="008F1B55">
        <w:rPr>
          <w:sz w:val="28"/>
          <w:szCs w:val="28"/>
        </w:rPr>
        <w:t>orda cinza comum.</w:t>
      </w:r>
      <w:r w:rsidRPr="008F1B55">
        <w:rPr>
          <w:sz w:val="28"/>
          <w:szCs w:val="28"/>
        </w:rPr>
        <w:t xml:space="preserve"> C</w:t>
      </w:r>
      <w:r w:rsidR="00315997" w:rsidRPr="008F1B55">
        <w:rPr>
          <w:sz w:val="28"/>
          <w:szCs w:val="28"/>
        </w:rPr>
        <w:t>inza neutro.</w:t>
      </w:r>
    </w:p>
    <w:p w14:paraId="26EA1E3A" w14:textId="77777777" w:rsidR="008F1B55" w:rsidRPr="008F1B55" w:rsidRDefault="00315997" w:rsidP="008F1B55">
      <w:pPr>
        <w:pStyle w:val="PargrafodaLista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8F1B55">
        <w:rPr>
          <w:b/>
          <w:bCs/>
          <w:sz w:val="28"/>
          <w:szCs w:val="28"/>
        </w:rPr>
        <w:t xml:space="preserve">Cor de destaque: </w:t>
      </w:r>
      <w:proofErr w:type="spellStart"/>
      <w:proofErr w:type="gramStart"/>
      <w:r w:rsidRPr="008F1B55">
        <w:rPr>
          <w:b/>
          <w:bCs/>
          <w:sz w:val="28"/>
          <w:szCs w:val="28"/>
        </w:rPr>
        <w:t>hsl</w:t>
      </w:r>
      <w:proofErr w:type="spellEnd"/>
      <w:r w:rsidRPr="008F1B55">
        <w:rPr>
          <w:b/>
          <w:bCs/>
          <w:sz w:val="28"/>
          <w:szCs w:val="28"/>
        </w:rPr>
        <w:t>(</w:t>
      </w:r>
      <w:proofErr w:type="gramEnd"/>
      <w:r w:rsidRPr="008F1B55">
        <w:rPr>
          <w:b/>
          <w:bCs/>
          <w:sz w:val="28"/>
          <w:szCs w:val="28"/>
        </w:rPr>
        <w:t>203, 85%, 44%)</w:t>
      </w:r>
    </w:p>
    <w:p w14:paraId="155BD64A" w14:textId="566101C5" w:rsidR="00315997" w:rsidRPr="008F1B55" w:rsidRDefault="00315997" w:rsidP="008F1B55">
      <w:pPr>
        <w:pStyle w:val="PargrafodaLista"/>
        <w:numPr>
          <w:ilvl w:val="1"/>
          <w:numId w:val="1"/>
        </w:numPr>
        <w:jc w:val="both"/>
        <w:rPr>
          <w:sz w:val="28"/>
          <w:szCs w:val="28"/>
        </w:rPr>
      </w:pPr>
      <w:r w:rsidRPr="008F1B55">
        <w:rPr>
          <w:sz w:val="28"/>
          <w:szCs w:val="28"/>
        </w:rPr>
        <w:t>Cor para destacar.</w:t>
      </w:r>
      <w:r w:rsidR="008F1B55" w:rsidRPr="008F1B55">
        <w:rPr>
          <w:sz w:val="28"/>
          <w:szCs w:val="28"/>
        </w:rPr>
        <w:t xml:space="preserve"> A</w:t>
      </w:r>
      <w:r w:rsidRPr="008F1B55">
        <w:rPr>
          <w:sz w:val="28"/>
          <w:szCs w:val="28"/>
        </w:rPr>
        <w:t>zul vibrante.</w:t>
      </w:r>
    </w:p>
    <w:p w14:paraId="7F3881FC" w14:textId="77777777" w:rsidR="00315997" w:rsidRPr="00315997" w:rsidRDefault="00315997" w:rsidP="008F1B55">
      <w:pPr>
        <w:jc w:val="both"/>
        <w:rPr>
          <w:b/>
          <w:bCs/>
          <w:sz w:val="28"/>
          <w:szCs w:val="28"/>
        </w:rPr>
      </w:pPr>
    </w:p>
    <w:p w14:paraId="35DFAE16" w14:textId="77777777" w:rsidR="00315997" w:rsidRPr="008F1B55" w:rsidRDefault="00315997" w:rsidP="008F1B55">
      <w:pPr>
        <w:ind w:firstLine="708"/>
        <w:jc w:val="both"/>
        <w:rPr>
          <w:sz w:val="28"/>
          <w:szCs w:val="28"/>
        </w:rPr>
      </w:pPr>
      <w:r w:rsidRPr="008F1B55">
        <w:rPr>
          <w:sz w:val="28"/>
          <w:szCs w:val="28"/>
        </w:rPr>
        <w:t>A definição das cores do site foi baseada em princípios de psicologia das cores, usabilidade e harmonia visual, com o objetivo de criar um ambiente agradável, acessível e propício ao aprendizado.</w:t>
      </w:r>
    </w:p>
    <w:p w14:paraId="6126607A" w14:textId="77777777" w:rsidR="00315997" w:rsidRPr="008F1B55" w:rsidRDefault="00315997" w:rsidP="008F1B55">
      <w:pPr>
        <w:ind w:firstLine="708"/>
        <w:jc w:val="both"/>
        <w:rPr>
          <w:sz w:val="28"/>
          <w:szCs w:val="28"/>
        </w:rPr>
      </w:pPr>
      <w:r w:rsidRPr="008F1B55">
        <w:rPr>
          <w:sz w:val="28"/>
          <w:szCs w:val="28"/>
        </w:rPr>
        <w:t>As cores influenciam diretamente a forma como os usuários percebem e interagem com uma interface. Em ambientes educacionais, é essencial priorizar: concentração, conforto visual, sensação de confiança e clareza na leitura.</w:t>
      </w:r>
    </w:p>
    <w:p w14:paraId="18500409" w14:textId="77777777" w:rsidR="00315997" w:rsidRPr="008F1B55" w:rsidRDefault="00315997" w:rsidP="008F1B55">
      <w:pPr>
        <w:jc w:val="both"/>
        <w:rPr>
          <w:sz w:val="28"/>
          <w:szCs w:val="28"/>
        </w:rPr>
      </w:pPr>
    </w:p>
    <w:p w14:paraId="2CB5DB55" w14:textId="490D8444" w:rsidR="00315997" w:rsidRPr="008F1B55" w:rsidRDefault="008F1B55" w:rsidP="008F1B55">
      <w:pPr>
        <w:jc w:val="both"/>
        <w:rPr>
          <w:b/>
          <w:bCs/>
          <w:sz w:val="28"/>
          <w:szCs w:val="28"/>
        </w:rPr>
      </w:pPr>
      <w:r w:rsidRPr="008F1B55">
        <w:rPr>
          <w:b/>
          <w:bCs/>
          <w:sz w:val="28"/>
          <w:szCs w:val="28"/>
        </w:rPr>
        <w:t>Cores de Fundo</w:t>
      </w:r>
    </w:p>
    <w:p w14:paraId="57AC2378" w14:textId="043445DB" w:rsidR="00315997" w:rsidRPr="008F1B55" w:rsidRDefault="00315997" w:rsidP="008F1B55">
      <w:pPr>
        <w:ind w:firstLine="708"/>
        <w:jc w:val="both"/>
        <w:rPr>
          <w:sz w:val="28"/>
          <w:szCs w:val="28"/>
        </w:rPr>
      </w:pPr>
      <w:r w:rsidRPr="008F1B55">
        <w:rPr>
          <w:sz w:val="28"/>
          <w:szCs w:val="28"/>
        </w:rPr>
        <w:t xml:space="preserve">Tons claros e suaves, utilizam tons próximos do branco, com leves variações de matiz. Pois mantêm o layout limpo e organizado, reduzem a fadiga visual em longos períodos de uso, </w:t>
      </w:r>
      <w:r w:rsidR="008F1B55">
        <w:rPr>
          <w:sz w:val="28"/>
          <w:szCs w:val="28"/>
        </w:rPr>
        <w:t>c</w:t>
      </w:r>
      <w:r w:rsidRPr="008F1B55">
        <w:rPr>
          <w:sz w:val="28"/>
          <w:szCs w:val="28"/>
        </w:rPr>
        <w:t>riam uma hierarquia sutil entre seções sem distrair o usuário e tons levemente quentes e frios equilibram a interface, evitando monotonia.</w:t>
      </w:r>
    </w:p>
    <w:p w14:paraId="5DB8521D" w14:textId="222BF283" w:rsidR="00315997" w:rsidRPr="008F1B55" w:rsidRDefault="008F1B55" w:rsidP="008F1B55">
      <w:pPr>
        <w:jc w:val="both"/>
        <w:rPr>
          <w:b/>
          <w:bCs/>
          <w:sz w:val="28"/>
          <w:szCs w:val="28"/>
        </w:rPr>
      </w:pPr>
      <w:r w:rsidRPr="008F1B55">
        <w:rPr>
          <w:b/>
          <w:bCs/>
          <w:sz w:val="28"/>
          <w:szCs w:val="28"/>
        </w:rPr>
        <w:t>Bordas</w:t>
      </w:r>
    </w:p>
    <w:p w14:paraId="2F639284" w14:textId="77777777" w:rsidR="008F1B55" w:rsidRDefault="00315997" w:rsidP="008F1B55">
      <w:pPr>
        <w:ind w:firstLine="708"/>
        <w:jc w:val="both"/>
        <w:rPr>
          <w:sz w:val="28"/>
          <w:szCs w:val="28"/>
        </w:rPr>
      </w:pPr>
      <w:r w:rsidRPr="008F1B55">
        <w:rPr>
          <w:sz w:val="28"/>
          <w:szCs w:val="28"/>
        </w:rPr>
        <w:t>Bordas neutras. Pois o uso de cinza neutro garante separação visual sem poluir o design, evita contrastes agressivos e mantém o foco no conteúdo, que é o elemento principal em um site educacional.</w:t>
      </w:r>
    </w:p>
    <w:p w14:paraId="24E2AF05" w14:textId="03680A88" w:rsidR="00315997" w:rsidRPr="008F1B55" w:rsidRDefault="008F1B55" w:rsidP="008F1B55">
      <w:pPr>
        <w:jc w:val="both"/>
        <w:rPr>
          <w:b/>
          <w:bCs/>
          <w:sz w:val="28"/>
          <w:szCs w:val="28"/>
        </w:rPr>
      </w:pPr>
      <w:r w:rsidRPr="008F1B55">
        <w:rPr>
          <w:b/>
          <w:bCs/>
          <w:sz w:val="28"/>
          <w:szCs w:val="28"/>
        </w:rPr>
        <w:lastRenderedPageBreak/>
        <w:t>Cor de Destaque</w:t>
      </w:r>
    </w:p>
    <w:p w14:paraId="518B8DC9" w14:textId="77777777" w:rsidR="00315997" w:rsidRPr="008F1B55" w:rsidRDefault="00315997" w:rsidP="008F1B55">
      <w:pPr>
        <w:ind w:firstLine="708"/>
        <w:jc w:val="both"/>
        <w:rPr>
          <w:sz w:val="28"/>
          <w:szCs w:val="28"/>
        </w:rPr>
      </w:pPr>
      <w:r w:rsidRPr="008F1B55">
        <w:rPr>
          <w:sz w:val="28"/>
          <w:szCs w:val="28"/>
        </w:rPr>
        <w:t>O azul foi escolhido como cor principal de destaque. Pois transmite confiança, segurança e credibilidade, fundamentais em ambientes educacionais, favorece a concentração, por ser uma cor fria, cria contraste suficiente com o fundo claro, destacando elementos importantes (botões, links, ações) e é amplamente aceito e bem interpretado em diferentes culturas.</w:t>
      </w:r>
    </w:p>
    <w:p w14:paraId="4E750D2D" w14:textId="717B4579" w:rsidR="00315997" w:rsidRPr="008F1B55" w:rsidRDefault="008F1B55" w:rsidP="008F1B55">
      <w:pPr>
        <w:jc w:val="both"/>
        <w:rPr>
          <w:b/>
          <w:bCs/>
          <w:sz w:val="28"/>
          <w:szCs w:val="28"/>
        </w:rPr>
      </w:pPr>
      <w:r w:rsidRPr="008F1B55">
        <w:rPr>
          <w:b/>
          <w:bCs/>
          <w:sz w:val="28"/>
          <w:szCs w:val="28"/>
        </w:rPr>
        <w:t>Harmonia da Paleta</w:t>
      </w:r>
    </w:p>
    <w:p w14:paraId="1122D189" w14:textId="29345425" w:rsidR="00315997" w:rsidRPr="008F1B55" w:rsidRDefault="00315997" w:rsidP="008F1B55">
      <w:pPr>
        <w:ind w:firstLine="708"/>
        <w:jc w:val="both"/>
        <w:rPr>
          <w:sz w:val="28"/>
          <w:szCs w:val="28"/>
        </w:rPr>
      </w:pPr>
      <w:r w:rsidRPr="008F1B55">
        <w:rPr>
          <w:sz w:val="28"/>
          <w:szCs w:val="28"/>
        </w:rPr>
        <w:t xml:space="preserve">A harmonia foi construída a partir de: base neutra clara (fundos), cores suaves de apoio (variações de fundo), uma cor de destaque forte (azul), esse modelo segue o princípio de "menos é mais" no design educacional. </w:t>
      </w:r>
      <w:r w:rsidR="008F1B55">
        <w:rPr>
          <w:sz w:val="28"/>
          <w:szCs w:val="28"/>
        </w:rPr>
        <w:t xml:space="preserve"> </w:t>
      </w:r>
      <w:r w:rsidRPr="008F1B55">
        <w:rPr>
          <w:sz w:val="28"/>
          <w:szCs w:val="28"/>
        </w:rPr>
        <w:t>Isso garante: Interface consistente, navegação intuitiva e menor sobrecarga cognitiva.</w:t>
      </w:r>
    </w:p>
    <w:p w14:paraId="7FCD2ED6" w14:textId="77777777" w:rsidR="00315997" w:rsidRPr="008F1B55" w:rsidRDefault="00315997" w:rsidP="008F1B55">
      <w:pPr>
        <w:ind w:firstLine="708"/>
        <w:jc w:val="both"/>
        <w:rPr>
          <w:sz w:val="28"/>
          <w:szCs w:val="28"/>
        </w:rPr>
      </w:pPr>
      <w:r w:rsidRPr="008F1B55">
        <w:rPr>
          <w:sz w:val="28"/>
          <w:szCs w:val="28"/>
        </w:rPr>
        <w:t>Portanto, A paleta foi escolhida para equilibrar estética e funcionalidade, utilizando cores suaves para conforto visual e um azul vibrante para guiar a interação do usuário. Essa combinação cria um ambiente confiável, moderno e adequado para aprendizagem.</w:t>
      </w:r>
    </w:p>
    <w:p w14:paraId="28B71E2D" w14:textId="77777777" w:rsidR="008F1B55" w:rsidRDefault="008F1B55" w:rsidP="008F1B55">
      <w:pPr>
        <w:jc w:val="both"/>
        <w:rPr>
          <w:sz w:val="28"/>
          <w:szCs w:val="28"/>
        </w:rPr>
      </w:pPr>
    </w:p>
    <w:p w14:paraId="626FF9FA" w14:textId="165D2E76" w:rsidR="008F1B55" w:rsidRDefault="008F1B55" w:rsidP="008F1B55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Layout Inicial do Site</w:t>
      </w:r>
    </w:p>
    <w:p w14:paraId="394F8F65" w14:textId="13213575" w:rsidR="00203BDB" w:rsidRDefault="00203BDB" w:rsidP="008F1B55">
      <w:pPr>
        <w:jc w:val="both"/>
        <w:rPr>
          <w:b/>
          <w:bCs/>
          <w:sz w:val="32"/>
          <w:szCs w:val="32"/>
        </w:rPr>
      </w:pPr>
      <w:r w:rsidRPr="00203BDB">
        <w:rPr>
          <w:b/>
          <w:bCs/>
          <w:sz w:val="32"/>
          <w:szCs w:val="32"/>
        </w:rPr>
        <w:drawing>
          <wp:inline distT="0" distB="0" distL="0" distR="0" wp14:anchorId="7C0C7928" wp14:editId="253AF95A">
            <wp:extent cx="6188710" cy="2954020"/>
            <wp:effectExtent l="0" t="0" r="2540" b="0"/>
            <wp:docPr id="17027939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93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EB2D2" w14:textId="77777777" w:rsidR="00203BDB" w:rsidRDefault="00203BDB" w:rsidP="008F1B55">
      <w:pPr>
        <w:jc w:val="both"/>
        <w:rPr>
          <w:sz w:val="28"/>
          <w:szCs w:val="28"/>
        </w:rPr>
      </w:pPr>
    </w:p>
    <w:p w14:paraId="01558C01" w14:textId="77777777" w:rsidR="00203BDB" w:rsidRDefault="00203BDB" w:rsidP="008F1B55">
      <w:pPr>
        <w:jc w:val="both"/>
        <w:rPr>
          <w:sz w:val="28"/>
          <w:szCs w:val="28"/>
        </w:rPr>
      </w:pPr>
    </w:p>
    <w:p w14:paraId="4EBB53E9" w14:textId="6C6B4E48" w:rsidR="00203BDB" w:rsidRDefault="00203BDB" w:rsidP="008F1B55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Vestimenta do Grupo</w:t>
      </w:r>
    </w:p>
    <w:p w14:paraId="7EBA549B" w14:textId="45DE3206" w:rsidR="00203BDB" w:rsidRPr="00203BDB" w:rsidRDefault="00203BDB" w:rsidP="008F1B55">
      <w:pPr>
        <w:jc w:val="both"/>
        <w:rPr>
          <w:sz w:val="28"/>
          <w:szCs w:val="28"/>
        </w:rPr>
      </w:pPr>
      <w:r>
        <w:rPr>
          <w:sz w:val="28"/>
          <w:szCs w:val="28"/>
        </w:rPr>
        <w:t>Paleta geral: Todos vestidos de calças de cor preta. Um trio vestido de camisa social</w:t>
      </w:r>
      <w:r w:rsidR="00086724">
        <w:rPr>
          <w:sz w:val="28"/>
          <w:szCs w:val="28"/>
        </w:rPr>
        <w:t xml:space="preserve"> preta</w:t>
      </w:r>
      <w:r>
        <w:rPr>
          <w:sz w:val="28"/>
          <w:szCs w:val="28"/>
        </w:rPr>
        <w:t xml:space="preserve"> e uma dupla vestida de </w:t>
      </w:r>
      <w:r w:rsidR="00086724">
        <w:rPr>
          <w:sz w:val="28"/>
          <w:szCs w:val="28"/>
        </w:rPr>
        <w:t>camisa polo preta.</w:t>
      </w:r>
    </w:p>
    <w:sectPr w:rsidR="00203BDB" w:rsidRPr="00203BDB" w:rsidSect="00315997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A0CD3"/>
    <w:multiLevelType w:val="hybridMultilevel"/>
    <w:tmpl w:val="519E75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1580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997"/>
    <w:rsid w:val="00086724"/>
    <w:rsid w:val="00203BDB"/>
    <w:rsid w:val="00315997"/>
    <w:rsid w:val="004D6299"/>
    <w:rsid w:val="00596D6D"/>
    <w:rsid w:val="008F1B55"/>
    <w:rsid w:val="00B32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D65A0"/>
  <w15:chartTrackingRefBased/>
  <w15:docId w15:val="{83DCF12A-E015-43C8-90A2-CAE639F9E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15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15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15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15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15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15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15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15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15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15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15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15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159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159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159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159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159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159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15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15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15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15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15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159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159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159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15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159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15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1659</TotalTime>
  <Pages>3</Pages>
  <Words>398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</dc:creator>
  <cp:keywords/>
  <dc:description/>
  <cp:lastModifiedBy>Pedro Henrique</cp:lastModifiedBy>
  <cp:revision>1</cp:revision>
  <dcterms:created xsi:type="dcterms:W3CDTF">2026-04-16T12:17:00Z</dcterms:created>
  <dcterms:modified xsi:type="dcterms:W3CDTF">2026-04-17T15:57:00Z</dcterms:modified>
</cp:coreProperties>
</file>