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w:t>
      </w:r>
      <w:bookmarkStart w:id="1" w:name="_GoBack"/>
      <w:bookmarkEnd w:id="1"/>
      <w:r w:rsidRPr="002D33E8">
        <w:rPr>
          <w:rFonts w:ascii="Times New Roman" w:hAnsi="Times New Roman"/>
          <w:color w:val="31849B"/>
          <w:sz w:val="28"/>
          <w:szCs w:val="28"/>
          <w:lang w:val="ru-RU"/>
        </w:rPr>
        <w:t xml:space="preserve">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rsidP="00AA1554">
      <w:pPr>
        <w:spacing w:after="0" w:line="360" w:lineRule="auto"/>
        <w:jc w:val="center"/>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rsidP="00AA1554">
      <w:pPr>
        <w:spacing w:after="0"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rsidP="00AA1554">
      <w:pPr>
        <w:spacing w:after="0"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rsidP="00AA1554">
      <w:pPr>
        <w:spacing w:after="0"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FD1F63">
        <w:rPr>
          <w:rFonts w:ascii="Times New Roman" w:hAnsi="Times New Roman"/>
          <w:sz w:val="28"/>
          <w:szCs w:val="28"/>
          <w:lang w:val="ru-RU"/>
        </w:rPr>
        <w:lastRenderedPageBreak/>
        <w:t>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Аналізу структурно-синтаксичних аспектів авторського наративу піддавався корпус з </w:t>
      </w:r>
      <w:r w:rsidRPr="00FD1F63">
        <w:rPr>
          <w:rFonts w:ascii="Times New Roman" w:hAnsi="Times New Roman"/>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[13.]. </w:t>
      </w:r>
      <w:r w:rsidR="005D3F3D" w:rsidRPr="005D3F3D">
        <w:rPr>
          <w:rFonts w:ascii="Times New Roman" w:hAnsi="Times New Roman"/>
          <w:color w:val="FF0000"/>
          <w:sz w:val="28"/>
          <w:szCs w:val="28"/>
          <w:lang w:val="ru-RU"/>
        </w:rPr>
        <w:t>Сам термін Gothic story, вперше вживаний Хорасом Уолполом в підзаголовку до «Замку Отранто», скоріше, використовувався в значенні «середньовічний». Автор пише в передмові до другого видання: «У цьому творі була зроблена спроба з'єднати риси середньовічного і сучасного романів» [].</w:t>
      </w:r>
      <w:r w:rsidR="005D3F3D">
        <w:rPr>
          <w:rFonts w:ascii="Times New Roman" w:hAnsi="Times New Roman"/>
          <w:sz w:val="28"/>
          <w:szCs w:val="28"/>
          <w:lang w:val="ru-RU"/>
        </w:rPr>
        <w:t xml:space="preserve"> </w:t>
      </w:r>
      <w:r w:rsidRPr="00FD1F63">
        <w:rPr>
          <w:rFonts w:ascii="Times New Roman" w:hAnsi="Times New Roman"/>
          <w:sz w:val="28"/>
          <w:szCs w:val="28"/>
          <w:lang w:val="ru-RU"/>
        </w:rPr>
        <w:t>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xml:space="preserve">»), чиї твори відрізняються витонченістю та чутливістю. Також </w:t>
      </w:r>
      <w:r w:rsidR="00BA4C5F" w:rsidRPr="00FD1F63">
        <w:rPr>
          <w:rFonts w:ascii="Times New Roman" w:hAnsi="Times New Roman"/>
          <w:sz w:val="28"/>
          <w:szCs w:val="28"/>
          <w:lang w:val="ru-RU"/>
        </w:rPr>
        <w:lastRenderedPageBreak/>
        <w:t>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 xml:space="preserve">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w:t>
      </w:r>
      <w:r w:rsidRPr="00D02CC9">
        <w:rPr>
          <w:rFonts w:ascii="Times New Roman" w:eastAsia="TimesNewRoman" w:hAnsi="Times New Roman"/>
          <w:color w:val="31849B"/>
          <w:sz w:val="28"/>
          <w:szCs w:val="28"/>
          <w:lang w:val="ru-RU" w:eastAsia="ru-RU"/>
        </w:rPr>
        <w:lastRenderedPageBreak/>
        <w:t>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 xml:space="preserve">На рубежі XIX - XX століть готика звернулася </w:t>
      </w:r>
      <w:proofErr w:type="gramStart"/>
      <w:r w:rsidR="006954A5" w:rsidRPr="00D02CC9">
        <w:rPr>
          <w:rFonts w:ascii="Times New Roman" w:hAnsi="Times New Roman"/>
          <w:color w:val="31849B"/>
          <w:sz w:val="28"/>
          <w:szCs w:val="28"/>
          <w:lang w:val="ru-RU"/>
        </w:rPr>
        <w:t>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w:t>
      </w:r>
      <w:proofErr w:type="gramEnd"/>
      <w:r w:rsidR="006954A5" w:rsidRPr="00D02CC9">
        <w:rPr>
          <w:rFonts w:ascii="Times New Roman" w:hAnsi="Times New Roman"/>
          <w:color w:val="31849B"/>
          <w:sz w:val="28"/>
          <w:szCs w:val="28"/>
          <w:lang w:val="ru-RU"/>
        </w:rPr>
        <w:t xml:space="preserve">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lastRenderedPageBreak/>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D02CC9">
        <w:rPr>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D01BDA">
        <w:rPr>
          <w:color w:val="FF0000"/>
          <w:sz w:val="28"/>
          <w:szCs w:val="28"/>
          <w:lang w:val="ru-RU"/>
        </w:rPr>
        <w:t>У величезній кількості перевидаються і стають популярними класичні твори неоготичному літератури, нової актуальності напів-ють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6F0D72" w:rsidRPr="00FD1F63">
        <w:rPr>
          <w:rFonts w:ascii="Times New Roman" w:hAnsi="Times New Roman"/>
          <w:sz w:val="28"/>
          <w:szCs w:val="28"/>
          <w:lang w:val="ru-RU"/>
        </w:rPr>
        <w:tab/>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2F6EEB"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w:t>
      </w:r>
      <w:r w:rsidRPr="00FD1F63">
        <w:rPr>
          <w:rFonts w:ascii="Times New Roman" w:hAnsi="Times New Roman"/>
          <w:sz w:val="28"/>
          <w:szCs w:val="28"/>
          <w:lang w:val="ru-RU"/>
        </w:rPr>
        <w:lastRenderedPageBreak/>
        <w:t xml:space="preserve">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w:t>
      </w:r>
      <w:r w:rsidRPr="00FD1F63">
        <w:rPr>
          <w:rFonts w:ascii="Times New Roman" w:hAnsi="Times New Roman"/>
          <w:sz w:val="28"/>
          <w:szCs w:val="28"/>
          <w:lang w:val="ru-RU"/>
        </w:rPr>
        <w:lastRenderedPageBreak/>
        <w:t>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 xml:space="preserve">Кількість </w:t>
            </w:r>
            <w:r w:rsidRPr="00FD1F63">
              <w:rPr>
                <w:rFonts w:ascii="Times New Roman" w:hAnsi="Times New Roman"/>
                <w:i/>
                <w:sz w:val="28"/>
                <w:szCs w:val="28"/>
              </w:rPr>
              <w:lastRenderedPageBreak/>
              <w:t>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lastRenderedPageBreak/>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2F6EEB"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Pr="00FD1F63">
        <w:rPr>
          <w:rFonts w:ascii="Times New Roman" w:hAnsi="Times New Roman"/>
          <w:sz w:val="28"/>
          <w:szCs w:val="28"/>
          <w:lang w:val="ru-RU"/>
        </w:rPr>
        <w:t>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Pr="00FD1F63">
        <w:rPr>
          <w:rFonts w:ascii="Times New Roman" w:hAnsi="Times New Roman"/>
          <w:sz w:val="28"/>
          <w:szCs w:val="28"/>
          <w:lang w:val="ru-RU"/>
        </w:rPr>
        <w:t xml:space="preserve">и та полілоги, </w:t>
      </w:r>
      <w:r w:rsidRPr="00FD1F63">
        <w:rPr>
          <w:rFonts w:ascii="Times New Roman" w:hAnsi="Times New Roman"/>
          <w:sz w:val="28"/>
          <w:szCs w:val="28"/>
          <w:lang w:val="ru-RU"/>
        </w:rPr>
        <w:lastRenderedPageBreak/>
        <w:t>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w:t>
      </w:r>
      <w:r w:rsidR="002F6EEB">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D02CC9"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lastRenderedPageBreak/>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ді у романах, що досліджуються.</w:t>
      </w:r>
    </w:p>
    <w:p w:rsidR="006F0D72" w:rsidRPr="00FD1F63" w:rsidRDefault="006F0D72" w:rsidP="00AA1554">
      <w:pPr>
        <w:spacing w:after="0" w:line="360" w:lineRule="auto"/>
        <w:ind w:firstLine="708"/>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lastRenderedPageBreak/>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w:t>
      </w:r>
      <w:r w:rsidRPr="00FD1F63">
        <w:rPr>
          <w:rFonts w:ascii="Times New Roman" w:hAnsi="Times New Roman"/>
          <w:sz w:val="28"/>
          <w:szCs w:val="28"/>
        </w:rPr>
        <w:lastRenderedPageBreak/>
        <w:t>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rsidP="00AA1554">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rsidP="00AA1554">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rsidP="00AA1554">
      <w:pPr>
        <w:spacing w:after="0"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xml:space="preserve">– складносурядне речення з двома граматичними основами, двома </w:t>
      </w:r>
      <w:r w:rsidRPr="00FD1F63">
        <w:rPr>
          <w:rFonts w:ascii="Times New Roman" w:hAnsi="Times New Roman"/>
          <w:sz w:val="28"/>
          <w:szCs w:val="28"/>
          <w:lang w:val="ru-RU"/>
        </w:rPr>
        <w:lastRenderedPageBreak/>
        <w:t>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had </w:t>
      </w:r>
      <w:r w:rsidRPr="00FD1F63">
        <w:rPr>
          <w:rFonts w:ascii="Times New Roman" w:hAnsi="Times New Roman"/>
          <w:i/>
          <w:sz w:val="28"/>
          <w:szCs w:val="28"/>
          <w:u w:val="double"/>
        </w:rPr>
        <w:lastRenderedPageBreak/>
        <w:t>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 xml:space="preserve">place the young man </w:t>
      </w:r>
      <w:r w:rsidRPr="00FD1F63">
        <w:rPr>
          <w:rFonts w:ascii="Times New Roman" w:hAnsi="Times New Roman"/>
          <w:i/>
          <w:sz w:val="28"/>
          <w:szCs w:val="28"/>
          <w:u w:val="dash"/>
        </w:rPr>
        <w:lastRenderedPageBreak/>
        <w:t>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одноманітні, як правило, ускладнені однорідними членами (не більше чотирьох), майже не зустрічаються </w:t>
      </w:r>
      <w:r w:rsidRPr="00FD1F63">
        <w:rPr>
          <w:rFonts w:ascii="Times New Roman" w:hAnsi="Times New Roman"/>
          <w:sz w:val="28"/>
          <w:szCs w:val="28"/>
          <w:lang w:val="ru-RU"/>
        </w:rPr>
        <w:lastRenderedPageBreak/>
        <w:t>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 xml:space="preserve">з однорідними </w:t>
            </w:r>
            <w:r w:rsidRPr="00FD1F63">
              <w:rPr>
                <w:rFonts w:ascii="Times New Roman" w:hAnsi="Times New Roman"/>
                <w:sz w:val="28"/>
                <w:szCs w:val="28"/>
              </w:rPr>
              <w:lastRenderedPageBreak/>
              <w:t>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lastRenderedPageBreak/>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w:t>
      </w:r>
      <w:r w:rsidRPr="00FD1F63">
        <w:rPr>
          <w:rFonts w:ascii="Times New Roman" w:hAnsi="Times New Roman"/>
          <w:sz w:val="28"/>
          <w:szCs w:val="28"/>
          <w:lang w:val="ru-RU"/>
        </w:rPr>
        <w:lastRenderedPageBreak/>
        <w:t xml:space="preserve">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w:t>
      </w:r>
      <w:r w:rsidRPr="00FD1F63">
        <w:rPr>
          <w:rFonts w:ascii="Times New Roman" w:hAnsi="Times New Roman"/>
          <w:sz w:val="28"/>
          <w:szCs w:val="28"/>
          <w:lang w:val="ru-RU"/>
        </w:rPr>
        <w:lastRenderedPageBreak/>
        <w:t xml:space="preserve">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16. Литературная энциклопедия терминов и понятий [гл. ред. А.Н. Николюкин]. – М.: НПК «Интелвак», 2001. – 799 с.</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lastRenderedPageBreak/>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AD5" w:rsidRDefault="00606AD5">
      <w:pPr>
        <w:spacing w:after="0" w:line="240" w:lineRule="auto"/>
      </w:pPr>
      <w:r>
        <w:separator/>
      </w:r>
    </w:p>
  </w:endnote>
  <w:endnote w:type="continuationSeparator" w:id="0">
    <w:p w:rsidR="00606AD5" w:rsidRDefault="0060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AD5" w:rsidRDefault="00606AD5">
      <w:pPr>
        <w:spacing w:after="0" w:line="240" w:lineRule="auto"/>
      </w:pPr>
      <w:r>
        <w:separator/>
      </w:r>
    </w:p>
  </w:footnote>
  <w:footnote w:type="continuationSeparator" w:id="0">
    <w:p w:rsidR="00606AD5" w:rsidRDefault="00606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58" w:rsidRDefault="00970D58">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70D58" w:rsidRDefault="00970D58">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58" w:rsidRDefault="00970D58">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970D58" w:rsidRDefault="00970D58">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2014A"/>
    <w:rsid w:val="000204AD"/>
    <w:rsid w:val="00032556"/>
    <w:rsid w:val="00054148"/>
    <w:rsid w:val="00056424"/>
    <w:rsid w:val="000636CE"/>
    <w:rsid w:val="00065FAF"/>
    <w:rsid w:val="00082641"/>
    <w:rsid w:val="00090DA1"/>
    <w:rsid w:val="00094E21"/>
    <w:rsid w:val="000A6545"/>
    <w:rsid w:val="000C25C8"/>
    <w:rsid w:val="000C48F4"/>
    <w:rsid w:val="000D42A1"/>
    <w:rsid w:val="000D7475"/>
    <w:rsid w:val="000E6BE2"/>
    <w:rsid w:val="000E7BD8"/>
    <w:rsid w:val="000F2C9F"/>
    <w:rsid w:val="00103ED2"/>
    <w:rsid w:val="00110E39"/>
    <w:rsid w:val="0011235F"/>
    <w:rsid w:val="001255AF"/>
    <w:rsid w:val="0013244E"/>
    <w:rsid w:val="00132E18"/>
    <w:rsid w:val="001423B8"/>
    <w:rsid w:val="00144C4F"/>
    <w:rsid w:val="001525F3"/>
    <w:rsid w:val="001569F0"/>
    <w:rsid w:val="0016256D"/>
    <w:rsid w:val="001658F9"/>
    <w:rsid w:val="001668B3"/>
    <w:rsid w:val="00177D04"/>
    <w:rsid w:val="00186176"/>
    <w:rsid w:val="001940F8"/>
    <w:rsid w:val="001A6073"/>
    <w:rsid w:val="001B021C"/>
    <w:rsid w:val="001B15D8"/>
    <w:rsid w:val="001F0A4F"/>
    <w:rsid w:val="001F3434"/>
    <w:rsid w:val="001F7157"/>
    <w:rsid w:val="0020134C"/>
    <w:rsid w:val="00204DF4"/>
    <w:rsid w:val="00215EB1"/>
    <w:rsid w:val="00216249"/>
    <w:rsid w:val="00217390"/>
    <w:rsid w:val="00225CB2"/>
    <w:rsid w:val="00232F29"/>
    <w:rsid w:val="00241E05"/>
    <w:rsid w:val="00242476"/>
    <w:rsid w:val="00253ED8"/>
    <w:rsid w:val="00294880"/>
    <w:rsid w:val="002976B4"/>
    <w:rsid w:val="002A1836"/>
    <w:rsid w:val="002A348A"/>
    <w:rsid w:val="002B252E"/>
    <w:rsid w:val="002B79A6"/>
    <w:rsid w:val="002C20EE"/>
    <w:rsid w:val="002D33E8"/>
    <w:rsid w:val="002D3F42"/>
    <w:rsid w:val="002D62D3"/>
    <w:rsid w:val="002D7197"/>
    <w:rsid w:val="002E30CD"/>
    <w:rsid w:val="002F6EEB"/>
    <w:rsid w:val="00300396"/>
    <w:rsid w:val="0030370A"/>
    <w:rsid w:val="0031457A"/>
    <w:rsid w:val="00315CCF"/>
    <w:rsid w:val="003255B7"/>
    <w:rsid w:val="00327BCB"/>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60FC"/>
    <w:rsid w:val="003D0EEC"/>
    <w:rsid w:val="003D18C0"/>
    <w:rsid w:val="003D71BF"/>
    <w:rsid w:val="003D7566"/>
    <w:rsid w:val="003F0BF9"/>
    <w:rsid w:val="0040059E"/>
    <w:rsid w:val="00403983"/>
    <w:rsid w:val="004102AB"/>
    <w:rsid w:val="00411A1C"/>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02EF2"/>
    <w:rsid w:val="005319AA"/>
    <w:rsid w:val="00553631"/>
    <w:rsid w:val="005734D9"/>
    <w:rsid w:val="005803FE"/>
    <w:rsid w:val="00586F3C"/>
    <w:rsid w:val="00595072"/>
    <w:rsid w:val="0059533A"/>
    <w:rsid w:val="005B3956"/>
    <w:rsid w:val="005C1604"/>
    <w:rsid w:val="005C520E"/>
    <w:rsid w:val="005C6118"/>
    <w:rsid w:val="005D3F3D"/>
    <w:rsid w:val="005D5044"/>
    <w:rsid w:val="005E3CA9"/>
    <w:rsid w:val="005E7F1F"/>
    <w:rsid w:val="005F05DB"/>
    <w:rsid w:val="005F1B62"/>
    <w:rsid w:val="005F690C"/>
    <w:rsid w:val="00606AD5"/>
    <w:rsid w:val="00611089"/>
    <w:rsid w:val="00611462"/>
    <w:rsid w:val="00626174"/>
    <w:rsid w:val="00630E29"/>
    <w:rsid w:val="0063712A"/>
    <w:rsid w:val="006677F7"/>
    <w:rsid w:val="006743F6"/>
    <w:rsid w:val="00680F51"/>
    <w:rsid w:val="006837D8"/>
    <w:rsid w:val="00683CBD"/>
    <w:rsid w:val="00686EC7"/>
    <w:rsid w:val="00691575"/>
    <w:rsid w:val="00694FD7"/>
    <w:rsid w:val="006954A5"/>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55F58"/>
    <w:rsid w:val="00761A6E"/>
    <w:rsid w:val="00765C43"/>
    <w:rsid w:val="0076612C"/>
    <w:rsid w:val="007664D8"/>
    <w:rsid w:val="007675E6"/>
    <w:rsid w:val="00783440"/>
    <w:rsid w:val="00792222"/>
    <w:rsid w:val="00796AF2"/>
    <w:rsid w:val="007A077E"/>
    <w:rsid w:val="007B2489"/>
    <w:rsid w:val="007B798C"/>
    <w:rsid w:val="007C325C"/>
    <w:rsid w:val="007D202F"/>
    <w:rsid w:val="007D22D8"/>
    <w:rsid w:val="007D24C2"/>
    <w:rsid w:val="007E523C"/>
    <w:rsid w:val="007E5FF9"/>
    <w:rsid w:val="00802187"/>
    <w:rsid w:val="00806743"/>
    <w:rsid w:val="00811B62"/>
    <w:rsid w:val="008177EA"/>
    <w:rsid w:val="0082250F"/>
    <w:rsid w:val="00822AB3"/>
    <w:rsid w:val="00827F0B"/>
    <w:rsid w:val="008323C7"/>
    <w:rsid w:val="00840A6B"/>
    <w:rsid w:val="00856A24"/>
    <w:rsid w:val="008611A1"/>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0D58"/>
    <w:rsid w:val="009726CD"/>
    <w:rsid w:val="00981135"/>
    <w:rsid w:val="00982B8B"/>
    <w:rsid w:val="0099427A"/>
    <w:rsid w:val="009B25DD"/>
    <w:rsid w:val="009B2BA1"/>
    <w:rsid w:val="009B4E0A"/>
    <w:rsid w:val="009B59C6"/>
    <w:rsid w:val="009B6434"/>
    <w:rsid w:val="009C0361"/>
    <w:rsid w:val="009C0BD5"/>
    <w:rsid w:val="009E56EF"/>
    <w:rsid w:val="009E6A5C"/>
    <w:rsid w:val="009F3527"/>
    <w:rsid w:val="009F7D75"/>
    <w:rsid w:val="00A00EAC"/>
    <w:rsid w:val="00A06243"/>
    <w:rsid w:val="00A20D46"/>
    <w:rsid w:val="00A23B4A"/>
    <w:rsid w:val="00A278C5"/>
    <w:rsid w:val="00A31EC4"/>
    <w:rsid w:val="00A37E2E"/>
    <w:rsid w:val="00A43E25"/>
    <w:rsid w:val="00A503AD"/>
    <w:rsid w:val="00A51453"/>
    <w:rsid w:val="00A562B1"/>
    <w:rsid w:val="00A72DD5"/>
    <w:rsid w:val="00A76C2D"/>
    <w:rsid w:val="00A77688"/>
    <w:rsid w:val="00A8003C"/>
    <w:rsid w:val="00A84B7C"/>
    <w:rsid w:val="00A86448"/>
    <w:rsid w:val="00A902E4"/>
    <w:rsid w:val="00A93084"/>
    <w:rsid w:val="00AA1554"/>
    <w:rsid w:val="00AA1AD3"/>
    <w:rsid w:val="00AA263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A4C5F"/>
    <w:rsid w:val="00BB0C56"/>
    <w:rsid w:val="00BB15E4"/>
    <w:rsid w:val="00BB170B"/>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459D4"/>
    <w:rsid w:val="00C529DA"/>
    <w:rsid w:val="00C531DE"/>
    <w:rsid w:val="00C537C1"/>
    <w:rsid w:val="00C648CC"/>
    <w:rsid w:val="00C76A74"/>
    <w:rsid w:val="00C813CC"/>
    <w:rsid w:val="00CA719D"/>
    <w:rsid w:val="00CB1959"/>
    <w:rsid w:val="00CB4DB0"/>
    <w:rsid w:val="00CB55D2"/>
    <w:rsid w:val="00CC0110"/>
    <w:rsid w:val="00CC211D"/>
    <w:rsid w:val="00CC4FF0"/>
    <w:rsid w:val="00CC5F4E"/>
    <w:rsid w:val="00CD09B9"/>
    <w:rsid w:val="00CD1B2F"/>
    <w:rsid w:val="00CE7F23"/>
    <w:rsid w:val="00D01BDA"/>
    <w:rsid w:val="00D02CC9"/>
    <w:rsid w:val="00D069FD"/>
    <w:rsid w:val="00D1792E"/>
    <w:rsid w:val="00D17931"/>
    <w:rsid w:val="00D17B49"/>
    <w:rsid w:val="00D3269C"/>
    <w:rsid w:val="00D3411A"/>
    <w:rsid w:val="00D36D04"/>
    <w:rsid w:val="00D41B75"/>
    <w:rsid w:val="00D42D06"/>
    <w:rsid w:val="00D51B6E"/>
    <w:rsid w:val="00D53586"/>
    <w:rsid w:val="00D62677"/>
    <w:rsid w:val="00D7151C"/>
    <w:rsid w:val="00D9655B"/>
    <w:rsid w:val="00DB2946"/>
    <w:rsid w:val="00DB7F5A"/>
    <w:rsid w:val="00DC0DF5"/>
    <w:rsid w:val="00DD1ADB"/>
    <w:rsid w:val="00DD499D"/>
    <w:rsid w:val="00DE09E4"/>
    <w:rsid w:val="00DF6663"/>
    <w:rsid w:val="00DF6686"/>
    <w:rsid w:val="00E03C08"/>
    <w:rsid w:val="00E07A3A"/>
    <w:rsid w:val="00E117C1"/>
    <w:rsid w:val="00E158D1"/>
    <w:rsid w:val="00E20D6B"/>
    <w:rsid w:val="00E23B12"/>
    <w:rsid w:val="00E25060"/>
    <w:rsid w:val="00E251B4"/>
    <w:rsid w:val="00E2663E"/>
    <w:rsid w:val="00E331D5"/>
    <w:rsid w:val="00E55267"/>
    <w:rsid w:val="00E55741"/>
    <w:rsid w:val="00E571A9"/>
    <w:rsid w:val="00E6317A"/>
    <w:rsid w:val="00E826D7"/>
    <w:rsid w:val="00EA1C5B"/>
    <w:rsid w:val="00EA372A"/>
    <w:rsid w:val="00EA3B0D"/>
    <w:rsid w:val="00EA4C4F"/>
    <w:rsid w:val="00EB2284"/>
    <w:rsid w:val="00EC2FE9"/>
    <w:rsid w:val="00EC43AB"/>
    <w:rsid w:val="00EC4554"/>
    <w:rsid w:val="00ED2930"/>
    <w:rsid w:val="00ED3958"/>
    <w:rsid w:val="00ED6A50"/>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0FF1"/>
    <w:rsid w:val="00FA2F62"/>
    <w:rsid w:val="00FB119E"/>
    <w:rsid w:val="00FB2060"/>
    <w:rsid w:val="00FB24B6"/>
    <w:rsid w:val="00FC0077"/>
    <w:rsid w:val="00FC5212"/>
    <w:rsid w:val="00FD1D74"/>
    <w:rsid w:val="00FD1F63"/>
    <w:rsid w:val="00FD6960"/>
    <w:rsid w:val="00FE3CA3"/>
    <w:rsid w:val="00FE6065"/>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17212C"/>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39</Pages>
  <Words>10416</Words>
  <Characters>59377</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69654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25</cp:revision>
  <cp:lastPrinted>2017-04-22T11:40:00Z</cp:lastPrinted>
  <dcterms:created xsi:type="dcterms:W3CDTF">2017-06-03T18:39:00Z</dcterms:created>
  <dcterms:modified xsi:type="dcterms:W3CDTF">2018-04-02T20:58:00Z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