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risma-scr-prisma-s-checklist-mapping"/>
      <w:r>
        <w:t xml:space="preserve">PRISMA-ScR + PRISMA-S checklist mapping</w:t>
      </w:r>
      <w:bookmarkEnd w:id="20"/>
    </w:p>
    <w:p>
      <w:pPr>
        <w:pStyle w:val="FirstParagraph"/>
      </w:pPr>
      <w:r>
        <w:rPr>
          <w:b/>
        </w:rPr>
        <w:t xml:space="preserve">Companion to:</w:t>
      </w:r>
      <w:r>
        <w:t xml:space="preserve"> </w:t>
      </w:r>
      <w:r>
        <w:rPr>
          <w:rStyle w:val="VerbatimChar"/>
        </w:rPr>
        <w:t xml:space="preserve">prisma_protocol.md</w:t>
      </w:r>
      <w:r>
        <w:t xml:space="preserve"> </w:t>
      </w:r>
      <w:r>
        <w:t xml:space="preserve">v0.4.1 (2026-05-11)</w:t>
      </w:r>
      <w:r>
        <w:t xml:space="preserve"> </w:t>
      </w:r>
      <w:r>
        <w:rPr>
          <w:b/>
        </w:rPr>
        <w:t xml:space="preserve">Purpose.</w:t>
      </w:r>
      <w:r>
        <w:t xml:space="preserve"> </w:t>
      </w:r>
      <w:r>
        <w:t xml:space="preserve">One-page mapping showing where each PRISMA-ScR (Tricco et al. 2018,</w:t>
      </w:r>
      <w:r>
        <w:t xml:space="preserve"> </w:t>
      </w:r>
      <w:r>
        <w:rPr>
          <w:i/>
        </w:rPr>
        <w:t xml:space="preserve">Ann Intern Med</w:t>
      </w:r>
      <w:r>
        <w:t xml:space="preserve">) and PRISMA-S (Rethlefsen et al. 2021,</w:t>
      </w:r>
      <w:r>
        <w:t xml:space="preserve"> </w:t>
      </w:r>
      <w:r>
        <w:rPr>
          <w:i/>
        </w:rPr>
        <w:t xml:space="preserve">Syst Rev</w:t>
      </w:r>
      <w:r>
        <w:t xml:space="preserve">) item is addressed in the protocol. To be uploaded to OSF alongside the protocol at registration so reviewers can verify compliance without hunting.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isma-scr-22-items"/>
      <w:r>
        <w:t xml:space="preserve">PRISMA-ScR (22 items)</w:t>
      </w:r>
      <w:bookmarkEnd w:id="21"/>
    </w:p>
    <w:tbl>
      <w:tblPr>
        <w:tblStyle w:val="Table"/>
        <w:tblW w:type="pct" w:w="4999.999999999999"/>
        <w:tblLook w:firstRow="1"/>
      </w:tblPr>
      <w:tblGrid>
        <w:gridCol w:w="2436"/>
        <w:gridCol w:w="1827"/>
        <w:gridCol w:w="1827"/>
        <w:gridCol w:w="18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addressed in protocol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Identify report as scoping review</w:t>
            </w:r>
          </w:p>
        </w:tc>
        <w:tc>
          <w:p>
            <w:pPr>
              <w:pStyle w:val="Compact"/>
              <w:jc w:val="left"/>
            </w:pPr>
            <w:r>
              <w:t xml:space="preserve">Title line (</w:t>
            </w:r>
            <w:r>
              <w:t xml:space="preserve">“</w:t>
            </w:r>
            <w:r>
              <w:t xml:space="preserve">PRISMA Review Protocol</w:t>
            </w:r>
            <w:r>
              <w:t xml:space="preserve">”</w:t>
            </w:r>
            <w:r>
              <w:t xml:space="preserve">) + §A4 (review type locked to PRISMA-ScR)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Abstract</w:t>
            </w:r>
          </w:p>
        </w:tc>
        <w:tc>
          <w:p>
            <w:pPr>
              <w:pStyle w:val="Compact"/>
              <w:jc w:val="left"/>
            </w:pPr>
            <w:r>
              <w:t xml:space="preserve">Structured summary</w:t>
            </w:r>
          </w:p>
        </w:tc>
        <w:tc>
          <w:p>
            <w:pPr>
              <w:pStyle w:val="Compact"/>
              <w:jc w:val="left"/>
            </w:pPr>
            <w:r>
              <w:t xml:space="preserve">Executive summary (top of document)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Introduction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p>
            <w:pPr>
              <w:pStyle w:val="Compact"/>
              <w:jc w:val="left"/>
            </w:pPr>
            <w:r>
              <w:t xml:space="preserve">§A1 problem statement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Introduction</w:t>
            </w:r>
          </w:p>
        </w:tc>
        <w:tc>
          <w:p>
            <w:pPr>
              <w:pStyle w:val="Compact"/>
              <w:jc w:val="left"/>
            </w:pPr>
            <w:r>
              <w:t xml:space="preserve">Objectives</w:t>
            </w:r>
          </w:p>
        </w:tc>
        <w:tc>
          <w:p>
            <w:pPr>
              <w:pStyle w:val="Compact"/>
              <w:jc w:val="left"/>
            </w:pPr>
            <w:r>
              <w:t xml:space="preserve">§A2 review aims (5 aims) + §B2 review questions (PQ1–PQ7)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p>
            <w:pPr>
              <w:pStyle w:val="Compact"/>
              <w:jc w:val="left"/>
            </w:pPr>
            <w:r>
              <w:t xml:space="preserve">Protocol and registration</w:t>
            </w:r>
          </w:p>
        </w:tc>
        <w:tc>
          <w:p>
            <w:pPr>
              <w:pStyle w:val="Compact"/>
              <w:jc w:val="left"/>
            </w:pPr>
            <w:r>
              <w:t xml:space="preserve">§A4 (PRISMA-ScR + OSF); §B1 administrative; this protocol = the registerable document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p>
            <w:pPr>
              <w:pStyle w:val="Compact"/>
              <w:jc w:val="left"/>
            </w:pPr>
            <w:r>
              <w:t xml:space="preserve">Eligibility criteria</w:t>
            </w:r>
          </w:p>
        </w:tc>
        <w:tc>
          <w:p>
            <w:pPr>
              <w:pStyle w:val="Compact"/>
              <w:jc w:val="left"/>
            </w:pPr>
            <w:r>
              <w:t xml:space="preserve">§B3 PECO + §B4 inclusion / exclusion / grey-zone criteria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p>
            <w:pPr>
              <w:pStyle w:val="Compact"/>
              <w:jc w:val="left"/>
            </w:pPr>
            <w:r>
              <w:t xml:space="preserve">Information sources</w:t>
            </w:r>
          </w:p>
        </w:tc>
        <w:tc>
          <w:p>
            <w:pPr>
              <w:pStyle w:val="Compact"/>
              <w:jc w:val="left"/>
            </w:pPr>
            <w:r>
              <w:t xml:space="preserve">§B5 (six databases with per-database rationale; preprints; hand-search; Citationchaser; expert elicitation)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p>
            <w:pPr>
              <w:pStyle w:val="Compact"/>
              <w:jc w:val="left"/>
            </w:pPr>
            <w:r>
              <w:t xml:space="preserve">§B6 (locked Block 1 / Block 2 / Block 3 PubMed string + companion</w:t>
            </w:r>
            <w:r>
              <w:t xml:space="preserve"> </w:t>
            </w:r>
            <w:r>
              <w:rPr>
                <w:rStyle w:val="VerbatimChar"/>
              </w:rPr>
              <w:t xml:space="preserve">database_queries.md</w:t>
            </w:r>
            <w:r>
              <w:t xml:space="preserve"> </w:t>
            </w:r>
            <w:r>
              <w:t xml:space="preserve">with five translations)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p>
            <w:pPr>
              <w:pStyle w:val="Compact"/>
              <w:jc w:val="left"/>
            </w:pPr>
            <w:r>
              <w:t xml:space="preserve">Selection of sources of evidence</w:t>
            </w:r>
          </w:p>
        </w:tc>
        <w:tc>
          <w:p>
            <w:pPr>
              <w:pStyle w:val="Compact"/>
              <w:jc w:val="left"/>
            </w:pPr>
            <w:r>
              <w:t xml:space="preserve">§B7 (Rayyan + ASReview workflow; calibrated single-reviewer + active-learning model; Yaron 2022 NHB precedent)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p>
            <w:pPr>
              <w:pStyle w:val="Compact"/>
              <w:jc w:val="left"/>
            </w:pPr>
            <w:r>
              <w:t xml:space="preserve">Data charting process</w:t>
            </w:r>
          </w:p>
        </w:tc>
        <w:tc>
          <w:p>
            <w:pPr>
              <w:pStyle w:val="Compact"/>
              <w:jc w:val="left"/>
            </w:pPr>
            <w:r>
              <w:t xml:space="preserve">§B7 data extraction paragraph + §B8 extraction-fields list; pilot on 10 studies, 20 % quality-control re-extraction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p>
            <w:pPr>
              <w:pStyle w:val="Compact"/>
              <w:jc w:val="left"/>
            </w:pPr>
            <w:r>
              <w:t xml:space="preserve">Data items</w:t>
            </w:r>
          </w:p>
        </w:tc>
        <w:tc>
          <w:p>
            <w:pPr>
              <w:pStyle w:val="Compact"/>
              <w:jc w:val="left"/>
            </w:pPr>
            <w:r>
              <w:t xml:space="preserve">§B8 extraction fields (12 categories)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p>
            <w:pPr>
              <w:pStyle w:val="Compact"/>
              <w:jc w:val="left"/>
            </w:pPr>
            <w:r>
              <w:t xml:space="preserve">Critical appraisal of individual sources of evidence (</w:t>
            </w:r>
            <w:r>
              <w:rPr>
                <w:i/>
              </w:rPr>
              <w:t xml:space="preserve">optional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§B10 (we elect to apply a measurement-methodology checklist; six items rated low / some concern / high)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p>
            <w:pPr>
              <w:pStyle w:val="Compact"/>
              <w:jc w:val="left"/>
            </w:pPr>
            <w:r>
              <w:t xml:space="preserve">Synthesis of results</w:t>
            </w:r>
          </w:p>
        </w:tc>
        <w:tc>
          <w:p>
            <w:pPr>
              <w:pStyle w:val="Compact"/>
              <w:jc w:val="left"/>
            </w:pPr>
            <w:r>
              <w:t xml:space="preserve">§B11 narrative-synthesis plan + §B12 taxonomy (eight axes)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p>
            <w:pPr>
              <w:pStyle w:val="Compact"/>
              <w:jc w:val="left"/>
            </w:pPr>
            <w:r>
              <w:t xml:space="preserve">Selection of sources of evidence</w:t>
            </w:r>
          </w:p>
        </w:tc>
        <w:tc>
          <w:p>
            <w:pPr>
              <w:pStyle w:val="Compact"/>
              <w:jc w:val="left"/>
            </w:pPr>
            <w:r>
              <w:t xml:space="preserve">Pending — will be populated post-multi-database run (PRISMA flow diagram from Rayyan exports, §B7)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p>
            <w:pPr>
              <w:pStyle w:val="Compact"/>
              <w:jc w:val="left"/>
            </w:pPr>
            <w:r>
              <w:t xml:space="preserve">Characteristics of sources of evidence</w:t>
            </w:r>
          </w:p>
        </w:tc>
        <w:tc>
          <w:p>
            <w:pPr>
              <w:pStyle w:val="Compact"/>
              <w:jc w:val="left"/>
            </w:pPr>
            <w:r>
              <w:t xml:space="preserve">Pending — extraction output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p>
            <w:pPr>
              <w:pStyle w:val="Compact"/>
              <w:jc w:val="left"/>
            </w:pPr>
            <w:r>
              <w:t xml:space="preserve">Critical appraisal within sources of evidence</w:t>
            </w:r>
          </w:p>
        </w:tc>
        <w:tc>
          <w:p>
            <w:pPr>
              <w:pStyle w:val="Compact"/>
              <w:jc w:val="left"/>
            </w:pPr>
            <w:r>
              <w:t xml:space="preserve">Pending — §B10 checklist outputs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p>
            <w:pPr>
              <w:pStyle w:val="Compact"/>
              <w:jc w:val="left"/>
            </w:pPr>
            <w:r>
              <w:t xml:space="preserve">Results of individual sources of evidence</w:t>
            </w:r>
          </w:p>
        </w:tc>
        <w:tc>
          <w:p>
            <w:pPr>
              <w:pStyle w:val="Compact"/>
              <w:jc w:val="left"/>
            </w:pPr>
            <w:r>
              <w:t xml:space="preserve">Pending — per-paper extraction outputs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p>
            <w:pPr>
              <w:pStyle w:val="Compact"/>
              <w:jc w:val="left"/>
            </w:pPr>
            <w:r>
              <w:t xml:space="preserve">Synthesis of results</w:t>
            </w:r>
          </w:p>
        </w:tc>
        <w:tc>
          <w:p>
            <w:pPr>
              <w:pStyle w:val="Compact"/>
              <w:jc w:val="left"/>
            </w:pPr>
            <w:r>
              <w:t xml:space="preserve">Pending — §B11 tables + heatmap + misapplication register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p>
            <w:pPr>
              <w:pStyle w:val="Compact"/>
              <w:jc w:val="left"/>
            </w:pPr>
            <w:r>
              <w:t xml:space="preserve">Summary of evidence</w:t>
            </w:r>
          </w:p>
        </w:tc>
        <w:tc>
          <w:p>
            <w:pPr>
              <w:pStyle w:val="Compact"/>
              <w:jc w:val="left"/>
            </w:pPr>
            <w:r>
              <w:t xml:space="preserve">Pending — manuscript draft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p>
            <w:pPr>
              <w:pStyle w:val="Compact"/>
              <w:jc w:val="left"/>
            </w:pPr>
            <w:r>
              <w:t xml:space="preserve">Limitations</w:t>
            </w:r>
          </w:p>
        </w:tc>
        <w:tc>
          <w:p>
            <w:pPr>
              <w:pStyle w:val="Compact"/>
              <w:jc w:val="left"/>
            </w:pPr>
            <w:r>
              <w:t xml:space="preserve">Pending; will include the documented Sitt 2014 database miss (§B6.2), single-reviewer screening deviation (§B7), and scope decisions in §A3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p>
            <w:pPr>
              <w:pStyle w:val="Compact"/>
              <w:jc w:val="left"/>
            </w:pPr>
            <w:r>
              <w:t xml:space="preserve">Conclusions</w:t>
            </w:r>
          </w:p>
        </w:tc>
        <w:tc>
          <w:p>
            <w:pPr>
              <w:pStyle w:val="Compact"/>
              <w:jc w:val="left"/>
            </w:pPr>
            <w:r>
              <w:t xml:space="preserve">Pending — manuscript draft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p>
            <w:pPr>
              <w:pStyle w:val="Compact"/>
              <w:jc w:val="left"/>
            </w:pPr>
            <w:r>
              <w:t xml:space="preserve">§B14 (Max Planck School of Cognition)</w:t>
            </w:r>
          </w:p>
        </w:tc>
      </w:tr>
    </w:tbl>
    <w:p>
      <w:pPr>
        <w:pStyle w:val="BodyText"/>
      </w:pPr>
      <w:r>
        <w:t xml:space="preserve">Items 14–21 are Results / Discussion items and are not part of the protocol</w:t>
      </w:r>
      <w:r>
        <w:t xml:space="preserve"> </w:t>
      </w:r>
      <w:r>
        <w:rPr>
          <w:i/>
        </w:rPr>
        <w:t xml:space="preserve">per se</w:t>
      </w:r>
      <w:r>
        <w:t xml:space="preserve"> </w:t>
      </w:r>
      <w:r>
        <w:t xml:space="preserve">— they are populated during execution. PRISMA-ScR expects them to be addressed in the manuscript, not in the protocol. Their slots are reserved here for traceability.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isma-s-16-items-search-reporting"/>
      <w:r>
        <w:t xml:space="preserve">PRISMA-S (16 items — search reporting)</w:t>
      </w:r>
      <w:bookmarkEnd w:id="22"/>
    </w:p>
    <w:tbl>
      <w:tblPr>
        <w:tblStyle w:val="Table"/>
        <w:tblW w:type="pct" w:w="4999.999999999999"/>
        <w:tblLook w:firstRow="1"/>
      </w:tblPr>
      <w:tblGrid>
        <w:gridCol w:w="2436"/>
        <w:gridCol w:w="1827"/>
        <w:gridCol w:w="1827"/>
        <w:gridCol w:w="18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addressed in protocol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Information sources &amp; methods</w:t>
            </w:r>
          </w:p>
        </w:tc>
        <w:tc>
          <w:p>
            <w:pPr>
              <w:pStyle w:val="Compact"/>
              <w:jc w:val="left"/>
            </w:pPr>
            <w:r>
              <w:t xml:space="preserve">Database name</w:t>
            </w:r>
          </w:p>
        </w:tc>
        <w:tc>
          <w:p>
            <w:pPr>
              <w:pStyle w:val="Compact"/>
              <w:jc w:val="left"/>
            </w:pPr>
            <w:r>
              <w:t xml:space="preserve">§B5 +</w:t>
            </w:r>
            <w:r>
              <w:t xml:space="preserve"> </w:t>
            </w:r>
            <w:r>
              <w:rPr>
                <w:rStyle w:val="VerbatimChar"/>
              </w:rPr>
              <w:t xml:space="preserve">database_queries.md</w:t>
            </w:r>
            <w:r>
              <w:t xml:space="preserve"> </w:t>
            </w:r>
            <w:r>
              <w:t xml:space="preserve">(PubMed/MEDLINE, Scopus, Web of Science Core Collection, PsycINFO, IEEE Xplore, Embase)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Information sources &amp; methods</w:t>
            </w:r>
          </w:p>
        </w:tc>
        <w:tc>
          <w:p>
            <w:pPr>
              <w:pStyle w:val="Compact"/>
              <w:jc w:val="left"/>
            </w:pPr>
            <w:r>
              <w:t xml:space="preserve">Multi-database searching</w:t>
            </w:r>
          </w:p>
        </w:tc>
        <w:tc>
          <w:p>
            <w:pPr>
              <w:pStyle w:val="Compact"/>
              <w:jc w:val="left"/>
            </w:pPr>
            <w:r>
              <w:t xml:space="preserve">§B5 (six databases; rationale per database); §B6.3 audit-trail policy (24-hour multi-database window)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Information sources &amp; methods</w:t>
            </w:r>
          </w:p>
        </w:tc>
        <w:tc>
          <w:p>
            <w:pPr>
              <w:pStyle w:val="Compact"/>
              <w:jc w:val="left"/>
            </w:pPr>
            <w:r>
              <w:t xml:space="preserve">Study registries</w:t>
            </w:r>
          </w:p>
        </w:tc>
        <w:tc>
          <w:p>
            <w:pPr>
              <w:pStyle w:val="Compact"/>
              <w:jc w:val="left"/>
            </w:pPr>
            <w:r>
              <w:t xml:space="preserve">Not applicable for this scoping review (we do not search trial registries; no clinical trials are in scope). Documented as N/A.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Information sources &amp; methods</w:t>
            </w:r>
          </w:p>
        </w:tc>
        <w:tc>
          <w:p>
            <w:pPr>
              <w:pStyle w:val="Compact"/>
              <w:jc w:val="left"/>
            </w:pPr>
            <w:r>
              <w:t xml:space="preserve">Online resources and browsing</w:t>
            </w:r>
          </w:p>
        </w:tc>
        <w:tc>
          <w:p>
            <w:pPr>
              <w:pStyle w:val="Compact"/>
              <w:jc w:val="left"/>
            </w:pPr>
            <w:r>
              <w:t xml:space="preserve">§B5 hand-search list (12 journals); preprint sources (bioRxiv, medRxiv, arXiv, PsyArXiv)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Information sources &amp; methods</w:t>
            </w:r>
          </w:p>
        </w:tc>
        <w:tc>
          <w:p>
            <w:pPr>
              <w:pStyle w:val="Compact"/>
              <w:jc w:val="left"/>
            </w:pPr>
            <w:r>
              <w:t xml:space="preserve">Citation searching</w:t>
            </w:r>
          </w:p>
        </w:tc>
        <w:tc>
          <w:p>
            <w:pPr>
              <w:pStyle w:val="Compact"/>
              <w:jc w:val="left"/>
            </w:pPr>
            <w:r>
              <w:t xml:space="preserve">§B5 (Citationchaser, named per PRISMA-S requirement) + §B9 seed set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Information sources &amp; methods</w:t>
            </w:r>
          </w:p>
        </w:tc>
        <w:tc>
          <w:p>
            <w:pPr>
              <w:pStyle w:val="Compact"/>
              <w:jc w:val="left"/>
            </w:pPr>
            <w:r>
              <w:t xml:space="preserve">Contacts</w:t>
            </w:r>
          </w:p>
        </w:tc>
        <w:tc>
          <w:p>
            <w:pPr>
              <w:pStyle w:val="Compact"/>
              <w:jc w:val="left"/>
            </w:pPr>
            <w:r>
              <w:t xml:space="preserve">§B5 expert elicitation (Jurgen, Lucia, Andrej, Anil Seth, Adam Barrett); each suggestion logged with capture-vs-miss status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Information sources &amp; methods</w:t>
            </w:r>
          </w:p>
        </w:tc>
        <w:tc>
          <w:p>
            <w:pPr>
              <w:pStyle w:val="Compact"/>
              <w:jc w:val="left"/>
            </w:pPr>
            <w:r>
              <w:t xml:space="preserve">Other methods</w:t>
            </w:r>
          </w:p>
        </w:tc>
        <w:tc>
          <w:p>
            <w:pPr>
              <w:pStyle w:val="Compact"/>
              <w:jc w:val="left"/>
            </w:pPr>
            <w:r>
              <w:t xml:space="preserve">None used beyond items 1–6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Information sources &amp; methods</w:t>
            </w:r>
          </w:p>
        </w:tc>
        <w:tc>
          <w:p>
            <w:pPr>
              <w:pStyle w:val="Compact"/>
              <w:jc w:val="left"/>
            </w:pPr>
            <w:r>
              <w:t xml:space="preserve">Inclusion and exclusion criteria</w:t>
            </w:r>
          </w:p>
        </w:tc>
        <w:tc>
          <w:p>
            <w:pPr>
              <w:pStyle w:val="Compact"/>
              <w:jc w:val="left"/>
            </w:pPr>
            <w:r>
              <w:t xml:space="preserve">§B4 (replicated here for cross-reference to the search)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Search strategies</w:t>
            </w:r>
          </w:p>
        </w:tc>
        <w:tc>
          <w:p>
            <w:pPr>
              <w:pStyle w:val="Compact"/>
              <w:jc w:val="left"/>
            </w:pPr>
            <w:r>
              <w:t xml:space="preserve">Full search strategies</w:t>
            </w:r>
          </w:p>
        </w:tc>
        <w:tc>
          <w:p>
            <w:pPr>
              <w:pStyle w:val="Compact"/>
              <w:jc w:val="left"/>
            </w:pPr>
            <w:r>
              <w:t xml:space="preserve">§B6 (PubMed canonical, in full);</w:t>
            </w:r>
            <w:r>
              <w:t xml:space="preserve"> </w:t>
            </w:r>
            <w:r>
              <w:rPr>
                <w:rStyle w:val="VerbatimChar"/>
              </w:rPr>
              <w:t xml:space="preserve">database_queries.md</w:t>
            </w:r>
            <w:r>
              <w:t xml:space="preserve"> </w:t>
            </w:r>
            <w:r>
              <w:t xml:space="preserve">(five database translations, in full)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Search strategies</w:t>
            </w:r>
          </w:p>
        </w:tc>
        <w:tc>
          <w:p>
            <w:pPr>
              <w:pStyle w:val="Compact"/>
              <w:jc w:val="left"/>
            </w:pPr>
            <w:r>
              <w:t xml:space="preserve">Limits and restrictions</w:t>
            </w:r>
          </w:p>
        </w:tc>
        <w:tc>
          <w:p>
            <w:pPr>
              <w:pStyle w:val="Compact"/>
              <w:jc w:val="left"/>
            </w:pPr>
            <w:r>
              <w:t xml:space="preserve">§B6 (English; 1990-01-01 to search date); §B4 inclusion criterion 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Search strategies</w:t>
            </w:r>
          </w:p>
        </w:tc>
        <w:tc>
          <w:p>
            <w:pPr>
              <w:pStyle w:val="Compact"/>
              <w:jc w:val="left"/>
            </w:pPr>
            <w:r>
              <w:t xml:space="preserve">Search filters</w:t>
            </w:r>
          </w:p>
        </w:tc>
        <w:tc>
          <w:p>
            <w:pPr>
              <w:pStyle w:val="Compact"/>
              <w:jc w:val="left"/>
            </w:pPr>
            <w:r>
              <w:t xml:space="preserve">None applied (we do not use validated filters such as Cochrane Highly Sensitive Search Strategy)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Search strategies</w:t>
            </w:r>
          </w:p>
        </w:tc>
        <w:tc>
          <w:p>
            <w:pPr>
              <w:pStyle w:val="Compact"/>
              <w:jc w:val="left"/>
            </w:pPr>
            <w:r>
              <w:t xml:space="preserve">Prior work</w:t>
            </w:r>
          </w:p>
        </w:tc>
        <w:tc>
          <w:p>
            <w:pPr>
              <w:pStyle w:val="Compact"/>
              <w:jc w:val="left"/>
            </w:pPr>
            <w:r>
              <w:t xml:space="preserve">§B6.1 pilot results table (v0.3 → 4,580; v0.4.1 → 5,267) and §B6.2 seed-paper validation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Peer review</w:t>
            </w:r>
          </w:p>
        </w:tc>
        <w:tc>
          <w:p>
            <w:pPr>
              <w:pStyle w:val="Compact"/>
              <w:jc w:val="left"/>
            </w:pPr>
            <w:r>
              <w:t xml:space="preserve">Search peer review</w:t>
            </w:r>
          </w:p>
        </w:tc>
        <w:tc>
          <w:p>
            <w:pPr>
              <w:pStyle w:val="Compact"/>
              <w:jc w:val="left"/>
            </w:pPr>
            <w:r>
              <w:t xml:space="preserve">Internal peer review by Lucia Melloni and Andrej Bicanski (docx markup 2026-05-10 + email 2026-05-10); changes recorded in amendments log v0.4 / v0.4.1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Managing records</w:t>
            </w:r>
          </w:p>
        </w:tc>
        <w:tc>
          <w:p>
            <w:pPr>
              <w:pStyle w:val="Compact"/>
              <w:jc w:val="left"/>
            </w:pPr>
            <w:r>
              <w:t xml:space="preserve">Total records identified</w:t>
            </w:r>
          </w:p>
        </w:tc>
        <w:tc>
          <w:p>
            <w:pPr>
              <w:pStyle w:val="Compact"/>
              <w:jc w:val="left"/>
            </w:pPr>
            <w:r>
              <w:t xml:space="preserve">§B6.1 (PubMed = 5,267 as of 2026-05-12; multi-database total pending)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Managing records</w:t>
            </w:r>
          </w:p>
        </w:tc>
        <w:tc>
          <w:p>
            <w:pPr>
              <w:pStyle w:val="Compact"/>
              <w:jc w:val="left"/>
            </w:pPr>
            <w:r>
              <w:t xml:space="preserve">Deduplication</w:t>
            </w:r>
          </w:p>
        </w:tc>
        <w:tc>
          <w:p>
            <w:pPr>
              <w:pStyle w:val="Compact"/>
              <w:jc w:val="left"/>
            </w:pPr>
            <w:r>
              <w:t xml:space="preserve">§B7 (Bramer method in Zotero + Rayyan deduplicator + manual spot-check)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p>
            <w:pPr>
              <w:pStyle w:val="Compact"/>
              <w:jc w:val="left"/>
            </w:pPr>
            <w:r>
              <w:t xml:space="preserve">Date of search</w:t>
            </w:r>
          </w:p>
        </w:tc>
        <w:tc>
          <w:p>
            <w:pPr>
              <w:pStyle w:val="Compact"/>
              <w:jc w:val="left"/>
            </w:pPr>
            <w:r>
              <w:t xml:space="preserve">§B6.1 (pilot dates); locked-search date to be recorded as</w:t>
            </w:r>
            <w:r>
              <w:t xml:space="preserve"> </w:t>
            </w:r>
            <w:r>
              <w:rPr>
                <w:rStyle w:val="VerbatimChar"/>
              </w:rPr>
              <w:t xml:space="preserve">search_log_YYYY-MM-DD.txt</w:t>
            </w:r>
            <w:r>
              <w:t xml:space="preserve"> </w:t>
            </w:r>
            <w:r>
              <w:t xml:space="preserve">per §B6.3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ompliance-summary"/>
      <w:r>
        <w:t xml:space="preserve">Compliance summary</w:t>
      </w:r>
      <w:bookmarkEnd w:id="23"/>
    </w:p>
    <w:p>
      <w:pPr>
        <w:pStyle w:val="FirstParagraph"/>
      </w:pPr>
      <w:r>
        <w:rPr>
          <w:b/>
        </w:rPr>
        <w:t xml:space="preserve">PRISMA-ScR:</w:t>
      </w:r>
      <w:r>
        <w:t xml:space="preserve"> </w:t>
      </w:r>
      <w:r>
        <w:t xml:space="preserve">13 of 22 items addressed in the protocol (the remaining 8 are Results / Discussion items that populate during execution). Of the protocol items, all are addressed.</w:t>
      </w:r>
    </w:p>
    <w:p>
      <w:pPr>
        <w:pStyle w:val="BodyText"/>
      </w:pPr>
      <w:r>
        <w:rPr>
          <w:b/>
        </w:rPr>
        <w:t xml:space="preserve">PRISMA-S:</w:t>
      </w:r>
      <w:r>
        <w:t xml:space="preserve"> </w:t>
      </w:r>
      <w:r>
        <w:t xml:space="preserve">14 of 16 items addressed in the protocol. Item 3 (study registries) is N/A and documented; item 11 (search filters) is N/A.</w:t>
      </w:r>
    </w:p>
    <w:p>
      <w:pPr>
        <w:pStyle w:val="BodyText"/>
      </w:pPr>
      <w:r>
        <w:rPr>
          <w:b/>
        </w:rPr>
        <w:t xml:space="preserve">Items pending registration-time entries:</w:t>
      </w:r>
      <w:r>
        <w:t xml:space="preserve"> </w:t>
      </w:r>
      <w:r>
        <w:t xml:space="preserve">authorship ORCIDs (§B1); estimated milestone dates (§B1); Zenodo DOI for the code archive (§B6.3).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mapping document.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2026-05-12T11:18:13Z</dcterms:created>
  <dcterms:modified xsi:type="dcterms:W3CDTF">2026-05-12T11:18:13Z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