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B2545"/>
          <w:sz w:val="46"/>
        </w:rPr>
        <w:t>BUDGET DE MISE EN PRODUCTION</w:t>
      </w:r>
    </w:p>
    <w:p>
      <w:pPr>
        <w:spacing w:after="80"/>
      </w:pPr>
      <w:r>
        <w:rPr>
          <w:rFonts w:ascii="Calibri" w:hAnsi="Calibri"/>
          <w:b/>
          <w:color w:val="2E74B5"/>
          <w:sz w:val="26"/>
        </w:rPr>
        <w:t>Système de Gestion des Passeports des Guinéens Établis à l’Étranger</w:t>
      </w:r>
    </w:p>
    <w:p>
      <w:pPr>
        <w:spacing w:after="320"/>
      </w:pPr>
      <w:r>
        <w:rPr>
          <w:rFonts w:ascii="Calibri" w:hAnsi="Calibri"/>
          <w:b w:val="0"/>
          <w:color w:val="5F6976"/>
          <w:sz w:val="21"/>
        </w:rPr>
        <w:t>Architecture retenue : deux VPS et un consultant</w:t>
      </w:r>
    </w:p>
    <w:p>
      <w:pPr>
        <w:spacing w:after="240"/>
      </w:pPr>
      <w:r>
        <w:rPr>
          <w:rFonts w:ascii="Calibri" w:hAnsi="Calibri"/>
          <w:b/>
          <w:color w:val="0B2545"/>
          <w:sz w:val="22"/>
        </w:rPr>
        <w:t xml:space="preserve">Objet : </w:t>
      </w:r>
      <w:r>
        <w:rPr>
          <w:rFonts w:ascii="Calibri" w:hAnsi="Calibri"/>
          <w:b w:val="0"/>
          <w:sz w:val="22"/>
        </w:rPr>
        <w:t>estimation simple des coûts nécessaires au déploiement du SGP-GE en production.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50"/>
        <w:gridCol w:w="3900"/>
        <w:gridCol w:w="2210"/>
      </w:tblGrid>
      <w:tr>
        <w:tc>
          <w:tcPr>
            <w:tcW w:type="dxa" w:w="3250"/>
            <w:shd w:fill="0B254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Poste</w:t>
            </w:r>
          </w:p>
        </w:tc>
        <w:tc>
          <w:tcPr>
            <w:tcW w:type="dxa" w:w="3900"/>
            <w:shd w:fill="0B254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210"/>
            <w:shd w:fill="0B254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Coût</w:t>
            </w:r>
          </w:p>
        </w:tc>
      </w:tr>
      <w:tr>
        <w:tc>
          <w:tcPr>
            <w:tcW w:type="dxa" w:w="325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VPS Application</w:t>
            </w:r>
          </w:p>
        </w:tc>
        <w:tc>
          <w:tcPr>
            <w:tcW w:type="dxa" w:w="39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4 vCPU, 8 Go de RAM</w:t>
            </w:r>
          </w:p>
        </w:tc>
        <w:tc>
          <w:tcPr>
            <w:tcW w:type="dxa" w:w="221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B2545"/>
                <w:sz w:val="20"/>
              </w:rPr>
              <w:t>9 200 000 GNF/an</w:t>
            </w:r>
          </w:p>
        </w:tc>
      </w:tr>
      <w:tr>
        <w:tc>
          <w:tcPr>
            <w:tcW w:type="dxa" w:w="325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VPS Base de données</w:t>
            </w:r>
          </w:p>
        </w:tc>
        <w:tc>
          <w:tcPr>
            <w:tcW w:type="dxa" w:w="390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2 vCPU, 4 Go de RAM</w:t>
            </w:r>
          </w:p>
        </w:tc>
        <w:tc>
          <w:tcPr>
            <w:tcW w:type="dxa" w:w="221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B2545"/>
                <w:sz w:val="20"/>
              </w:rPr>
              <w:t>6 000 000 GNF/an</w:t>
            </w:r>
          </w:p>
        </w:tc>
      </w:tr>
      <w:tr>
        <w:tc>
          <w:tcPr>
            <w:tcW w:type="dxa" w:w="325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Messagerie</w:t>
            </w:r>
          </w:p>
        </w:tc>
        <w:tc>
          <w:tcPr>
            <w:tcW w:type="dxa" w:w="39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Notifications envoyées aux citoyens</w:t>
            </w:r>
          </w:p>
        </w:tc>
        <w:tc>
          <w:tcPr>
            <w:tcW w:type="dxa" w:w="221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B2545"/>
                <w:sz w:val="20"/>
              </w:rPr>
              <w:t>3 000 000 GNF/an</w:t>
            </w:r>
          </w:p>
        </w:tc>
      </w:tr>
      <w:tr>
        <w:tc>
          <w:tcPr>
            <w:tcW w:type="dxa" w:w="325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Sauvegarde externe chiffrée</w:t>
            </w:r>
          </w:p>
        </w:tc>
        <w:tc>
          <w:tcPr>
            <w:tcW w:type="dxa" w:w="390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Copie quotidienne conservée hors des VPS</w:t>
            </w:r>
          </w:p>
        </w:tc>
        <w:tc>
          <w:tcPr>
            <w:tcW w:type="dxa" w:w="221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B2545"/>
                <w:sz w:val="20"/>
              </w:rPr>
              <w:t>1 800 000 GNF/an</w:t>
            </w:r>
          </w:p>
        </w:tc>
      </w:tr>
      <w:tr>
        <w:tc>
          <w:tcPr>
            <w:tcW w:type="dxa" w:w="325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Sécurisation des serveurs et du pare-feu</w:t>
            </w:r>
          </w:p>
        </w:tc>
        <w:tc>
          <w:tcPr>
            <w:tcW w:type="dxa" w:w="39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Pare-feu, SSH, HTTPS et contrôle des accès</w:t>
            </w:r>
          </w:p>
        </w:tc>
        <w:tc>
          <w:tcPr>
            <w:tcW w:type="dxa" w:w="221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B2545"/>
                <w:sz w:val="20"/>
              </w:rPr>
              <w:t>2 500 000 GNF</w:t>
            </w:r>
          </w:p>
        </w:tc>
      </w:tr>
      <w:tr>
        <w:tc>
          <w:tcPr>
            <w:tcW w:type="dxa" w:w="325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Développement et déploiement</w:t>
            </w:r>
          </w:p>
        </w:tc>
        <w:tc>
          <w:tcPr>
            <w:tcW w:type="dxa" w:w="390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Un consultant</w:t>
            </w:r>
          </w:p>
        </w:tc>
        <w:tc>
          <w:tcPr>
            <w:tcW w:type="dxa" w:w="2210"/>
            <w:shd w:fill="F7F8F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B2545"/>
                <w:sz w:val="20"/>
              </w:rPr>
              <w:t>6 000 000 GNF</w:t>
            </w:r>
          </w:p>
        </w:tc>
      </w:tr>
      <w:tr>
        <w:tc>
          <w:tcPr>
            <w:tcW w:type="dxa" w:w="7150"/>
            <w:gridSpan w:val="2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>TOTAL PREMIÈRE ANNÉE</w:t>
            </w:r>
          </w:p>
        </w:tc>
        <w:tc>
          <w:tcPr>
            <w:tcW w:type="dxa" w:w="221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B2545"/>
                <w:sz w:val="22"/>
              </w:rPr>
              <w:t>28 500 000 GNF</w:t>
            </w:r>
          </w:p>
        </w:tc>
      </w:tr>
    </w:tbl>
    <w:p>
      <w:pPr>
        <w:pStyle w:val="Heading1"/>
      </w:pPr>
      <w:r>
        <w:t>Enveloppe recommandée</w:t>
      </w:r>
    </w:p>
    <w:p>
      <w:pPr>
        <w:spacing w:before="40" w:after="80"/>
        <w:jc w:val="center"/>
      </w:pPr>
      <w:r>
        <w:rPr>
          <w:rFonts w:ascii="Calibri" w:hAnsi="Calibri"/>
          <w:b/>
          <w:color w:val="2E74B5"/>
          <w:sz w:val="48"/>
        </w:rPr>
        <w:t>30 000 000 GNF</w:t>
      </w:r>
    </w:p>
    <w:p>
      <w:pPr>
        <w:spacing w:after="280"/>
        <w:jc w:val="center"/>
      </w:pPr>
      <w:r>
        <w:rPr>
          <w:rFonts w:ascii="Calibri" w:hAnsi="Calibri"/>
          <w:b w:val="0"/>
          <w:color w:val="5F6976"/>
          <w:sz w:val="21"/>
        </w:rPr>
        <w:t>Cette enveloppe inclut une provision pour les imprévus.</w:t>
      </w:r>
    </w:p>
    <w:p>
      <w:pPr>
        <w:pStyle w:val="Heading2"/>
      </w:pPr>
      <w:r>
        <w:t>Coût à partir de la deuxième année</w:t>
      </w:r>
    </w:p>
    <w:p>
      <w:pPr>
        <w:spacing w:after="0"/>
      </w:pPr>
      <w:r>
        <w:rPr>
          <w:rFonts w:ascii="Calibri" w:hAnsi="Calibri"/>
          <w:b/>
          <w:color w:val="0B2545"/>
          <w:sz w:val="24"/>
        </w:rPr>
        <w:t>Environ 20 000 000 GNF par an</w:t>
      </w:r>
      <w:r>
        <w:rPr>
          <w:rFonts w:ascii="Calibri" w:hAnsi="Calibri"/>
          <w:b w:val="0"/>
          <w:sz w:val="22"/>
        </w:rPr>
        <w:t>, hors maintenance, assistance et nouvelles évolutions fonctionnelles.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6976"/>
        <w:sz w:val="17"/>
      </w:rPr>
      <w:t>Document de travail - Août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F6976"/>
        <w:sz w:val="17"/>
      </w:rPr>
      <w:t>SGP-GE  |  Budget de mise en production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