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0B2545"/>
          <w:sz w:val="60"/>
        </w:rPr>
        <w:t>SGP-GE</w:t>
      </w:r>
    </w:p>
    <w:p>
      <w:pPr>
        <w:jc w:val="center"/>
      </w:pPr>
      <w:r>
        <w:rPr>
          <w:b/>
          <w:color w:val="2E74B5"/>
          <w:sz w:val="40"/>
        </w:rPr>
        <w:t>Script de capture d’écran et de narration</w:t>
      </w:r>
    </w:p>
    <w:p>
      <w:pPr>
        <w:spacing w:before="160"/>
        <w:jc w:val="center"/>
      </w:pPr>
      <w:r>
        <w:rPr>
          <w:color w:val="5F6976"/>
          <w:sz w:val="26"/>
        </w:rPr>
        <w:t>Tutoriel du parcours complet d’un passeport</w:t>
      </w:r>
    </w:p>
    <w:p>
      <w:pPr>
        <w:spacing w:before="800"/>
        <w:jc w:val="center"/>
      </w:pPr>
      <w:r>
        <w:rPr>
          <w:color w:val="0B2545"/>
          <w:sz w:val="22"/>
        </w:rPr>
        <w:t>Durée cible : 8 à 10 minutes</w:t>
        <w:br/>
        <w:t>Format : capture d’écran avec voix off</w:t>
        <w:br/>
        <w:t>Usage : démonstration et formation</w:t>
      </w:r>
    </w:p>
    <w:p>
      <w:r>
        <w:br w:type="page"/>
      </w:r>
    </w:p>
    <w:p>
      <w:pPr>
        <w:pStyle w:val="Heading1"/>
      </w:pPr>
      <w:r>
        <w:t>Mode d’emploi</w:t>
      </w:r>
    </w:p>
    <w:p>
      <w:r>
        <w:t>Ce document sépare, pour chaque séquence, les actions visibles à l’écran et le texte à transmettre à l’outil de narration. Les noms des menus peuvent être adaptés à la version du système utilisée pendant l’enregistrement.</w:t>
      </w:r>
    </w:p>
    <w:p>
      <w:pPr>
        <w:pStyle w:val="Heading1"/>
      </w:pPr>
      <w:r>
        <w:t>1. Introduction</w:t>
      </w:r>
    </w:p>
    <w:p>
      <w:pPr>
        <w:spacing w:after="140"/>
      </w:pPr>
      <w:r>
        <w:rPr>
          <w:b/>
          <w:color w:val="5F6976"/>
        </w:rPr>
        <w:t>Durée : 0:00 à 0:30</w:t>
      </w:r>
    </w:p>
    <w:p>
      <w:pPr>
        <w:pStyle w:val="Heading2"/>
      </w:pPr>
      <w:r>
        <w:t>À l’écran</w:t>
      </w:r>
    </w:p>
    <w:p>
      <w:pPr>
        <w:pStyle w:val="ListBullet"/>
        <w:spacing w:after="80"/>
        <w:ind w:left="540" w:hanging="271"/>
      </w:pPr>
      <w:r>
        <w:t>Afficher la page de connexion du SGP-GE.</w:t>
      </w:r>
    </w:p>
    <w:p>
      <w:pPr>
        <w:pStyle w:val="ListBullet"/>
        <w:spacing w:after="80"/>
        <w:ind w:left="540" w:hanging="271"/>
      </w:pPr>
      <w:r>
        <w:t>Faire apparaître le titre : « SGP-GE — Gestion des passeports des Guinéens établis à l’étranger ».</w:t>
      </w:r>
    </w:p>
    <w:p>
      <w:pPr>
        <w:pStyle w:val="Heading2"/>
      </w:pPr>
      <w:r>
        <w:t>Narration</w:t>
      </w:r>
    </w:p>
    <w:p>
      <w:pPr>
        <w:spacing w:before="40" w:after="200"/>
        <w:ind w:left="259" w:right="259"/>
      </w:pPr>
      <w:r>
        <w:t>Bienvenue dans ce tutoriel consacré au SGP-GE, le Système de Gestion des Passeports des Guinéens établis à l’étranger. Cette plateforme permet de suivre chaque demande de passeport, depuis l’enrôlement du citoyen à l’ambassade jusqu’à la remise du document. Toutes les opérations sont sécurisées, horodatées et associées à l’agent qui les réalise.</w:t>
      </w:r>
    </w:p>
    <w:p>
      <w:pPr>
        <w:pStyle w:val="Heading1"/>
      </w:pPr>
      <w:r>
        <w:t>2. Connexion et tableau de bord</w:t>
      </w:r>
    </w:p>
    <w:p>
      <w:pPr>
        <w:spacing w:after="140"/>
      </w:pPr>
      <w:r>
        <w:rPr>
          <w:b/>
          <w:color w:val="5F6976"/>
        </w:rPr>
        <w:t>Durée : 0:30 à 1:15</w:t>
      </w:r>
    </w:p>
    <w:p>
      <w:pPr>
        <w:pStyle w:val="Heading2"/>
      </w:pPr>
      <w:r>
        <w:t>À l’écran</w:t>
      </w:r>
    </w:p>
    <w:p>
      <w:pPr>
        <w:pStyle w:val="ListBullet"/>
        <w:spacing w:after="80"/>
        <w:ind w:left="540" w:hanging="271"/>
      </w:pPr>
      <w:r>
        <w:t>Saisir les identifiants d’un compte de démonstration.</w:t>
      </w:r>
    </w:p>
    <w:p>
      <w:pPr>
        <w:pStyle w:val="ListBullet"/>
        <w:spacing w:after="80"/>
        <w:ind w:left="540" w:hanging="271"/>
      </w:pPr>
      <w:r>
        <w:t>Cliquer sur « Se connecter ».</w:t>
      </w:r>
    </w:p>
    <w:p>
      <w:pPr>
        <w:pStyle w:val="ListBullet"/>
        <w:spacing w:after="80"/>
        <w:ind w:left="540" w:hanging="271"/>
      </w:pPr>
      <w:r>
        <w:t>Parcourir lentement le tableau de bord.</w:t>
      </w:r>
    </w:p>
    <w:p>
      <w:pPr>
        <w:pStyle w:val="ListBullet"/>
        <w:spacing w:after="80"/>
        <w:ind w:left="540" w:hanging="271"/>
      </w:pPr>
      <w:r>
        <w:t>Montrer les indicateurs : dossiers, passeports en stock, lots, expéditions et anomalies.</w:t>
      </w:r>
    </w:p>
    <w:p>
      <w:pPr>
        <w:pStyle w:val="Heading2"/>
      </w:pPr>
      <w:r>
        <w:t>Narration</w:t>
      </w:r>
    </w:p>
    <w:p>
      <w:pPr>
        <w:spacing w:before="40" w:after="200"/>
        <w:ind w:left="259" w:right="259"/>
      </w:pPr>
      <w:r>
        <w:t>Commençons par nous connecter avec un compte autorisé. Après la connexion, l’utilisateur accède à un tableau de bord adapté à son rôle. Il peut y consulter les dossiers en cours, les passeports en stock, les lots préparés, les expéditions et les éventuelles anomalies. Les informations affichées dépendent des droits de l’utilisateur et de son ambassade de rattachement.</w:t>
      </w:r>
    </w:p>
    <w:p>
      <w:pPr>
        <w:pStyle w:val="Heading1"/>
      </w:pPr>
      <w:r>
        <w:t>3. Enrôlement d’un citoyen</w:t>
      </w:r>
    </w:p>
    <w:p>
      <w:pPr>
        <w:spacing w:after="140"/>
      </w:pPr>
      <w:r>
        <w:rPr>
          <w:b/>
          <w:color w:val="5F6976"/>
        </w:rPr>
        <w:t>Durée : 1:15 à 2:20</w:t>
      </w:r>
    </w:p>
    <w:p>
      <w:pPr>
        <w:pStyle w:val="Heading2"/>
      </w:pPr>
      <w:r>
        <w:t>À l’écran</w:t>
      </w:r>
    </w:p>
    <w:p>
      <w:pPr>
        <w:pStyle w:val="ListBullet"/>
        <w:spacing w:after="80"/>
        <w:ind w:left="540" w:hanging="271"/>
      </w:pPr>
      <w:r>
        <w:t>Ouvrir le menu « Enrôlements » ou « Demandes ».</w:t>
      </w:r>
    </w:p>
    <w:p>
      <w:pPr>
        <w:pStyle w:val="ListBullet"/>
        <w:spacing w:after="80"/>
        <w:ind w:left="540" w:hanging="271"/>
      </w:pPr>
      <w:r>
        <w:t>Cliquer sur « Nouvelle demande ».</w:t>
      </w:r>
    </w:p>
    <w:p>
      <w:pPr>
        <w:pStyle w:val="ListBullet"/>
        <w:spacing w:after="80"/>
        <w:ind w:left="540" w:hanging="271"/>
      </w:pPr>
      <w:r>
        <w:t>Remplir un dossier fictif et montrer les champs d’identité, les coordonnées, l’adresse email et l’ambassade.</w:t>
      </w:r>
    </w:p>
    <w:p>
      <w:pPr>
        <w:pStyle w:val="ListBullet"/>
        <w:spacing w:after="80"/>
        <w:ind w:left="540" w:hanging="271"/>
      </w:pPr>
      <w:r>
        <w:t>Valider la demande, puis faire un zoom sur la référence générée.</w:t>
      </w:r>
    </w:p>
    <w:p>
      <w:pPr>
        <w:pStyle w:val="Heading2"/>
      </w:pPr>
      <w:r>
        <w:t>Narration</w:t>
      </w:r>
    </w:p>
    <w:p>
      <w:pPr>
        <w:spacing w:before="40" w:after="200"/>
        <w:ind w:left="259" w:right="259"/>
      </w:pPr>
      <w:r>
        <w:t>La première étape est l’enrôlement du citoyen à l’ambassade. L’agent ouvre une nouvelle demande et renseigne les informations d’identité, les coordonnées du demandeur et les données nécessaires au traitement du passeport. Il est important de vérifier l’adresse email, car elle servira à informer automatiquement le citoyen lorsque son passeport sera disponible. Après validation, le système génère une référence unique. Cette référence accompagnera le dossier pendant tout son parcours, sans ressaisie ni duplication. Le dossier prend alors le statut “Enrôlé”.</w:t>
      </w:r>
    </w:p>
    <w:p>
      <w:pPr>
        <w:pStyle w:val="Heading1"/>
      </w:pPr>
      <w:r>
        <w:t>4. Impression et réception au Ministère</w:t>
      </w:r>
    </w:p>
    <w:p>
      <w:pPr>
        <w:spacing w:after="140"/>
      </w:pPr>
      <w:r>
        <w:rPr>
          <w:b/>
          <w:color w:val="5F6976"/>
        </w:rPr>
        <w:t>Durée : 2:20 à 3:10</w:t>
      </w:r>
    </w:p>
    <w:p>
      <w:pPr>
        <w:pStyle w:val="Heading2"/>
      </w:pPr>
      <w:r>
        <w:t>À l’écran</w:t>
      </w:r>
    </w:p>
    <w:p>
      <w:pPr>
        <w:pStyle w:val="ListBullet"/>
        <w:spacing w:after="80"/>
        <w:ind w:left="540" w:hanging="271"/>
      </w:pPr>
      <w:r>
        <w:t>Se connecter, si nécessaire, avec un profil « Agent Impression ».</w:t>
      </w:r>
    </w:p>
    <w:p>
      <w:pPr>
        <w:pStyle w:val="ListBullet"/>
        <w:spacing w:after="80"/>
        <w:ind w:left="540" w:hanging="271"/>
      </w:pPr>
      <w:r>
        <w:t>Rechercher la demande créée et ouvrir sa fiche.</w:t>
      </w:r>
    </w:p>
    <w:p>
      <w:pPr>
        <w:pStyle w:val="ListBullet"/>
        <w:spacing w:after="80"/>
        <w:ind w:left="540" w:hanging="271"/>
      </w:pPr>
      <w:r>
        <w:t>Assigner un numéro de passeport fictif, puis confirmer l’impression.</w:t>
      </w:r>
    </w:p>
    <w:p>
      <w:pPr>
        <w:pStyle w:val="ListBullet"/>
        <w:spacing w:after="80"/>
        <w:ind w:left="540" w:hanging="271"/>
      </w:pPr>
      <w:r>
        <w:t>Montrer ensuite l’action de réception au MAE.</w:t>
      </w:r>
    </w:p>
    <w:p>
      <w:pPr>
        <w:pStyle w:val="Heading2"/>
      </w:pPr>
      <w:r>
        <w:t>Narration</w:t>
      </w:r>
    </w:p>
    <w:p>
      <w:pPr>
        <w:spacing w:before="40" w:after="200"/>
        <w:ind w:left="259" w:right="259"/>
      </w:pPr>
      <w:r>
        <w:t>À Conakry, l’agent chargé de l’impression retrouve le dossier transmis par l’ambassade. Il lui attribue un numéro de passeport officiel et unique, puis confirme la production du document. Le statut devient “Imprimé”. Lorsque le document physique est livré au Ministère, sa conformité est vérifiée. Sa réception est ensuite enregistrée dans le système avec le statut “Reçu MAE”.</w:t>
      </w:r>
    </w:p>
    <w:p>
      <w:pPr>
        <w:pStyle w:val="Heading1"/>
      </w:pPr>
      <w:r>
        <w:t>5. Mise en stock</w:t>
      </w:r>
    </w:p>
    <w:p>
      <w:pPr>
        <w:spacing w:after="140"/>
      </w:pPr>
      <w:r>
        <w:rPr>
          <w:b/>
          <w:color w:val="5F6976"/>
        </w:rPr>
        <w:t>Durée : 3:10 à 3:40</w:t>
      </w:r>
    </w:p>
    <w:p>
      <w:pPr>
        <w:pStyle w:val="Heading2"/>
      </w:pPr>
      <w:r>
        <w:t>À l’écran</w:t>
      </w:r>
    </w:p>
    <w:p>
      <w:pPr>
        <w:pStyle w:val="ListBullet"/>
        <w:spacing w:after="80"/>
        <w:ind w:left="540" w:hanging="271"/>
      </w:pPr>
      <w:r>
        <w:t>Afficher l’action « Mettre en stock » et confirmer l’opération.</w:t>
      </w:r>
    </w:p>
    <w:p>
      <w:pPr>
        <w:pStyle w:val="ListBullet"/>
        <w:spacing w:after="80"/>
        <w:ind w:left="540" w:hanging="271"/>
      </w:pPr>
      <w:r>
        <w:t>Ouvrir la liste du stock.</w:t>
      </w:r>
    </w:p>
    <w:p>
      <w:pPr>
        <w:pStyle w:val="ListBullet"/>
        <w:spacing w:after="80"/>
        <w:ind w:left="540" w:hanging="271"/>
      </w:pPr>
      <w:r>
        <w:t>Filtrer les passeports par ambassade de destination.</w:t>
      </w:r>
    </w:p>
    <w:p>
      <w:pPr>
        <w:pStyle w:val="Heading2"/>
      </w:pPr>
      <w:r>
        <w:t>Narration</w:t>
      </w:r>
    </w:p>
    <w:p>
      <w:pPr>
        <w:spacing w:before="40" w:after="200"/>
        <w:ind w:left="259" w:right="259"/>
      </w:pPr>
      <w:r>
        <w:t>Après sa réception et son contrôle, le passeport est placé dans le stock central. Le stock peut être filtré par ambassade de destination. Cette organisation facilite la préparation des prochains envois et donne à la Direction une visibilité immédiate sur les documents disponibles.</w:t>
      </w:r>
    </w:p>
    <w:p>
      <w:pPr>
        <w:pStyle w:val="Heading1"/>
      </w:pPr>
      <w:r>
        <w:t>6. Création et validation d’un lot</w:t>
      </w:r>
    </w:p>
    <w:p>
      <w:pPr>
        <w:spacing w:after="140"/>
      </w:pPr>
      <w:r>
        <w:rPr>
          <w:b/>
          <w:color w:val="5F6976"/>
        </w:rPr>
        <w:t>Durée : 3:40 à 4:50</w:t>
      </w:r>
    </w:p>
    <w:p>
      <w:pPr>
        <w:pStyle w:val="Heading2"/>
      </w:pPr>
      <w:r>
        <w:t>À l’écran</w:t>
      </w:r>
    </w:p>
    <w:p>
      <w:pPr>
        <w:pStyle w:val="ListBullet"/>
        <w:spacing w:after="80"/>
        <w:ind w:left="540" w:hanging="271"/>
      </w:pPr>
      <w:r>
        <w:t>Ouvrir le menu « Lots », puis cliquer sur « Nouveau lot ».</w:t>
      </w:r>
    </w:p>
    <w:p>
      <w:pPr>
        <w:pStyle w:val="ListBullet"/>
        <w:spacing w:after="80"/>
        <w:ind w:left="540" w:hanging="271"/>
      </w:pPr>
      <w:r>
        <w:t>Sélectionner une ambassade et ajouter plusieurs passeports fictifs.</w:t>
      </w:r>
    </w:p>
    <w:p>
      <w:pPr>
        <w:pStyle w:val="ListBullet"/>
        <w:spacing w:after="80"/>
        <w:ind w:left="540" w:hanging="271"/>
      </w:pPr>
      <w:r>
        <w:t>Enregistrer le lot et montrer sa référence unique.</w:t>
      </w:r>
    </w:p>
    <w:p>
      <w:pPr>
        <w:pStyle w:val="ListBullet"/>
        <w:spacing w:after="80"/>
        <w:ind w:left="540" w:hanging="271"/>
      </w:pPr>
      <w:r>
        <w:t>Passer sur un profil « Responsable Cellule », contrôler puis valider le lot.</w:t>
      </w:r>
    </w:p>
    <w:p>
      <w:pPr>
        <w:pStyle w:val="Heading2"/>
      </w:pPr>
      <w:r>
        <w:t>Narration</w:t>
      </w:r>
    </w:p>
    <w:p>
      <w:pPr>
        <w:spacing w:before="40" w:after="200"/>
        <w:ind w:left="259" w:right="259"/>
      </w:pPr>
      <w:r>
        <w:t>L’agent logistique peut maintenant constituer un lot. Il sélectionne l’ambassade de destination, puis ajoute les passeports concernés. Le système attribue une référence unique au lot et permet de vérifier son contenu avant validation. Le Responsable Cellule effectue le contrôle final, puis valide le lot. Attention : la validation est une opération définitive. Elle verrouille le contenu du lot afin d’empêcher tout ajout ou retrait non autorisé.</w:t>
      </w:r>
    </w:p>
    <w:p>
      <w:pPr>
        <w:pStyle w:val="Heading1"/>
      </w:pPr>
      <w:r>
        <w:t>7. Expédition et bordereau sécurisé</w:t>
      </w:r>
    </w:p>
    <w:p>
      <w:pPr>
        <w:spacing w:after="140"/>
      </w:pPr>
      <w:r>
        <w:rPr>
          <w:b/>
          <w:color w:val="5F6976"/>
        </w:rPr>
        <w:t>Durée : 4:50 à 5:45</w:t>
      </w:r>
    </w:p>
    <w:p>
      <w:pPr>
        <w:pStyle w:val="Heading2"/>
      </w:pPr>
      <w:r>
        <w:t>À l’écran</w:t>
      </w:r>
    </w:p>
    <w:p>
      <w:pPr>
        <w:pStyle w:val="ListBullet"/>
        <w:spacing w:after="80"/>
        <w:ind w:left="540" w:hanging="271"/>
      </w:pPr>
      <w:r>
        <w:t>Cliquer sur « Expédier ».</w:t>
      </w:r>
    </w:p>
    <w:p>
      <w:pPr>
        <w:pStyle w:val="ListBullet"/>
        <w:spacing w:after="80"/>
        <w:ind w:left="540" w:hanging="271"/>
      </w:pPr>
      <w:r>
        <w:t>Sélectionner ou saisir le transporteur et renseigner la référence d’expédition.</w:t>
      </w:r>
    </w:p>
    <w:p>
      <w:pPr>
        <w:pStyle w:val="ListBullet"/>
        <w:spacing w:after="80"/>
        <w:ind w:left="540" w:hanging="271"/>
      </w:pPr>
      <w:r>
        <w:t>Confirmer l’opération.</w:t>
      </w:r>
    </w:p>
    <w:p>
      <w:pPr>
        <w:pStyle w:val="ListBullet"/>
        <w:spacing w:after="80"/>
        <w:ind w:left="540" w:hanging="271"/>
      </w:pPr>
      <w:r>
        <w:t>Ouvrir le bordereau PDF et faire un zoom sur le QR Code.</w:t>
      </w:r>
    </w:p>
    <w:p>
      <w:pPr>
        <w:pStyle w:val="Heading2"/>
      </w:pPr>
      <w:r>
        <w:t>Narration</w:t>
      </w:r>
    </w:p>
    <w:p>
      <w:pPr>
        <w:spacing w:before="40" w:after="200"/>
        <w:ind w:left="259" w:right="259"/>
      </w:pPr>
      <w:r>
        <w:t>Une fois le lot validé, l’agent logistique enregistre son expédition. Il renseigne les informations du transporteur, puis confirme l’opération. Le système génère automatiquement un bordereau d’expédition contenant la liste des passeports et un QR Code sécurisé. Ce QR Code est signé cryptographiquement. Toute modification frauduleuse du contenu rendrait le code invalide. Le lot passe alors au statut “Expédié”, puis éventuellement “En transit”.</w:t>
      </w:r>
    </w:p>
    <w:p>
      <w:pPr>
        <w:pStyle w:val="Heading1"/>
      </w:pPr>
      <w:r>
        <w:t>8. Réception du lot à l’ambassade</w:t>
      </w:r>
    </w:p>
    <w:p>
      <w:pPr>
        <w:spacing w:after="140"/>
      </w:pPr>
      <w:r>
        <w:rPr>
          <w:b/>
          <w:color w:val="5F6976"/>
        </w:rPr>
        <w:t>Durée : 5:45 à 6:50</w:t>
      </w:r>
    </w:p>
    <w:p>
      <w:pPr>
        <w:pStyle w:val="Heading2"/>
      </w:pPr>
      <w:r>
        <w:t>À l’écran</w:t>
      </w:r>
    </w:p>
    <w:p>
      <w:pPr>
        <w:pStyle w:val="ListBullet"/>
        <w:spacing w:after="80"/>
        <w:ind w:left="540" w:hanging="271"/>
      </w:pPr>
      <w:r>
        <w:t>Simuler le scan du QR Code avec un téléphone ou ouvrir le lien sécurisé.</w:t>
      </w:r>
    </w:p>
    <w:p>
      <w:pPr>
        <w:pStyle w:val="ListBullet"/>
        <w:spacing w:after="80"/>
        <w:ind w:left="540" w:hanging="271"/>
      </w:pPr>
      <w:r>
        <w:t>Afficher les informations du lot.</w:t>
      </w:r>
    </w:p>
    <w:p>
      <w:pPr>
        <w:pStyle w:val="ListBullet"/>
        <w:spacing w:after="80"/>
        <w:ind w:left="540" w:hanging="271"/>
      </w:pPr>
      <w:r>
        <w:t>Confirmer les passeports un par un.</w:t>
      </w:r>
    </w:p>
    <w:p>
      <w:pPr>
        <w:pStyle w:val="ListBullet"/>
        <w:spacing w:after="80"/>
        <w:ind w:left="540" w:hanging="271"/>
      </w:pPr>
      <w:r>
        <w:t>Valider la réception complète.</w:t>
      </w:r>
    </w:p>
    <w:p>
      <w:pPr>
        <w:pStyle w:val="Heading2"/>
      </w:pPr>
      <w:r>
        <w:t>Narration</w:t>
      </w:r>
    </w:p>
    <w:p>
      <w:pPr>
        <w:spacing w:before="40" w:after="200"/>
        <w:ind w:left="259" w:right="259"/>
      </w:pPr>
      <w:r>
        <w:t>À l’arrivée du colis, l’agent de réception scanne le QR Code présent sur le bordereau. Aucune application particulière n’est nécessaire : le lien sécurisé peut être ouvert depuis un smartphone. L’agent vérifie ensuite chaque passeport physiquement et confirme sa présence dans le système. Cette vérification individuelle permet de détecter immédiatement un document manquant, endommagé ou incorrect. Après confirmation, le lot prend le statut “Reçu ambassade”.</w:t>
      </w:r>
    </w:p>
    <w:p>
      <w:pPr>
        <w:pStyle w:val="Heading1"/>
      </w:pPr>
      <w:r>
        <w:t>9. Déclaration d’une anomalie</w:t>
      </w:r>
    </w:p>
    <w:p>
      <w:pPr>
        <w:spacing w:after="140"/>
      </w:pPr>
      <w:r>
        <w:rPr>
          <w:b/>
          <w:color w:val="5F6976"/>
        </w:rPr>
        <w:t>Durée : 6:50 à 7:35</w:t>
      </w:r>
    </w:p>
    <w:p>
      <w:pPr>
        <w:pStyle w:val="Heading2"/>
      </w:pPr>
      <w:r>
        <w:t>À l’écran</w:t>
      </w:r>
    </w:p>
    <w:p>
      <w:pPr>
        <w:pStyle w:val="ListBullet"/>
        <w:spacing w:after="80"/>
        <w:ind w:left="540" w:hanging="271"/>
      </w:pPr>
      <w:r>
        <w:t>Sélectionner un passeport fictif et cliquer sur « Signaler une anomalie ».</w:t>
      </w:r>
    </w:p>
    <w:p>
      <w:pPr>
        <w:pStyle w:val="ListBullet"/>
        <w:spacing w:after="80"/>
        <w:ind w:left="540" w:hanging="271"/>
      </w:pPr>
      <w:r>
        <w:t>Choisir : « Manquant », « Endommagé », « Erroné » ou « Autre ».</w:t>
      </w:r>
    </w:p>
    <w:p>
      <w:pPr>
        <w:pStyle w:val="ListBullet"/>
        <w:spacing w:after="80"/>
        <w:ind w:left="540" w:hanging="271"/>
      </w:pPr>
      <w:r>
        <w:t>Ajouter une description et valider.</w:t>
      </w:r>
    </w:p>
    <w:p>
      <w:pPr>
        <w:pStyle w:val="ListBullet"/>
        <w:spacing w:after="80"/>
        <w:ind w:left="540" w:hanging="271"/>
      </w:pPr>
      <w:r>
        <w:t>Montrer le statut « Ouvert ».</w:t>
      </w:r>
    </w:p>
    <w:p>
      <w:pPr>
        <w:pStyle w:val="Heading2"/>
      </w:pPr>
      <w:r>
        <w:t>Narration</w:t>
      </w:r>
    </w:p>
    <w:p>
      <w:pPr>
        <w:spacing w:before="40" w:after="200"/>
        <w:ind w:left="259" w:right="259"/>
      </w:pPr>
      <w:r>
        <w:t>Lorsqu’un problème est constaté, l’agent peut déclarer une anomalie sans bloquer le traitement des autres passeports du lot. Il sélectionne le type d’incident : passeport manquant, endommagé, erroné ou autre. Il ajoute ensuite une description et, si le système le permet, une pièce justificative. L’anomalie passe successivement par les statuts “Ouvert”, “En traitement” puis “Résolu”. Une fois le problème réglé, le passeport peut reprendre son parcours normal.</w:t>
      </w:r>
    </w:p>
    <w:p>
      <w:pPr>
        <w:pStyle w:val="Heading1"/>
      </w:pPr>
      <w:r>
        <w:t>10. Mise à disposition et notification</w:t>
      </w:r>
    </w:p>
    <w:p>
      <w:pPr>
        <w:spacing w:after="140"/>
      </w:pPr>
      <w:r>
        <w:rPr>
          <w:b/>
          <w:color w:val="5F6976"/>
        </w:rPr>
        <w:t>Durée : 7:35 à 8:15</w:t>
      </w:r>
    </w:p>
    <w:p>
      <w:pPr>
        <w:pStyle w:val="Heading2"/>
      </w:pPr>
      <w:r>
        <w:t>À l’écran</w:t>
      </w:r>
    </w:p>
    <w:p>
      <w:pPr>
        <w:pStyle w:val="ListBullet"/>
        <w:spacing w:after="80"/>
        <w:ind w:left="540" w:hanging="271"/>
      </w:pPr>
      <w:r>
        <w:t>Ouvrir un passeport reçu sans anomalie.</w:t>
      </w:r>
    </w:p>
    <w:p>
      <w:pPr>
        <w:pStyle w:val="ListBullet"/>
        <w:spacing w:after="80"/>
        <w:ind w:left="540" w:hanging="271"/>
      </w:pPr>
      <w:r>
        <w:t>Cliquer sur « Rendre disponible » ou l’action équivalente.</w:t>
      </w:r>
    </w:p>
    <w:p>
      <w:pPr>
        <w:pStyle w:val="ListBullet"/>
        <w:spacing w:after="80"/>
        <w:ind w:left="540" w:hanging="271"/>
      </w:pPr>
      <w:r>
        <w:t>Confirmer l’opération et montrer le statut « Disponible retrait ».</w:t>
      </w:r>
    </w:p>
    <w:p>
      <w:pPr>
        <w:pStyle w:val="ListBullet"/>
        <w:spacing w:after="80"/>
        <w:ind w:left="540" w:hanging="271"/>
      </w:pPr>
      <w:r>
        <w:t>Afficher, si possible, l’aperçu de la notification.</w:t>
      </w:r>
    </w:p>
    <w:p>
      <w:pPr>
        <w:pStyle w:val="Heading2"/>
      </w:pPr>
      <w:r>
        <w:t>Narration</w:t>
      </w:r>
    </w:p>
    <w:p>
      <w:pPr>
        <w:spacing w:before="40" w:after="200"/>
        <w:ind w:left="259" w:right="259"/>
      </w:pPr>
      <w:r>
        <w:t>Après vérification, l’agent marque le passeport comme disponible au retrait. Le système envoie automatiquement un email à l’adresse enregistrée lors de l’enrôlement. Le citoyen est ainsi informé sans avoir besoin de se déplacer ou de contacter régulièrement l’ambassade.</w:t>
      </w:r>
    </w:p>
    <w:p>
      <w:pPr>
        <w:pStyle w:val="Heading1"/>
      </w:pPr>
      <w:r>
        <w:t>11. Remise au citoyen</w:t>
      </w:r>
    </w:p>
    <w:p>
      <w:pPr>
        <w:spacing w:after="140"/>
      </w:pPr>
      <w:r>
        <w:rPr>
          <w:b/>
          <w:color w:val="5F6976"/>
        </w:rPr>
        <w:t>Durée : 8:15 à 9:00</w:t>
      </w:r>
    </w:p>
    <w:p>
      <w:pPr>
        <w:pStyle w:val="Heading2"/>
      </w:pPr>
      <w:r>
        <w:t>À l’écran</w:t>
      </w:r>
    </w:p>
    <w:p>
      <w:pPr>
        <w:pStyle w:val="ListBullet"/>
        <w:spacing w:after="80"/>
        <w:ind w:left="540" w:hanging="271"/>
      </w:pPr>
      <w:r>
        <w:t>Ouvrir la fiche du passeport et vérifier les informations du titulaire.</w:t>
      </w:r>
    </w:p>
    <w:p>
      <w:pPr>
        <w:pStyle w:val="ListBullet"/>
        <w:spacing w:after="80"/>
        <w:ind w:left="540" w:hanging="271"/>
      </w:pPr>
      <w:r>
        <w:t>Cliquer sur « Remettre au citoyen ».</w:t>
      </w:r>
    </w:p>
    <w:p>
      <w:pPr>
        <w:pStyle w:val="ListBullet"/>
        <w:spacing w:after="80"/>
        <w:ind w:left="540" w:hanging="271"/>
      </w:pPr>
      <w:r>
        <w:t>Renseigner les informations éventuellement demandées, puis confirmer.</w:t>
      </w:r>
    </w:p>
    <w:p>
      <w:pPr>
        <w:pStyle w:val="ListBullet"/>
        <w:spacing w:after="80"/>
        <w:ind w:left="540" w:hanging="271"/>
      </w:pPr>
      <w:r>
        <w:t>Montrer le statut final « Remis au citoyen ».</w:t>
      </w:r>
    </w:p>
    <w:p>
      <w:pPr>
        <w:pStyle w:val="Heading2"/>
      </w:pPr>
      <w:r>
        <w:t>Narration</w:t>
      </w:r>
    </w:p>
    <w:p>
      <w:pPr>
        <w:spacing w:before="40" w:after="200"/>
        <w:ind w:left="259" w:right="259"/>
      </w:pPr>
      <w:r>
        <w:t>Lorsque le citoyen se présente à l’ambassade, l’agent vérifie son identité ainsi que les informations du passeport. Après la signature du registre de remise, l’agent confirme la délivrance dans le système. La date est enregistrée définitivement, le passeport prend le statut “Remis au citoyen” et le dossier est clôturé.</w:t>
      </w:r>
    </w:p>
    <w:p>
      <w:pPr>
        <w:pStyle w:val="Heading1"/>
      </w:pPr>
      <w:r>
        <w:t>12. Historique et journal d’audit</w:t>
      </w:r>
    </w:p>
    <w:p>
      <w:pPr>
        <w:spacing w:after="140"/>
      </w:pPr>
      <w:r>
        <w:rPr>
          <w:b/>
          <w:color w:val="5F6976"/>
        </w:rPr>
        <w:t>Durée : 9:00 à 9:35</w:t>
      </w:r>
    </w:p>
    <w:p>
      <w:pPr>
        <w:pStyle w:val="Heading2"/>
      </w:pPr>
      <w:r>
        <w:t>À l’écran</w:t>
      </w:r>
    </w:p>
    <w:p>
      <w:pPr>
        <w:pStyle w:val="ListBullet"/>
        <w:spacing w:after="80"/>
        <w:ind w:left="540" w:hanging="271"/>
      </w:pPr>
      <w:r>
        <w:t>Ouvrir l’onglet « Historique » du dossier.</w:t>
      </w:r>
    </w:p>
    <w:p>
      <w:pPr>
        <w:pStyle w:val="ListBullet"/>
        <w:spacing w:after="80"/>
        <w:ind w:left="540" w:hanging="271"/>
      </w:pPr>
      <w:r>
        <w:t>Faire défiler la chronologie.</w:t>
      </w:r>
    </w:p>
    <w:p>
      <w:pPr>
        <w:pStyle w:val="ListBullet"/>
        <w:spacing w:after="80"/>
        <w:ind w:left="540" w:hanging="271"/>
      </w:pPr>
      <w:r>
        <w:t>Montrer le nom des agents, les actions, les dates et les statuts.</w:t>
      </w:r>
    </w:p>
    <w:p>
      <w:pPr>
        <w:pStyle w:val="ListBullet"/>
        <w:spacing w:after="80"/>
        <w:ind w:left="540" w:hanging="271"/>
      </w:pPr>
      <w:r>
        <w:t>Ouvrir brièvement le journal d’audit global.</w:t>
      </w:r>
    </w:p>
    <w:p>
      <w:pPr>
        <w:pStyle w:val="Heading2"/>
      </w:pPr>
      <w:r>
        <w:t>Narration</w:t>
      </w:r>
    </w:p>
    <w:p>
      <w:pPr>
        <w:spacing w:before="40" w:after="200"/>
        <w:ind w:left="259" w:right="259"/>
      </w:pPr>
      <w:r>
        <w:t>À tout moment, les utilisateurs autorisés peuvent consulter l’historique complet d’un passeport. Chaque opération indique l’action effectuée, sa date, son heure et l’identité de l’agent responsable. Le journal d’audit permet ainsi de savoir précisément qui a fait quoi et quand, depuis l’enrôlement jusqu’à la remise finale.</w:t>
      </w:r>
    </w:p>
    <w:p>
      <w:pPr>
        <w:pStyle w:val="Heading1"/>
      </w:pPr>
      <w:r>
        <w:t>13. Conclusion</w:t>
      </w:r>
    </w:p>
    <w:p>
      <w:pPr>
        <w:spacing w:after="140"/>
      </w:pPr>
      <w:r>
        <w:rPr>
          <w:b/>
          <w:color w:val="5F6976"/>
        </w:rPr>
        <w:t>Durée : 9:35 à 10:00</w:t>
      </w:r>
    </w:p>
    <w:p>
      <w:pPr>
        <w:pStyle w:val="Heading2"/>
      </w:pPr>
      <w:r>
        <w:t>À l’écran</w:t>
      </w:r>
    </w:p>
    <w:p>
      <w:pPr>
        <w:pStyle w:val="ListBullet"/>
        <w:spacing w:after="80"/>
        <w:ind w:left="540" w:hanging="271"/>
      </w:pPr>
      <w:r>
        <w:t>Revenir au tableau de bord.</w:t>
      </w:r>
    </w:p>
    <w:p>
      <w:pPr>
        <w:pStyle w:val="ListBullet"/>
        <w:spacing w:after="80"/>
        <w:ind w:left="540" w:hanging="271"/>
      </w:pPr>
      <w:r>
        <w:t>Afficher le logo ou l’écran d’accueil.</w:t>
      </w:r>
    </w:p>
    <w:p>
      <w:pPr>
        <w:pStyle w:val="ListBullet"/>
        <w:spacing w:after="80"/>
        <w:ind w:left="540" w:hanging="271"/>
      </w:pPr>
      <w:r>
        <w:t>Faire apparaître les mots : « Suivi — Sécurité — Traçabilité ».</w:t>
      </w:r>
    </w:p>
    <w:p>
      <w:pPr>
        <w:pStyle w:val="Heading2"/>
      </w:pPr>
      <w:r>
        <w:t>Narration</w:t>
      </w:r>
    </w:p>
    <w:p>
      <w:pPr>
        <w:spacing w:before="40" w:after="200"/>
        <w:ind w:left="259" w:right="259"/>
      </w:pPr>
      <w:r>
        <w:t>Le SGP-GE centralise et sécurise l’ensemble du parcours du passeport. Il améliore le suivi des dossiers, réduit les risques de perte ou de fraude, facilite le travail des ambassades et permet aux citoyens d’être informés plus rapidement. Merci d’avoir suivi ce tutoriel consacré au SGP-GE.</w:t>
      </w:r>
    </w:p>
    <w:p>
      <w:r>
        <w:br w:type="page"/>
      </w:r>
    </w:p>
    <w:p>
      <w:pPr>
        <w:pStyle w:val="Heading1"/>
      </w:pPr>
      <w:r>
        <w:t>Préparation avant l’enregistrement</w:t>
      </w:r>
    </w:p>
    <w:p>
      <w:pPr>
        <w:pStyle w:val="ListBullet"/>
      </w:pPr>
      <w:r>
        <w:t>Utiliser uniquement des identités et numéros de passeport fictifs.</w:t>
      </w:r>
    </w:p>
    <w:p>
      <w:pPr>
        <w:pStyle w:val="ListBullet"/>
      </w:pPr>
      <w:r>
        <w:t>Masquer les mots de passe pendant la connexion.</w:t>
      </w:r>
    </w:p>
    <w:p>
      <w:pPr>
        <w:pStyle w:val="ListBullet"/>
      </w:pPr>
      <w:r>
        <w:t>Préparer plusieurs comptes de démonstration correspondant aux différents rôles.</w:t>
      </w:r>
    </w:p>
    <w:p>
      <w:pPr>
        <w:pStyle w:val="ListBullet"/>
      </w:pPr>
      <w:r>
        <w:t>Fermer les notifications personnelles avant l’enregistrement.</w:t>
      </w:r>
    </w:p>
    <w:p>
      <w:pPr>
        <w:pStyle w:val="ListBullet"/>
      </w:pPr>
      <w:r>
        <w:t>Enregistrer en résolution 1920 × 1080.</w:t>
      </w:r>
    </w:p>
    <w:p>
      <w:pPr>
        <w:pStyle w:val="ListBullet"/>
      </w:pPr>
      <w:r>
        <w:t>Maintenir le curseur immobile pendant la narration.</w:t>
      </w:r>
    </w:p>
    <w:p>
      <w:pPr>
        <w:pStyle w:val="ListBullet"/>
      </w:pPr>
      <w:r>
        <w:t>Ajouter un zoom sur les boutons importants, les changements de statut et le QR Code.</w:t>
      </w:r>
    </w:p>
    <w:p>
      <w:pPr>
        <w:pStyle w:val="ListBullet"/>
      </w:pPr>
      <w:r>
        <w:t>Couper les temps de chargement au montage.</w:t>
      </w:r>
    </w:p>
    <w:p>
      <w:pPr>
        <w:pStyle w:val="ListBullet"/>
      </w:pPr>
      <w:r>
        <w:t>Afficher le nom de chaque étape pendant deux à trois secondes.</w:t>
      </w:r>
    </w:p>
    <w:p>
      <w:pPr>
        <w:pStyle w:val="ListBullet"/>
      </w:pPr>
      <w:r>
        <w:t>Ne jamais exposer de données biométriques ou personnelles réelles.</w:t>
      </w:r>
    </w:p>
    <w:p>
      <w:pPr>
        <w:pStyle w:val="Heading1"/>
      </w:pPr>
      <w:r>
        <w:t>Réglages conseillés pour la voix IA</w:t>
      </w:r>
    </w:p>
    <w:p>
      <w:r>
        <w:rPr>
          <w:b/>
          <w:color w:val="0B2545"/>
        </w:rPr>
        <w:t xml:space="preserve">Langue : </w:t>
      </w:r>
      <w:r>
        <w:t>Français</w:t>
      </w:r>
    </w:p>
    <w:p>
      <w:r>
        <w:rPr>
          <w:b/>
          <w:color w:val="0B2545"/>
        </w:rPr>
        <w:t xml:space="preserve">Style : </w:t>
      </w:r>
      <w:r>
        <w:t>Institutionnel, clair et rassurant</w:t>
      </w:r>
    </w:p>
    <w:p>
      <w:r>
        <w:rPr>
          <w:b/>
          <w:color w:val="0B2545"/>
        </w:rPr>
        <w:t xml:space="preserve">Débit : </w:t>
      </w:r>
      <w:r>
        <w:t>Légèrement lent, environ 0,92× à 0,96×</w:t>
      </w:r>
    </w:p>
    <w:p>
      <w:r>
        <w:rPr>
          <w:b/>
          <w:color w:val="0B2545"/>
        </w:rPr>
        <w:t xml:space="preserve">Pauses : </w:t>
      </w:r>
      <w:r>
        <w:t>Une courte pause après chaque clic important et chaque changement de statut</w:t>
      </w:r>
    </w:p>
    <w:p>
      <w:r>
        <w:rPr>
          <w:b/>
          <w:color w:val="0B2545"/>
        </w:rPr>
        <w:t xml:space="preserve">Prononciation : </w:t>
      </w:r>
      <w:r>
        <w:t>Lire SGP-GE lettre par lettre : “S-G-P, G-E”</w:t>
      </w:r>
    </w:p>
    <w:p>
      <w:r>
        <w:rPr>
          <w:b/>
          <w:color w:val="0B2545"/>
        </w:rPr>
        <w:t xml:space="preserve">Export : </w:t>
      </w:r>
      <w:r>
        <w:t>MP3 de haute qualité ou WAV pour le montage final</w:t>
      </w:r>
    </w:p>
    <w:p>
      <w:r>
        <w:t>Source de contenu : Guide de présentation du SGP-GE, 26 juillet 2026.</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6"/>
        <w:sz w:val="17"/>
      </w:rPr>
      <w:t>SGP-GE  |  Script de tutoriel vidéo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