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751E4" w14:textId="77777777" w:rsidR="0019210D" w:rsidRPr="00185B6A" w:rsidRDefault="00000000" w:rsidP="00185B6A">
      <w:pPr>
        <w:pStyle w:val="FirstParagraph"/>
        <w:jc w:val="center"/>
        <w:rPr>
          <w:sz w:val="52"/>
          <w:szCs w:val="52"/>
        </w:rPr>
      </w:pPr>
      <w:r w:rsidRPr="00185B6A">
        <w:rPr>
          <w:sz w:val="52"/>
          <w:szCs w:val="52"/>
        </w:rPr>
        <w:t>Supplementary Information</w:t>
      </w:r>
    </w:p>
    <w:p w14:paraId="7F4D83CC" w14:textId="5BA91208" w:rsidR="0019210D" w:rsidRDefault="00185B6A">
      <w:pPr>
        <w:pStyle w:val="Heading1"/>
      </w:pPr>
      <w:bookmarkStart w:id="0" w:name="sec:SI_no_carrying_capacity"/>
      <w:r>
        <w:t xml:space="preserve">S1 </w:t>
      </w:r>
      <w:r w:rsidR="00000000">
        <w:t>Role of carrying capacity in the SGH patterns</w:t>
      </w:r>
    </w:p>
    <w:p w14:paraId="05673E55" w14:textId="77777777" w:rsidR="00DC2973" w:rsidRDefault="00000000" w:rsidP="00600718">
      <w:pPr>
        <w:pStyle w:val="FirstParagraph"/>
        <w:jc w:val="both"/>
      </w:pPr>
      <w:r>
        <w:t xml:space="preserve">We explore here the model results for each of the two mechanisms in the case where the logistic growth term is rendered inactive. This is achieved by taking the carrying capacity </w:t>
      </w:r>
      <m:oMath>
        <m:r>
          <w:rPr>
            <w:rFonts w:ascii="Cambria Math" w:hAnsi="Cambria Math"/>
          </w:rPr>
          <m:t>k</m:t>
        </m:r>
        <m:r>
          <m:rPr>
            <m:sty m:val="p"/>
          </m:rPr>
          <w:rPr>
            <w:rFonts w:ascii="Cambria Math" w:hAnsi="Cambria Math"/>
          </w:rPr>
          <m:t>→∞</m:t>
        </m:r>
      </m:oMath>
      <w:r>
        <w:t xml:space="preserve">, which makes </w:t>
      </w:r>
      <m:oMath>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1</m:t>
        </m:r>
      </m:oMath>
      <w:r>
        <w:t>. We can now find analytical expressions for the steady-state solutions of the model described in Equations (1) in the</w:t>
      </w:r>
    </w:p>
    <w:p w14:paraId="5BC61F7F" w14:textId="59C21332" w:rsidR="0019210D" w:rsidRDefault="00000000">
      <w:pPr>
        <w:pStyle w:val="FirstParagraph"/>
      </w:pPr>
      <w:r>
        <w:t xml:space="preserve"> main paper. The nontrivial (</w:t>
      </w:r>
      <m:oMath>
        <m:r>
          <w:rPr>
            <w:rFonts w:ascii="Cambria Math" w:hAnsi="Cambria Math"/>
          </w:rPr>
          <m:t>B</m:t>
        </m:r>
        <m:r>
          <m:rPr>
            <m:sty m:val="p"/>
          </m:rPr>
          <w:rPr>
            <w:rFonts w:ascii="Cambria Math" w:hAnsi="Cambria Math"/>
          </w:rPr>
          <m:t>≠</m:t>
        </m:r>
        <m:r>
          <w:rPr>
            <w:rFonts w:ascii="Cambria Math" w:hAnsi="Cambria Math"/>
          </w:rPr>
          <m:t>0</m:t>
        </m:r>
      </m:oMath>
      <w:r>
        <w:t xml:space="preserve">) steady-state solutions </w:t>
      </w:r>
      <m:oMath>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oMath>
      <w:r>
        <w:t xml:space="preserve"> read:</w:t>
      </w:r>
    </w:p>
    <w:tbl>
      <w:tblPr>
        <w:tblStyle w:val="TableGrid"/>
        <w:tblpPr w:leftFromText="180" w:rightFromText="180" w:vertAnchor="text" w:horzAnchor="margin" w:tblpY="16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1710"/>
        <w:gridCol w:w="3168"/>
      </w:tblGrid>
      <w:tr w:rsidR="00DC2973" w14:paraId="73C8D713" w14:textId="77777777" w:rsidTr="00DC2973">
        <w:tc>
          <w:tcPr>
            <w:tcW w:w="4698" w:type="dxa"/>
          </w:tcPr>
          <w:bookmarkStart w:id="1" w:name="eq1"/>
          <w:bookmarkStart w:id="2" w:name="eq1a" w:colFirst="0" w:colLast="0"/>
          <w:p w14:paraId="166DA92B" w14:textId="77777777" w:rsidR="00DC2973" w:rsidRPr="00DC2973" w:rsidRDefault="00DC2973" w:rsidP="00DC2973">
            <w:pPr>
              <w:pStyle w:val="FirstParagraph"/>
            </w:pPr>
            <m:oMathPara>
              <m:oMathParaPr>
                <m:jc m:val="right"/>
              </m:oMathParaP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a</m:t>
                    </m:r>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r>
                      <w:rPr>
                        <w:rFonts w:ascii="Cambria Math" w:hAnsi="Cambria Math"/>
                      </w:rPr>
                      <m:t>d</m:t>
                    </m:r>
                    <m:r>
                      <m:rPr>
                        <m:sty m:val="p"/>
                      </m:rPr>
                      <w:rPr>
                        <w:rFonts w:ascii="Cambria Math" w:hAnsi="Cambria Math"/>
                      </w:rPr>
                      <m:t>)</m:t>
                    </m:r>
                  </m:den>
                </m:f>
              </m:oMath>
            </m:oMathPara>
          </w:p>
        </w:tc>
        <w:tc>
          <w:tcPr>
            <w:tcW w:w="4878" w:type="dxa"/>
            <w:gridSpan w:val="2"/>
          </w:tcPr>
          <w:p w14:paraId="07FF9A23" w14:textId="77777777" w:rsidR="00DC2973" w:rsidRDefault="00DC2973" w:rsidP="00DC2973">
            <w:pPr>
              <w:pStyle w:val="FirstParagraph"/>
              <w:jc w:val="right"/>
            </w:pPr>
            <w:r>
              <w:t>(S1a)</w:t>
            </w:r>
          </w:p>
        </w:tc>
      </w:tr>
      <w:bookmarkStart w:id="3" w:name="eq1b" w:colFirst="0" w:colLast="0"/>
      <w:bookmarkEnd w:id="2"/>
      <w:tr w:rsidR="00DC2973" w14:paraId="2A9B0505" w14:textId="77777777" w:rsidTr="00DC2973">
        <w:tc>
          <w:tcPr>
            <w:tcW w:w="6408" w:type="dxa"/>
            <w:gridSpan w:val="2"/>
          </w:tcPr>
          <w:p w14:paraId="7AEFF41A" w14:textId="1B253F7D" w:rsidR="00DC2973" w:rsidRPr="00DC2973" w:rsidRDefault="00DC2973" w:rsidP="00DC2973">
            <w:pPr>
              <w:pStyle w:val="FirstParagraph"/>
            </w:pPr>
            <m:oMathPara>
              <m:oMathParaPr>
                <m:jc m:val="right"/>
              </m:oMathParaP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e>
                        </m:d>
                      </m:e>
                      <m:sup>
                        <m:r>
                          <w:rPr>
                            <w:rFonts w:ascii="Cambria Math" w:hAnsi="Cambria Math"/>
                          </w:rPr>
                          <m:t>γ</m:t>
                        </m:r>
                      </m:sup>
                    </m:sSup>
                  </m:num>
                  <m:den>
                    <m:sSub>
                      <m:sSubPr>
                        <m:ctrlPr>
                          <w:rPr>
                            <w:rFonts w:ascii="Cambria Math" w:hAnsi="Cambria Math"/>
                          </w:rPr>
                        </m:ctrlPr>
                      </m:sSubPr>
                      <m:e>
                        <m:r>
                          <w:rPr>
                            <w:rFonts w:ascii="Cambria Math" w:hAnsi="Cambria Math"/>
                          </w:rPr>
                          <m:t>e</m:t>
                        </m:r>
                      </m:e>
                      <m:sub>
                        <m:r>
                          <w:rPr>
                            <w:rFonts w:ascii="Cambria Math" w:hAnsi="Cambria Math"/>
                          </w:rPr>
                          <m:t>0</m:t>
                        </m:r>
                      </m:sub>
                    </m:sSub>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den>
                </m:f>
              </m:oMath>
            </m:oMathPara>
          </w:p>
        </w:tc>
        <w:tc>
          <w:tcPr>
            <w:tcW w:w="3168" w:type="dxa"/>
          </w:tcPr>
          <w:p w14:paraId="6274818E" w14:textId="77777777" w:rsidR="00DC2973" w:rsidRDefault="00DC2973" w:rsidP="00DC2973">
            <w:pPr>
              <w:pStyle w:val="FirstParagraph"/>
              <w:jc w:val="right"/>
            </w:pPr>
            <w:r>
              <w:t>(S1b)</w:t>
            </w:r>
          </w:p>
        </w:tc>
      </w:tr>
    </w:tbl>
    <w:bookmarkEnd w:id="1"/>
    <w:bookmarkEnd w:id="3"/>
    <w:p w14:paraId="2592DD03" w14:textId="77777777" w:rsidR="0019210D" w:rsidRDefault="00000000" w:rsidP="00600718">
      <w:pPr>
        <w:pStyle w:val="FirstParagraph"/>
        <w:jc w:val="both"/>
      </w:pPr>
      <w:r>
        <w:t>These solutions are a typical instance of the R-star rule</w:t>
      </w:r>
      <w:hyperlink w:anchor="ref:1">
        <w:r>
          <w:rPr>
            <w:rStyle w:val="Hyperlink"/>
            <w:vertAlign w:val="superscript"/>
          </w:rPr>
          <w:t>1</w:t>
        </w:r>
      </w:hyperlink>
      <w:r>
        <w:t>, and from them we can express two important features:</w:t>
      </w:r>
    </w:p>
    <w:p w14:paraId="0E357F9B" w14:textId="77777777" w:rsidR="0019210D" w:rsidRDefault="00000000" w:rsidP="00600718">
      <w:pPr>
        <w:numPr>
          <w:ilvl w:val="0"/>
          <w:numId w:val="2"/>
        </w:numPr>
        <w:jc w:val="both"/>
      </w:pPr>
      <w:r>
        <w:t xml:space="preserve">The steady-state resource level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(generally called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t xml:space="preserve"> in consumer-resource modeling, therefore the name of the rule) is independent of the resource supply rate, </w:t>
      </w:r>
      <m:oMath>
        <m:r>
          <w:rPr>
            <w:rFonts w:ascii="Cambria Math" w:hAnsi="Cambria Math"/>
          </w:rPr>
          <m:t>p</m:t>
        </m:r>
      </m:oMath>
      <w:r>
        <w:t>.</w:t>
      </w:r>
    </w:p>
    <w:p w14:paraId="356D03AC" w14:textId="77777777" w:rsidR="0019210D" w:rsidRDefault="00000000" w:rsidP="00600718">
      <w:pPr>
        <w:numPr>
          <w:ilvl w:val="0"/>
          <w:numId w:val="2"/>
        </w:numPr>
        <w:jc w:val="both"/>
      </w:pPr>
      <w:r>
        <w:t>The nontrivial (</w:t>
      </w:r>
      <m:oMath>
        <m:r>
          <w:rPr>
            <w:rFonts w:ascii="Cambria Math" w:hAnsi="Cambria Math"/>
          </w:rPr>
          <m:t>B</m:t>
        </m:r>
        <m:r>
          <m:rPr>
            <m:sty m:val="p"/>
          </m:rPr>
          <w:rPr>
            <w:rFonts w:ascii="Cambria Math" w:hAnsi="Cambria Math"/>
          </w:rPr>
          <m:t>≠</m:t>
        </m:r>
        <m:r>
          <w:rPr>
            <w:rFonts w:ascii="Cambria Math" w:hAnsi="Cambria Math"/>
          </w:rPr>
          <m:t>0</m:t>
        </m:r>
      </m:oMath>
      <w:r>
        <w:t xml:space="preserve">) steady-state consumer level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r>
        <w:t xml:space="preserve"> is linear in the resource input rate, </w:t>
      </w:r>
      <m:oMath>
        <m:r>
          <w:rPr>
            <w:rFonts w:ascii="Cambria Math" w:hAnsi="Cambria Math"/>
          </w:rPr>
          <m:t>p</m:t>
        </m:r>
      </m:oMath>
      <w:r>
        <w:t>.</w:t>
      </w:r>
    </w:p>
    <w:p w14:paraId="3232B753" w14:textId="74BA27B7" w:rsidR="0019210D" w:rsidRDefault="00000000" w:rsidP="00600718">
      <w:pPr>
        <w:pStyle w:val="FirstParagraph"/>
        <w:jc w:val="both"/>
      </w:pPr>
      <w:hyperlink w:anchor="fig:SI_no_k">
        <w:r>
          <w:rPr>
            <w:rStyle w:val="Hyperlink"/>
          </w:rPr>
          <w:t>Figur</w:t>
        </w:r>
        <w:r>
          <w:rPr>
            <w:rStyle w:val="Hyperlink"/>
          </w:rPr>
          <w:t>e</w:t>
        </w:r>
        <w:r>
          <w:rPr>
            <w:rStyle w:val="Hyperlink"/>
          </w:rPr>
          <w:t> </w:t>
        </w:r>
        <w:r w:rsidR="00DC2973">
          <w:rPr>
            <w:rStyle w:val="Hyperlink"/>
          </w:rPr>
          <w:t>S1</w:t>
        </w:r>
      </w:hyperlink>
      <w:r>
        <w:t xml:space="preserve"> shows the steady-state biomass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r>
        <w:t xml:space="preserve"> (top panels) and relative soil water content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(bottom panels). The left and right columns correspond to the shading mechanism and the root mechanism, respectively.</w:t>
      </w:r>
    </w:p>
    <w:p w14:paraId="5EAFBCD3" w14:textId="43C59F88" w:rsidR="0019210D" w:rsidRDefault="00000000">
      <w:pPr>
        <w:pStyle w:val="BodyText"/>
      </w:pPr>
      <w:r>
        <w:t xml:space="preserve">A careful examination of the steady-state solutions </w:t>
      </w:r>
      <w:hyperlink w:anchor="eq1">
        <w:r w:rsidR="00DC2973">
          <w:rPr>
            <w:rStyle w:val="Hyperlink"/>
          </w:rPr>
          <w:t>S1</w:t>
        </w:r>
      </w:hyperlink>
      <w:r>
        <w:t xml:space="preserve"> teaches us that:</w:t>
      </w:r>
    </w:p>
    <w:p w14:paraId="16EBC40B" w14:textId="4EE191FA" w:rsidR="0019210D" w:rsidRDefault="00000000" w:rsidP="00600718">
      <w:pPr>
        <w:numPr>
          <w:ilvl w:val="0"/>
          <w:numId w:val="3"/>
        </w:numPr>
        <w:jc w:val="both"/>
      </w:pPr>
      <w:r>
        <w:rPr>
          <w:b/>
          <w:bCs/>
        </w:rPr>
        <w:t>For the shading mechanism</w:t>
      </w:r>
      <w:r>
        <w:t xml:space="preserv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r>
          <w:rPr>
            <w:rFonts w:ascii="Cambria Math" w:hAnsi="Cambria Math"/>
          </w:rPr>
          <m:t>d</m:t>
        </m:r>
        <m:r>
          <m:rPr>
            <m:sty m:val="p"/>
          </m:rPr>
          <w:rPr>
            <w:rFonts w:ascii="Cambria Math" w:hAnsi="Cambria Math"/>
          </w:rPr>
          <m:t>)&lt;</m:t>
        </m:r>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r>
          <w:rPr>
            <w:rFonts w:ascii="Cambria Math" w:hAnsi="Cambria Math"/>
          </w:rPr>
          <m:t>d</m:t>
        </m:r>
        <m:r>
          <m:rPr>
            <m:sty m:val="p"/>
          </m:rPr>
          <w:rPr>
            <w:rFonts w:ascii="Cambria Math" w:hAnsi="Cambria Math"/>
          </w:rPr>
          <m:t>)&lt;</m:t>
        </m:r>
        <m:r>
          <w:rPr>
            <w:rFonts w:ascii="Cambria Math" w:hAnsi="Cambria Math"/>
          </w:rPr>
          <m:t>1</m:t>
        </m:r>
      </m:oMath>
      <w:r>
        <w:t xml:space="preserve"> for any </w:t>
      </w:r>
      <m:oMath>
        <m:r>
          <w:rPr>
            <w:rFonts w:ascii="Cambria Math" w:hAnsi="Cambria Math"/>
          </w:rPr>
          <m:t>d</m:t>
        </m:r>
        <m:r>
          <m:rPr>
            <m:sty m:val="p"/>
          </m:rPr>
          <w:rPr>
            <w:rFonts w:ascii="Cambria Math" w:hAnsi="Cambria Math"/>
          </w:rPr>
          <m:t>&gt;</m:t>
        </m:r>
        <m:r>
          <w:rPr>
            <w:rFonts w:ascii="Cambria Math" w:hAnsi="Cambria Math"/>
          </w:rPr>
          <m:t>0</m:t>
        </m:r>
      </m:oMath>
      <w:r>
        <w:t xml:space="preserve"> (see inset in </w:t>
      </w:r>
      <w:hyperlink w:anchor="fig:SI_no_k">
        <w:r w:rsidR="00DC2973">
          <w:rPr>
            <w:rStyle w:val="Hyperlink"/>
          </w:rPr>
          <w:t>Fig. S1c</w:t>
        </w:r>
      </w:hyperlink>
      <w:r>
        <w:t>). From these facts it follows that the linear function for the positive tree-density solution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&gt;</m:t>
        </m:r>
        <m:r>
          <w:rPr>
            <w:rFonts w:ascii="Cambria Math" w:hAnsi="Cambria Math"/>
          </w:rPr>
          <m:t>0</m:t>
        </m:r>
        <m:r>
          <m:rPr>
            <m:sty m:val="p"/>
          </m:rPr>
          <w:rPr>
            <w:rFonts w:ascii="Cambria Math" w:hAnsi="Cambria Math"/>
          </w:rPr>
          <m:t>)</m:t>
        </m:r>
      </m:oMath>
      <w:r>
        <w:t>) has a higher slope and a lower intercept</w:t>
      </w:r>
      <w:r w:rsidR="00185B6A">
        <w:rPr>
          <w:rStyle w:val="FootnoteReference"/>
        </w:rPr>
        <w:footnoteReference w:id="1"/>
      </w:r>
      <w:r>
        <w:t xml:space="preserve"> than the no-tree </w:t>
      </w:r>
      <w:r>
        <w:lastRenderedPageBreak/>
        <w:t>solution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Because of its lower intercept, the positive density solution surpasses the zero-tree density solution from below (lower </w:t>
      </w:r>
      <m:oMath>
        <m:r>
          <w:rPr>
            <w:rFonts w:ascii="Cambria Math" w:hAnsi="Cambria Math"/>
          </w:rPr>
          <m:t>B</m:t>
        </m:r>
      </m:oMath>
      <w:r>
        <w:t xml:space="preserve">). This means that eliminating the logistic growth term from the model </w:t>
      </w:r>
      <w:r>
        <w:rPr>
          <w:b/>
          <w:bCs/>
        </w:rPr>
        <w:t>reverses the order of the transition</w:t>
      </w:r>
      <w:r>
        <w:t xml:space="preserve"> described by the SGH: we have competition for </w:t>
      </w:r>
      <m:oMath>
        <m:r>
          <w:rPr>
            <w:rFonts w:ascii="Cambria Math" w:hAnsi="Cambria Math"/>
          </w:rPr>
          <m:t>p</m:t>
        </m:r>
      </m:oMath>
      <w:r>
        <w:t xml:space="preserve"> below the transition point, and facilitation for </w:t>
      </w:r>
      <m:oMath>
        <m:r>
          <w:rPr>
            <w:rFonts w:ascii="Cambria Math" w:hAnsi="Cambria Math"/>
          </w:rPr>
          <m:t>p</m:t>
        </m:r>
      </m:oMath>
      <w:r>
        <w:t xml:space="preserve"> above that point. Furthermore, for the parameter values we used here, the transition point occurs at extremely low values of </w:t>
      </w:r>
      <m:oMath>
        <m:r>
          <w:rPr>
            <w:rFonts w:ascii="Cambria Math" w:hAnsi="Cambria Math"/>
          </w:rPr>
          <m:t>p</m:t>
        </m:r>
      </m:oMath>
      <w:r>
        <w:t xml:space="preserve"> and </w:t>
      </w:r>
      <m:oMath>
        <m:r>
          <w:rPr>
            <w:rFonts w:ascii="Cambria Math" w:hAnsi="Cambria Math"/>
          </w:rPr>
          <m:t>B</m:t>
        </m:r>
      </m:oMath>
      <w:r>
        <w:t>. Looking from farther away, the interactions appear facilitative for most of the precipitation gradient (</w:t>
      </w:r>
      <w:hyperlink w:anchor="fig:SI_no_k">
        <w:r w:rsidR="00794C95">
          <w:rPr>
            <w:rStyle w:val="Hyperlink"/>
          </w:rPr>
          <w:t>Fig. S1a</w:t>
        </w:r>
      </w:hyperlink>
      <w:r>
        <w:t>).</w:t>
      </w:r>
    </w:p>
    <w:p w14:paraId="6DCCA838" w14:textId="7800A998" w:rsidR="0019210D" w:rsidRDefault="00000000" w:rsidP="00600718">
      <w:pPr>
        <w:numPr>
          <w:ilvl w:val="0"/>
          <w:numId w:val="3"/>
        </w:numPr>
        <w:jc w:val="both"/>
      </w:pPr>
      <w:r>
        <w:rPr>
          <w:b/>
          <w:bCs/>
        </w:rPr>
        <w:t>For the root mechanism</w:t>
      </w:r>
      <w:r>
        <w:t xml:space="preserve">, two straight-line solutions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r>
        <w:t xml:space="preserve"> always have the same slope, regardless of their </w:t>
      </w:r>
      <m:oMath>
        <m:r>
          <w:rPr>
            <w:rFonts w:ascii="Cambria Math" w:hAnsi="Cambria Math"/>
          </w:rPr>
          <m:t>d</m:t>
        </m:r>
      </m:oMath>
      <w:r>
        <w:t xml:space="preserve"> value, and therefore never intersect. The root mechanism can be either facilitative or competitive, depending on the soil water content (see inset in </w:t>
      </w:r>
      <w:hyperlink w:anchor="fig:SI_no_k">
        <w:r w:rsidR="00794C95">
          <w:rPr>
            <w:rStyle w:val="Hyperlink"/>
          </w:rPr>
          <w:t>Fig. S1d</w:t>
        </w:r>
      </w:hyperlink>
      <w:r>
        <w:t>). Figure </w:t>
      </w:r>
      <w:hyperlink w:anchor="fig:SI_no_k">
        <w:r>
          <w:rPr>
            <w:rStyle w:val="Hyperlink"/>
          </w:rPr>
          <w:t>1</w:t>
        </w:r>
      </w:hyperlink>
      <w:r>
        <w:t xml:space="preserve">b shows a scenario where the interaction is always facilitative. By changing the model parameters </w:t>
      </w:r>
      <m:oMath>
        <m:r>
          <w:rPr>
            <w:rFonts w:ascii="Cambria Math" w:hAnsi="Cambria Math"/>
          </w:rPr>
          <m:t>m</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d</m:t>
        </m:r>
      </m:oMath>
      <w:r>
        <w:t xml:space="preserve"> (see</w:t>
      </w:r>
      <w:r w:rsidR="00794C95">
        <w:t xml:space="preserve"> </w:t>
      </w:r>
      <w:hyperlink w:anchor="eq1">
        <w:r w:rsidR="00794C95">
          <w:rPr>
            <w:rStyle w:val="Hyperlink"/>
          </w:rPr>
          <w:t>Eq. S1a</w:t>
        </w:r>
      </w:hyperlink>
      <w:r>
        <w:t>), one can also find higher soil water content levels that always yield competitive interactions.</w:t>
      </w:r>
    </w:p>
    <w:p w14:paraId="5F5E5E75" w14:textId="77777777" w:rsidR="0019210D" w:rsidRDefault="00000000" w:rsidP="00600718">
      <w:pPr>
        <w:pStyle w:val="FirstParagraph"/>
        <w:jc w:val="both"/>
      </w:pPr>
      <w:r>
        <w:t xml:space="preserve">The arguments above demonstrate that, whenever tree density is constant, the </w:t>
      </w:r>
      <w:r>
        <w:rPr>
          <w:b/>
          <w:bCs/>
        </w:rPr>
        <w:t>introduction of an additional growth-limiting factor</w:t>
      </w:r>
      <w:r>
        <w:t xml:space="preserve"> that strengthens with increasing precipitation is a </w:t>
      </w:r>
      <w:r>
        <w:rPr>
          <w:b/>
          <w:bCs/>
        </w:rPr>
        <w:t>necessary condition</w:t>
      </w:r>
      <w:r>
        <w:t xml:space="preserve"> for the emergence of the transition described by the SGH.</w:t>
      </w:r>
    </w:p>
    <w:p w14:paraId="425AA0EB" w14:textId="77777777" w:rsidR="0019210D" w:rsidRDefault="00000000" w:rsidP="00DC2973">
      <w:pPr>
        <w:pStyle w:val="CaptionedFigure"/>
        <w:jc w:val="center"/>
      </w:pPr>
      <w:bookmarkStart w:id="4" w:name="fig:SI_no_k"/>
      <w:r>
        <w:rPr>
          <w:noProof/>
        </w:rPr>
        <w:drawing>
          <wp:inline distT="0" distB="0" distL="0" distR="0" wp14:anchorId="449C2FD5" wp14:editId="04704AFE">
            <wp:extent cx="4435692" cy="3197560"/>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Figs/steady_state_no_k_full.pdf"/>
                    <pic:cNvPicPr>
                      <a:picLocks noChangeAspect="1" noChangeArrowheads="1"/>
                    </pic:cNvPicPr>
                  </pic:nvPicPr>
                  <pic:blipFill>
                    <a:blip r:embed="rId8"/>
                    <a:stretch>
                      <a:fillRect/>
                    </a:stretch>
                  </pic:blipFill>
                  <pic:spPr bwMode="auto">
                    <a:xfrm>
                      <a:off x="0" y="0"/>
                      <a:ext cx="4453331" cy="3210275"/>
                    </a:xfrm>
                    <a:prstGeom prst="rect">
                      <a:avLst/>
                    </a:prstGeom>
                    <a:noFill/>
                    <a:ln w="9525">
                      <a:noFill/>
                      <a:headEnd/>
                      <a:tailEnd/>
                    </a:ln>
                  </pic:spPr>
                </pic:pic>
              </a:graphicData>
            </a:graphic>
          </wp:inline>
        </w:drawing>
      </w:r>
    </w:p>
    <w:p w14:paraId="29DC3F39" w14:textId="0D625E47" w:rsidR="0019210D" w:rsidRDefault="00794C95" w:rsidP="00600718">
      <w:pPr>
        <w:pStyle w:val="ImageCaption"/>
        <w:jc w:val="both"/>
      </w:pPr>
      <w:r w:rsidRPr="00794C95">
        <w:rPr>
          <w:i w:val="0"/>
          <w:iCs/>
        </w:rPr>
        <w:t>Figure</w:t>
      </w:r>
      <w:r>
        <w:t xml:space="preserve"> </w:t>
      </w:r>
      <w:r>
        <w:rPr>
          <w:i w:val="0"/>
          <w:iCs/>
        </w:rPr>
        <w:t>S1:</w:t>
      </w:r>
      <w:r w:rsidR="00000000">
        <w:t xml:space="preserve"> Steady-state biomass (panels </w:t>
      </w:r>
      <w:proofErr w:type="gramStart"/>
      <w:r w:rsidR="00000000">
        <w:t>a,b</w:t>
      </w:r>
      <w:proofErr w:type="gramEnd"/>
      <w:r w:rsidR="00000000">
        <w:t xml:space="preserve">) and soil water content (panels c,d) solutions as functions of precipitation. The left column corresponds to the shading mechanism, and the right column corresponds to the root mechanism. The inset in panel a shows an extreme amplification in </w:t>
      </w:r>
      <m:oMath>
        <m:r>
          <w:rPr>
            <w:rFonts w:ascii="Cambria Math" w:hAnsi="Cambria Math"/>
          </w:rPr>
          <m:t>p</m:t>
        </m:r>
      </m:oMath>
      <w:r w:rsidR="00000000">
        <w:t xml:space="preserve"> and </w:t>
      </w:r>
      <m:oMath>
        <m:r>
          <w:rPr>
            <w:rFonts w:ascii="Cambria Math" w:hAnsi="Cambria Math"/>
          </w:rPr>
          <m:t>B</m:t>
        </m:r>
      </m:oMath>
      <w:r w:rsidR="00000000">
        <w:t xml:space="preserve"> of the solutions, emphasizing the intersection points between the no-tree solution (</w:t>
      </w:r>
      <m:oMath>
        <m:r>
          <w:rPr>
            <w:rFonts w:ascii="Cambria Math" w:hAnsi="Cambria Math"/>
          </w:rPr>
          <m:t>d=0</m:t>
        </m:r>
      </m:oMath>
      <w:r w:rsidR="00000000">
        <w:t xml:space="preserve">) and the other solutions with </w:t>
      </w:r>
      <m:oMath>
        <m:r>
          <w:rPr>
            <w:rFonts w:ascii="Cambria Math" w:hAnsi="Cambria Math"/>
          </w:rPr>
          <m:t>d&gt;0</m:t>
        </m:r>
      </m:oMath>
      <w:r w:rsidR="00000000">
        <w:t xml:space="preserve">. The insets in panels c and d are provided as reminders of the relevant functions of each mechanism. </w:t>
      </w:r>
    </w:p>
    <w:p w14:paraId="01723E1C" w14:textId="7E90182F" w:rsidR="0019210D" w:rsidRDefault="00794C95">
      <w:pPr>
        <w:pStyle w:val="Heading1"/>
      </w:pPr>
      <w:bookmarkStart w:id="5" w:name="sec:SI_interaction_intensity"/>
      <w:bookmarkEnd w:id="0"/>
      <w:bookmarkEnd w:id="4"/>
      <w:r>
        <w:lastRenderedPageBreak/>
        <w:t xml:space="preserve">S2 </w:t>
      </w:r>
      <w:r w:rsidR="00000000">
        <w:t>Interaction intensity</w:t>
      </w:r>
    </w:p>
    <w:p w14:paraId="16C567D4" w14:textId="50A57842" w:rsidR="0019210D" w:rsidRDefault="00000000" w:rsidP="00600718">
      <w:pPr>
        <w:pStyle w:val="FirstParagraph"/>
        <w:jc w:val="both"/>
      </w:pPr>
      <w:r>
        <w:t xml:space="preserve">As a rule, trees facilitate herb growth when their density is low and the system is under water stress (low </w:t>
      </w:r>
      <m:oMath>
        <m:r>
          <w:rPr>
            <w:rFonts w:ascii="Cambria Math" w:hAnsi="Cambria Math"/>
          </w:rPr>
          <m:t>p</m:t>
        </m:r>
      </m:oMath>
      <w:r>
        <w:t xml:space="preserve">). Competition over water arises at high tree density values and under low water stress. Focusing on the canopy mechanism, </w:t>
      </w:r>
      <w:hyperlink w:anchor="fig:SI_interaction_intensity_2d">
        <w:r w:rsidR="00794C95">
          <w:rPr>
            <w:rStyle w:val="Hyperlink"/>
          </w:rPr>
          <w:t>Figure S2</w:t>
        </w:r>
      </w:hyperlink>
      <w:r>
        <w:t xml:space="preserve"> shows that in the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parameter space, the boundary between facilitation and competition (solid black curve) follows a negative relation: as precipitation increases, a lower tree density is sufficient to shift the balance from facilitation to competition. This border is the same for both interaction intensity definitions, since zero interaction intensity means that the biomass solution with tree density (</w:t>
      </w:r>
      <m:oMath>
        <m:sSub>
          <m:sSubPr>
            <m:ctrlPr>
              <w:rPr>
                <w:rFonts w:ascii="Cambria Math" w:hAnsi="Cambria Math"/>
              </w:rPr>
            </m:ctrlPr>
          </m:sSubPr>
          <m:e>
            <m:r>
              <w:rPr>
                <w:rFonts w:ascii="Cambria Math" w:hAnsi="Cambria Math"/>
              </w:rPr>
              <m:t>B</m:t>
            </m:r>
          </m:e>
          <m:sub>
            <m:r>
              <w:rPr>
                <w:rFonts w:ascii="Cambria Math" w:hAnsi="Cambria Math"/>
              </w:rPr>
              <m:t>T</m:t>
            </m:r>
          </m:sub>
        </m:sSub>
      </m:oMath>
      <w:r>
        <w:t>) equals the biomass solution with no tree density (</w:t>
      </w:r>
      <m:oMath>
        <m:sSub>
          <m:sSubPr>
            <m:ctrlPr>
              <w:rPr>
                <w:rFonts w:ascii="Cambria Math" w:hAnsi="Cambria Math"/>
              </w:rPr>
            </m:ctrlPr>
          </m:sSubPr>
          <m:e>
            <m:r>
              <w:rPr>
                <w:rFonts w:ascii="Cambria Math" w:hAnsi="Cambria Math"/>
              </w:rPr>
              <m:t>B</m:t>
            </m:r>
          </m:e>
          <m:sub>
            <m:r>
              <w:rPr>
                <w:rFonts w:ascii="Cambria Math" w:hAnsi="Cambria Math"/>
              </w:rPr>
              <m:t>0</m:t>
            </m:r>
          </m:sub>
        </m:sSub>
      </m:oMath>
      <w:r>
        <w:t>). The area hatched in black at the top of both panels, where tree density is very high, indicates the region in the parameter space where there are only trivial (</w:t>
      </w:r>
      <m:oMath>
        <m:r>
          <w:rPr>
            <w:rFonts w:ascii="Cambria Math" w:hAnsi="Cambria Math"/>
          </w:rPr>
          <m:t>B</m:t>
        </m:r>
        <m:r>
          <m:rPr>
            <m:sty m:val="p"/>
          </m:rPr>
          <w:rPr>
            <w:rFonts w:ascii="Cambria Math" w:hAnsi="Cambria Math"/>
          </w:rPr>
          <m:t>=</m:t>
        </m:r>
        <m:r>
          <w:rPr>
            <w:rFonts w:ascii="Cambria Math" w:hAnsi="Cambria Math"/>
          </w:rPr>
          <m:t>0</m:t>
        </m:r>
      </m:oMath>
      <w:r>
        <w:t>) vegetated solutions.</w:t>
      </w:r>
    </w:p>
    <w:p w14:paraId="2E2CF793" w14:textId="77777777" w:rsidR="0019210D" w:rsidRDefault="00000000">
      <w:pPr>
        <w:pStyle w:val="CaptionedFigure"/>
      </w:pPr>
      <w:bookmarkStart w:id="6" w:name="fig:SI_interaction_intensity_2d"/>
      <w:r>
        <w:rPr>
          <w:noProof/>
        </w:rPr>
        <w:drawing>
          <wp:inline distT="0" distB="0" distL="0" distR="0" wp14:anchorId="5D9FF160" wp14:editId="5BFBE7AF">
            <wp:extent cx="5334000" cy="2963333"/>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Figs/interaction_intensity_2d.pdf"/>
                    <pic:cNvPicPr>
                      <a:picLocks noChangeAspect="1" noChangeArrowheads="1"/>
                    </pic:cNvPicPr>
                  </pic:nvPicPr>
                  <pic:blipFill>
                    <a:blip r:embed="rId9"/>
                    <a:stretch>
                      <a:fillRect/>
                    </a:stretch>
                  </pic:blipFill>
                  <pic:spPr bwMode="auto">
                    <a:xfrm>
                      <a:off x="0" y="0"/>
                      <a:ext cx="5334000" cy="2963333"/>
                    </a:xfrm>
                    <a:prstGeom prst="rect">
                      <a:avLst/>
                    </a:prstGeom>
                    <a:noFill/>
                    <a:ln w="9525">
                      <a:noFill/>
                      <a:headEnd/>
                      <a:tailEnd/>
                    </a:ln>
                  </pic:spPr>
                </pic:pic>
              </a:graphicData>
            </a:graphic>
          </wp:inline>
        </w:drawing>
      </w:r>
    </w:p>
    <w:p w14:paraId="0E22934A" w14:textId="543FBB47" w:rsidR="0019210D" w:rsidRDefault="00794C95" w:rsidP="00600718">
      <w:pPr>
        <w:pStyle w:val="ImageCaption"/>
        <w:jc w:val="both"/>
      </w:pPr>
      <w:r>
        <w:rPr>
          <w:b/>
          <w:bCs/>
          <w:i w:val="0"/>
          <w:iCs/>
          <w:lang w:bidi="he-IL"/>
        </w:rPr>
        <w:t xml:space="preserve">Figure S2: </w:t>
      </w:r>
      <w:r w:rsidR="00000000">
        <w:rPr>
          <w:b/>
          <w:bCs/>
        </w:rPr>
        <w:t>Interaction intensity varies jointly with precipitation and tree density.</w:t>
      </w:r>
      <w:r w:rsidR="00000000">
        <w:t xml:space="preserve"> Interaction intensity in the canopy submodel is shown as a function of annual precipitation (</w:t>
      </w:r>
      <m:oMath>
        <m:r>
          <w:rPr>
            <w:rFonts w:ascii="Cambria Math" w:hAnsi="Cambria Math"/>
          </w:rPr>
          <m:t>p</m:t>
        </m:r>
      </m:oMath>
      <w:r w:rsidR="00000000">
        <w:t>) and tree density (</w:t>
      </w:r>
      <m:oMath>
        <m:r>
          <w:rPr>
            <w:rFonts w:ascii="Cambria Math" w:hAnsi="Cambria Math"/>
          </w:rPr>
          <m:t>d</m:t>
        </m:r>
      </m:oMath>
      <w:r w:rsidR="00000000">
        <w:t xml:space="preserve">), measured as (left) the absolute difference in herb biomass, </w:t>
      </w:r>
      <m:oMath>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oMath>
      <w:r w:rsidR="00000000">
        <w:t xml:space="preserve">, and (right) the relative log response ratio, </w:t>
      </w:r>
      <m:oMath>
        <m:r>
          <w:rPr>
            <w:rFonts w:ascii="Cambria Math" w:hAnsi="Cambria Math"/>
          </w:rPr>
          <m:t>ln(</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oMath>
      <w:r w:rsidR="00000000">
        <w:t xml:space="preserve">, where </w:t>
      </w:r>
      <m:oMath>
        <m:sSub>
          <m:sSubPr>
            <m:ctrlPr>
              <w:rPr>
                <w:rFonts w:ascii="Cambria Math" w:hAnsi="Cambria Math"/>
              </w:rPr>
            </m:ctrlPr>
          </m:sSubPr>
          <m:e>
            <m:r>
              <w:rPr>
                <w:rFonts w:ascii="Cambria Math" w:hAnsi="Cambria Math"/>
              </w:rPr>
              <m:t>B</m:t>
            </m:r>
          </m:e>
          <m:sub>
            <m:r>
              <w:rPr>
                <w:rFonts w:ascii="Cambria Math" w:hAnsi="Cambria Math"/>
              </w:rPr>
              <m:t>0</m:t>
            </m:r>
          </m:sub>
        </m:sSub>
      </m:oMath>
      <w:r w:rsidR="00000000">
        <w:t xml:space="preserve"> and </w:t>
      </w:r>
      <m:oMath>
        <m:sSub>
          <m:sSubPr>
            <m:ctrlPr>
              <w:rPr>
                <w:rFonts w:ascii="Cambria Math" w:hAnsi="Cambria Math"/>
              </w:rPr>
            </m:ctrlPr>
          </m:sSubPr>
          <m:e>
            <m:r>
              <w:rPr>
                <w:rFonts w:ascii="Cambria Math" w:hAnsi="Cambria Math"/>
              </w:rPr>
              <m:t>B</m:t>
            </m:r>
          </m:e>
          <m:sub>
            <m:r>
              <w:rPr>
                <w:rFonts w:ascii="Cambria Math" w:hAnsi="Cambria Math"/>
              </w:rPr>
              <m:t>T</m:t>
            </m:r>
          </m:sub>
        </m:sSub>
      </m:oMath>
      <w:r w:rsidR="00000000">
        <w:t xml:space="preserve"> denote herb biomass in the absence and presence of trees, respectively. Purple shades indicate facilitation (positive values) and orange shades indicate competition (negative values). Both metrics reveal a transition (black line) from facilitation at low rainfall and tree density to competition at high rainfall and tree density. The dashed black line on the left panel indicates the locus of maximum facilitation for a fixed tree density value </w:t>
      </w:r>
      <m:oMath>
        <m:r>
          <w:rPr>
            <w:rFonts w:ascii="Cambria Math" w:hAnsi="Cambria Math"/>
          </w:rPr>
          <m:t>[</m:t>
        </m:r>
        <m:f>
          <m:fPr>
            <m:ctrlPr>
              <w:rPr>
                <w:rFonts w:ascii="Cambria Math" w:hAnsi="Cambria Math"/>
              </w:rPr>
            </m:ctrlPr>
          </m:fPr>
          <m:num>
            <m:r>
              <w:rPr>
                <w:rFonts w:ascii="Cambria Math" w:hAnsi="Cambria Math"/>
              </w:rPr>
              <m:t>∂</m:t>
            </m:r>
          </m:num>
          <m:den>
            <m:r>
              <w:rPr>
                <w:rFonts w:ascii="Cambria Math" w:hAnsi="Cambria Math"/>
              </w:rPr>
              <m:t>∂p</m:t>
            </m:r>
          </m:den>
        </m:f>
        <m:r>
          <w:rPr>
            <w:rFonts w:ascii="Cambria Math" w:hAnsi="Cambria Math"/>
          </w:rPr>
          <m:t>(</m:t>
        </m:r>
        <m:r>
          <m:rPr>
            <m:nor/>
          </m:rPr>
          <m:t>int. intensity</m:t>
        </m:r>
        <m:r>
          <w:rPr>
            <w:rFonts w:ascii="Cambria Math" w:hAnsi="Cambria Math"/>
          </w:rPr>
          <m:t>)=0]</m:t>
        </m:r>
      </m:oMath>
      <w:r w:rsidR="00000000">
        <w:t>, for the absolute interaction intensity.</w:t>
      </w:r>
    </w:p>
    <w:bookmarkEnd w:id="6"/>
    <w:p w14:paraId="5F7947A6" w14:textId="4D6A06CA" w:rsidR="0019210D" w:rsidRDefault="00000000" w:rsidP="00600718">
      <w:pPr>
        <w:pStyle w:val="BodyText"/>
        <w:jc w:val="both"/>
      </w:pPr>
      <w:r>
        <w:t>As shown in Fig. </w:t>
      </w:r>
      <w:r w:rsidR="00116E16" w:rsidRPr="00116E16">
        <w:t>3</w:t>
      </w:r>
      <w:r>
        <w:t xml:space="preserve">a, we can get unimodal curves when using the absolute interaction intensity. The dashed black curve </w:t>
      </w:r>
      <w:proofErr w:type="gramStart"/>
      <w:r>
        <w:t xml:space="preserve">in </w:t>
      </w:r>
      <w:r w:rsidR="00116E16">
        <w:t>,</w:t>
      </w:r>
      <w:proofErr w:type="gramEnd"/>
      <w:r w:rsidR="00116E16">
        <w:t xml:space="preserve"> </w:t>
      </w:r>
      <w:hyperlink w:anchor="fig:SI_interaction_intensity_2d">
        <w:r w:rsidR="00116E16">
          <w:rPr>
            <w:rStyle w:val="Hyperlink"/>
          </w:rPr>
          <w:t>Figure S</w:t>
        </w:r>
        <w:r w:rsidR="00116E16">
          <w:rPr>
            <w:rStyle w:val="Hyperlink"/>
          </w:rPr>
          <w:t>2a</w:t>
        </w:r>
      </w:hyperlink>
      <w:r w:rsidR="00116E16">
        <w:rPr>
          <w:rStyle w:val="Hyperlink"/>
        </w:rPr>
        <w:t xml:space="preserve"> </w:t>
      </w:r>
      <w:r>
        <w:t xml:space="preserve">shows the location of the local maxima in the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parameter space. To the left of this curve, the interaction intensity is positive and </w:t>
      </w:r>
      <w:r>
        <w:lastRenderedPageBreak/>
        <w:t>increases with precipitation. Once we cross this curve (from left to right), interaction intensity is still positive, but it decreases with precipitation. This ridge-like curve disappears when we use the relative interaction intensity instead: there is only monotonic decrease with precipitation.</w:t>
      </w:r>
    </w:p>
    <w:p w14:paraId="4ABE919E" w14:textId="4EE1603A" w:rsidR="0019210D" w:rsidRDefault="00116E16">
      <w:pPr>
        <w:pStyle w:val="Heading1"/>
      </w:pPr>
      <w:bookmarkStart w:id="7" w:name="sec:SI_deeper_look"/>
      <w:bookmarkEnd w:id="5"/>
      <w:r>
        <w:t xml:space="preserve">S3 </w:t>
      </w:r>
      <w:r w:rsidR="00000000">
        <w:t>A deeper look into the model</w:t>
      </w:r>
    </w:p>
    <w:p w14:paraId="0BE5489F" w14:textId="44B35AF2" w:rsidR="0019210D" w:rsidRDefault="00000000" w:rsidP="00600718">
      <w:pPr>
        <w:pStyle w:val="FirstParagraph"/>
        <w:jc w:val="both"/>
      </w:pPr>
      <w:r>
        <w:t xml:space="preserve">In order to find useful ways of thinking about the model, we perform a non-dimensionalization of the equations. For our purposes, it makes more sense to describe the second equation as the rate of change of absolute soil water content </w:t>
      </w:r>
      <m:oMath>
        <m:r>
          <w:rPr>
            <w:rFonts w:ascii="Cambria Math" w:hAnsi="Cambria Math"/>
          </w:rPr>
          <m:t>W</m:t>
        </m:r>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z</m:t>
            </m:r>
          </m:e>
          <m:sub>
            <m:r>
              <w:rPr>
                <w:rFonts w:ascii="Cambria Math" w:hAnsi="Cambria Math"/>
              </w:rPr>
              <m:t>r</m:t>
            </m:r>
          </m:sub>
        </m:sSub>
        <m:r>
          <w:rPr>
            <w:rFonts w:ascii="Cambria Math" w:hAnsi="Cambria Math"/>
          </w:rPr>
          <m:t>S</m:t>
        </m:r>
      </m:oMath>
      <w:r>
        <w:t xml:space="preserve">, instead of the equivalent </w:t>
      </w:r>
      <m:oMath>
        <m:r>
          <w:rPr>
            <w:rFonts w:ascii="Cambria Math" w:hAnsi="Cambria Math"/>
          </w:rPr>
          <m:t>n</m:t>
        </m:r>
        <m:sSub>
          <m:sSubPr>
            <m:ctrlPr>
              <w:rPr>
                <w:rFonts w:ascii="Cambria Math" w:hAnsi="Cambria Math"/>
              </w:rPr>
            </m:ctrlPr>
          </m:sSubPr>
          <m:e>
            <m:r>
              <w:rPr>
                <w:rFonts w:ascii="Cambria Math" w:hAnsi="Cambria Math"/>
              </w:rPr>
              <m:t>z</m:t>
            </m:r>
          </m:e>
          <m:sub>
            <m:r>
              <w:rPr>
                <w:rFonts w:ascii="Cambria Math" w:hAnsi="Cambria Math"/>
              </w:rPr>
              <m:t>r</m:t>
            </m:r>
          </m:sub>
        </m:sSub>
        <m:r>
          <w:rPr>
            <w:rFonts w:ascii="Cambria Math" w:hAnsi="Cambria Math"/>
          </w:rPr>
          <m:t> dS</m:t>
        </m:r>
        <m:r>
          <m:rPr>
            <m:sty m:val="p"/>
          </m:rPr>
          <w:rPr>
            <w:rFonts w:ascii="Cambria Math" w:hAnsi="Cambria Math"/>
          </w:rPr>
          <m:t>/</m:t>
        </m:r>
        <m:r>
          <w:rPr>
            <w:rFonts w:ascii="Cambria Math" w:hAnsi="Cambria Math"/>
          </w:rPr>
          <m:t>dt</m:t>
        </m:r>
      </m:oMath>
      <w:r>
        <w:t xml:space="preserve"> as shown in Eq.</w:t>
      </w:r>
      <w:r w:rsidR="00116E16">
        <w:t xml:space="preserve"> (1)</w:t>
      </w:r>
      <w:r>
        <w:t xml:space="preserve">. Since the active soil layer </w:t>
      </w:r>
      <m:oMath>
        <m:r>
          <w:rPr>
            <w:rFonts w:ascii="Cambria Math" w:hAnsi="Cambria Math"/>
          </w:rPr>
          <m:t>n</m:t>
        </m:r>
        <m:sSub>
          <m:sSubPr>
            <m:ctrlPr>
              <w:rPr>
                <w:rFonts w:ascii="Cambria Math" w:hAnsi="Cambria Math"/>
              </w:rPr>
            </m:ctrlPr>
          </m:sSubPr>
          <m:e>
            <m:r>
              <w:rPr>
                <w:rFonts w:ascii="Cambria Math" w:hAnsi="Cambria Math"/>
              </w:rPr>
              <m:t>z</m:t>
            </m:r>
          </m:e>
          <m:sub>
            <m:r>
              <w:rPr>
                <w:rFonts w:ascii="Cambria Math" w:hAnsi="Cambria Math"/>
              </w:rPr>
              <m:t>r</m:t>
            </m:r>
          </m:sub>
        </m:sSub>
      </m:oMath>
      <w:r>
        <w:t xml:space="preserve"> has length dimension (</w:t>
      </w:r>
      <m:oMath>
        <m:sSub>
          <m:sSubPr>
            <m:ctrlPr>
              <w:rPr>
                <w:rFonts w:ascii="Cambria Math" w:hAnsi="Cambria Math"/>
              </w:rPr>
            </m:ctrlPr>
          </m:sSubPr>
          <m:e>
            <m:r>
              <w:rPr>
                <w:rFonts w:ascii="Cambria Math" w:hAnsi="Cambria Math"/>
              </w:rPr>
              <m:t>z</m:t>
            </m:r>
          </m:e>
          <m:sub>
            <m:r>
              <w:rPr>
                <w:rFonts w:ascii="Cambria Math" w:hAnsi="Cambria Math"/>
              </w:rPr>
              <m:t>r</m:t>
            </m:r>
          </m:sub>
        </m:sSub>
      </m:oMath>
      <w:r>
        <w:t xml:space="preserve"> is the depth of the herb rooting zone, while the porosity </w:t>
      </w:r>
      <m:oMath>
        <m:r>
          <w:rPr>
            <w:rFonts w:ascii="Cambria Math" w:hAnsi="Cambria Math"/>
          </w:rPr>
          <m:t>n</m:t>
        </m:r>
      </m:oMath>
      <w:r>
        <w:t xml:space="preserve"> is non-dimensional), absolute soil water content </w:t>
      </w:r>
      <m:oMath>
        <m:r>
          <w:rPr>
            <w:rFonts w:ascii="Cambria Math" w:hAnsi="Cambria Math"/>
          </w:rPr>
          <m:t>W</m:t>
        </m:r>
      </m:oMath>
      <w:r>
        <w:t xml:space="preserve"> is also a length (it is commonly called soil water depth). Finally, we note that 1 mm of water is equivalent to 1 L m</w:t>
      </w:r>
      <w:r>
        <w:rPr>
          <w:vertAlign w:val="superscript"/>
        </w:rPr>
        <w:t>−2</w:t>
      </w:r>
      <w:r>
        <w:t xml:space="preserve">, so reporting </w:t>
      </w:r>
      <m:oMath>
        <m:r>
          <w:rPr>
            <w:rFonts w:ascii="Cambria Math" w:hAnsi="Cambria Math"/>
          </w:rPr>
          <m:t>W</m:t>
        </m:r>
      </m:oMath>
      <w:r>
        <w:t xml:space="preserve"> as length is the same as volume per unit area. The full model equations now read:</w:t>
      </w:r>
    </w:p>
    <w:tbl>
      <w:tblPr>
        <w:tblStyle w:val="TableGrid"/>
        <w:tblpPr w:leftFromText="180" w:rightFromText="180" w:vertAnchor="text" w:horzAnchor="margin" w:tblpY="16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8"/>
        <w:gridCol w:w="630"/>
        <w:gridCol w:w="3168"/>
      </w:tblGrid>
      <w:tr w:rsidR="00116E16" w14:paraId="41A47230" w14:textId="77777777" w:rsidTr="00116E16">
        <w:tc>
          <w:tcPr>
            <w:tcW w:w="5778" w:type="dxa"/>
          </w:tcPr>
          <w:bookmarkStart w:id="8" w:name="eqS2"/>
          <w:p w14:paraId="3C1E2F27" w14:textId="37232329" w:rsidR="00116E16" w:rsidRPr="00DC2973" w:rsidRDefault="00116E16" w:rsidP="00FA3956">
            <w:pPr>
              <w:pStyle w:val="FirstParagraph"/>
            </w:pPr>
            <m:oMathPara>
              <m:oMathParaPr>
                <m:jc m:val="right"/>
              </m:oMathParaPr>
              <m:oMath>
                <m:f>
                  <m:fPr>
                    <m:ctrlPr>
                      <w:rPr>
                        <w:rFonts w:ascii="Cambria Math" w:hAnsi="Cambria Math"/>
                      </w:rPr>
                    </m:ctrlPr>
                  </m:fPr>
                  <m:num>
                    <m:r>
                      <w:rPr>
                        <w:rFonts w:ascii="Cambria Math" w:hAnsi="Cambria Math"/>
                      </w:rPr>
                      <m:t>dB</m:t>
                    </m:r>
                  </m:num>
                  <m:den>
                    <m:r>
                      <w:rPr>
                        <w:rFonts w:ascii="Cambria Math" w:hAnsi="Cambria Math"/>
                      </w:rPr>
                      <m:t>dt</m:t>
                    </m:r>
                  </m:den>
                </m:f>
                <m:r>
                  <m:rPr>
                    <m:sty m:val="p"/>
                  </m:rPr>
                  <w:rPr>
                    <w:rFonts w:ascii="Cambria Math" w:hAnsi="Cambria Math"/>
                  </w:rPr>
                  <m:t>=</m:t>
                </m:r>
                <m:r>
                  <w:rPr>
                    <w:rFonts w:ascii="Cambria Math" w:hAnsi="Cambria Math"/>
                  </w:rPr>
                  <m:t>a </m:t>
                </m:r>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k</m:t>
                        </m:r>
                      </m:den>
                    </m:f>
                  </m:e>
                </m:d>
                <m:r>
                  <w:rPr>
                    <w:rFonts w:ascii="Cambria Math" w:hAnsi="Cambria Math"/>
                  </w:rPr>
                  <m:t>B S</m:t>
                </m:r>
                <m:r>
                  <m:rPr>
                    <m:sty m:val="p"/>
                  </m:rPr>
                  <w:rPr>
                    <w:rFonts w:ascii="Cambria Math" w:hAnsi="Cambria Math"/>
                  </w:rPr>
                  <m:t>-</m:t>
                </m:r>
                <m:r>
                  <w:rPr>
                    <w:rFonts w:ascii="Cambria Math" w:hAnsi="Cambria Math"/>
                  </w:rPr>
                  <m:t>m B</m:t>
                </m:r>
              </m:oMath>
            </m:oMathPara>
          </w:p>
        </w:tc>
        <w:tc>
          <w:tcPr>
            <w:tcW w:w="3798" w:type="dxa"/>
            <w:gridSpan w:val="2"/>
          </w:tcPr>
          <w:p w14:paraId="6D03B0D9" w14:textId="49B4EBE9" w:rsidR="00116E16" w:rsidRDefault="00116E16" w:rsidP="00FA3956">
            <w:pPr>
              <w:pStyle w:val="FirstParagraph"/>
              <w:jc w:val="right"/>
            </w:pPr>
            <w:r>
              <w:t>(S</w:t>
            </w:r>
            <w:r>
              <w:t>2</w:t>
            </w:r>
            <w:r>
              <w:t>a)</w:t>
            </w:r>
          </w:p>
        </w:tc>
      </w:tr>
      <w:tr w:rsidR="00116E16" w14:paraId="6D300EF6" w14:textId="77777777" w:rsidTr="00FA3956">
        <w:tc>
          <w:tcPr>
            <w:tcW w:w="6408" w:type="dxa"/>
            <w:gridSpan w:val="2"/>
          </w:tcPr>
          <w:p w14:paraId="5CBD70EE" w14:textId="5A08B56F" w:rsidR="00116E16" w:rsidRPr="00DC2973" w:rsidRDefault="00116E16" w:rsidP="00FA3956">
            <w:pPr>
              <w:pStyle w:val="FirstParagraph"/>
            </w:pPr>
            <m:oMathPara>
              <m:oMathParaPr>
                <m:jc m:val="right"/>
              </m:oMathParaPr>
              <m:oMath>
                <m:f>
                  <m:fPr>
                    <m:ctrlPr>
                      <w:rPr>
                        <w:rFonts w:ascii="Cambria Math" w:hAnsi="Cambria Math"/>
                      </w:rPr>
                    </m:ctrlPr>
                  </m:fPr>
                  <m:num>
                    <m:r>
                      <w:rPr>
                        <w:rFonts w:ascii="Cambria Math" w:hAnsi="Cambria Math"/>
                      </w:rPr>
                      <m:t>dW</m:t>
                    </m:r>
                  </m:num>
                  <m:den>
                    <m:r>
                      <w:rPr>
                        <w:rFonts w:ascii="Cambria Math" w:hAnsi="Cambria Math"/>
                      </w:rPr>
                      <m:t>dt</m:t>
                    </m:r>
                  </m:den>
                </m:f>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sSup>
                  <m:sSupPr>
                    <m:ctrlPr>
                      <w:rPr>
                        <w:rFonts w:ascii="Cambria Math" w:hAnsi="Cambria Math"/>
                      </w:rPr>
                    </m:ctrlPr>
                  </m:sSupPr>
                  <m:e>
                    <m:r>
                      <w:rPr>
                        <w:rFonts w:ascii="Cambria Math" w:hAnsi="Cambria Math"/>
                      </w:rPr>
                      <m:t>S</m:t>
                    </m:r>
                  </m:e>
                  <m:sup>
                    <m:r>
                      <w:rPr>
                        <w:rFonts w:ascii="Cambria Math" w:hAnsi="Cambria Math"/>
                      </w:rPr>
                      <m:t>γ</m:t>
                    </m:r>
                  </m:sup>
                </m:s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B S</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oMath>
            </m:oMathPara>
          </w:p>
        </w:tc>
        <w:tc>
          <w:tcPr>
            <w:tcW w:w="3168" w:type="dxa"/>
          </w:tcPr>
          <w:p w14:paraId="6AA23DF7" w14:textId="58C3D637" w:rsidR="00116E16" w:rsidRDefault="00116E16" w:rsidP="00FA3956">
            <w:pPr>
              <w:pStyle w:val="FirstParagraph"/>
              <w:jc w:val="right"/>
            </w:pPr>
            <w:r>
              <w:t>(S</w:t>
            </w:r>
            <w:r>
              <w:t>2</w:t>
            </w:r>
            <w:r>
              <w:t>b)</w:t>
            </w:r>
          </w:p>
        </w:tc>
      </w:tr>
    </w:tbl>
    <w:bookmarkEnd w:id="8"/>
    <w:p w14:paraId="39AF1C08" w14:textId="77777777" w:rsidR="0019210D" w:rsidRDefault="00000000" w:rsidP="00600718">
      <w:pPr>
        <w:pStyle w:val="FirstParagraph"/>
        <w:jc w:val="both"/>
      </w:pPr>
      <w:r>
        <w:t>The independent and dependent variables of this dynamical system have the following dimensions:</w:t>
      </w:r>
    </w:p>
    <w:tbl>
      <w:tblPr>
        <w:tblStyle w:val="Table"/>
        <w:tblW w:w="0" w:type="auto"/>
        <w:jc w:val="center"/>
        <w:tblLook w:val="0020" w:firstRow="1" w:lastRow="0" w:firstColumn="0" w:lastColumn="0" w:noHBand="0" w:noVBand="0"/>
      </w:tblPr>
      <w:tblGrid>
        <w:gridCol w:w="3047"/>
        <w:gridCol w:w="976"/>
        <w:gridCol w:w="1310"/>
        <w:gridCol w:w="853"/>
      </w:tblGrid>
      <w:tr w:rsidR="0019210D" w14:paraId="39A7BBBC" w14:textId="77777777" w:rsidTr="00116E16">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DD32006" w14:textId="77777777" w:rsidR="0019210D" w:rsidRDefault="00000000">
            <w:pPr>
              <w:pStyle w:val="Compact"/>
            </w:pPr>
            <w:r>
              <w:t>Quantity</w:t>
            </w:r>
          </w:p>
        </w:tc>
        <w:tc>
          <w:tcPr>
            <w:tcW w:w="0" w:type="auto"/>
          </w:tcPr>
          <w:p w14:paraId="778033BC" w14:textId="77777777" w:rsidR="0019210D" w:rsidRDefault="00000000">
            <w:pPr>
              <w:pStyle w:val="Compact"/>
            </w:pPr>
            <w:r>
              <w:t>symbol</w:t>
            </w:r>
          </w:p>
        </w:tc>
        <w:tc>
          <w:tcPr>
            <w:tcW w:w="0" w:type="auto"/>
          </w:tcPr>
          <w:p w14:paraId="0C4D9DEC" w14:textId="77777777" w:rsidR="0019210D" w:rsidRDefault="00000000">
            <w:pPr>
              <w:pStyle w:val="Compact"/>
            </w:pPr>
            <w:r>
              <w:t>dimension</w:t>
            </w:r>
          </w:p>
        </w:tc>
        <w:tc>
          <w:tcPr>
            <w:tcW w:w="0" w:type="auto"/>
          </w:tcPr>
          <w:p w14:paraId="18B02C7F" w14:textId="77777777" w:rsidR="0019210D" w:rsidRDefault="00000000">
            <w:pPr>
              <w:pStyle w:val="Compact"/>
            </w:pPr>
            <w:r>
              <w:t>units</w:t>
            </w:r>
          </w:p>
        </w:tc>
      </w:tr>
      <w:tr w:rsidR="0019210D" w14:paraId="20269D35" w14:textId="77777777" w:rsidTr="00116E16">
        <w:trPr>
          <w:jc w:val="center"/>
        </w:trPr>
        <w:tc>
          <w:tcPr>
            <w:tcW w:w="0" w:type="auto"/>
          </w:tcPr>
          <w:p w14:paraId="72D9EC97" w14:textId="77777777" w:rsidR="0019210D" w:rsidRDefault="00000000">
            <w:pPr>
              <w:pStyle w:val="Compact"/>
            </w:pPr>
            <w:r>
              <w:t>Biomass density</w:t>
            </w:r>
          </w:p>
        </w:tc>
        <w:tc>
          <w:tcPr>
            <w:tcW w:w="0" w:type="auto"/>
          </w:tcPr>
          <w:p w14:paraId="2D566022" w14:textId="77777777" w:rsidR="0019210D" w:rsidRDefault="00000000">
            <w:pPr>
              <w:pStyle w:val="Compact"/>
            </w:pPr>
            <m:oMathPara>
              <m:oMath>
                <m:r>
                  <w:rPr>
                    <w:rFonts w:ascii="Cambria Math" w:hAnsi="Cambria Math"/>
                  </w:rPr>
                  <m:t>B</m:t>
                </m:r>
              </m:oMath>
            </m:oMathPara>
          </w:p>
        </w:tc>
        <w:tc>
          <w:tcPr>
            <w:tcW w:w="0" w:type="auto"/>
          </w:tcPr>
          <w:p w14:paraId="65B2B4D1" w14:textId="77777777" w:rsidR="0019210D" w:rsidRDefault="00000000">
            <w:pPr>
              <w:pStyle w:val="Compact"/>
            </w:pPr>
            <w:r>
              <w:t xml:space="preserve">density </w:t>
            </w:r>
            <m:oMath>
              <m:r>
                <w:rPr>
                  <w:rFonts w:ascii="Cambria Math" w:hAnsi="Cambria Math"/>
                </w:rPr>
                <m:t>ρ</m:t>
              </m:r>
            </m:oMath>
          </w:p>
        </w:tc>
        <w:tc>
          <w:tcPr>
            <w:tcW w:w="0" w:type="auto"/>
          </w:tcPr>
          <w:p w14:paraId="13CFA62C" w14:textId="77777777" w:rsidR="0019210D" w:rsidRDefault="00000000">
            <w:pPr>
              <w:pStyle w:val="Compact"/>
            </w:pPr>
            <w:r>
              <w:t>kg m</w:t>
            </w:r>
            <w:r>
              <w:rPr>
                <w:vertAlign w:val="superscript"/>
              </w:rPr>
              <w:t>−2</w:t>
            </w:r>
          </w:p>
        </w:tc>
      </w:tr>
      <w:tr w:rsidR="0019210D" w14:paraId="61F7C091" w14:textId="77777777" w:rsidTr="00116E16">
        <w:trPr>
          <w:jc w:val="center"/>
        </w:trPr>
        <w:tc>
          <w:tcPr>
            <w:tcW w:w="0" w:type="auto"/>
          </w:tcPr>
          <w:p w14:paraId="0469CF14" w14:textId="77777777" w:rsidR="0019210D" w:rsidRDefault="00000000">
            <w:pPr>
              <w:pStyle w:val="Compact"/>
            </w:pPr>
            <w:r>
              <w:t>Absolute soil water content</w:t>
            </w:r>
          </w:p>
        </w:tc>
        <w:tc>
          <w:tcPr>
            <w:tcW w:w="0" w:type="auto"/>
          </w:tcPr>
          <w:p w14:paraId="6A39D70E" w14:textId="77777777" w:rsidR="0019210D" w:rsidRDefault="00000000">
            <w:pPr>
              <w:pStyle w:val="Compact"/>
            </w:pPr>
            <m:oMathPara>
              <m:oMath>
                <m:r>
                  <w:rPr>
                    <w:rFonts w:ascii="Cambria Math" w:hAnsi="Cambria Math"/>
                  </w:rPr>
                  <m:t>W</m:t>
                </m:r>
              </m:oMath>
            </m:oMathPara>
          </w:p>
        </w:tc>
        <w:tc>
          <w:tcPr>
            <w:tcW w:w="0" w:type="auto"/>
          </w:tcPr>
          <w:p w14:paraId="47FC150B" w14:textId="77777777" w:rsidR="0019210D" w:rsidRDefault="00000000">
            <w:pPr>
              <w:pStyle w:val="Compact"/>
            </w:pPr>
            <w:r>
              <w:t>length L</w:t>
            </w:r>
          </w:p>
        </w:tc>
        <w:tc>
          <w:tcPr>
            <w:tcW w:w="0" w:type="auto"/>
          </w:tcPr>
          <w:p w14:paraId="2CC0227C" w14:textId="77777777" w:rsidR="0019210D" w:rsidRDefault="00000000">
            <w:pPr>
              <w:pStyle w:val="Compact"/>
            </w:pPr>
            <w:r>
              <w:t>mm</w:t>
            </w:r>
          </w:p>
        </w:tc>
      </w:tr>
      <w:tr w:rsidR="0019210D" w14:paraId="503AA08B" w14:textId="77777777" w:rsidTr="00116E16">
        <w:trPr>
          <w:jc w:val="center"/>
        </w:trPr>
        <w:tc>
          <w:tcPr>
            <w:tcW w:w="0" w:type="auto"/>
          </w:tcPr>
          <w:p w14:paraId="78A36C7D" w14:textId="77777777" w:rsidR="0019210D" w:rsidRDefault="00000000">
            <w:pPr>
              <w:pStyle w:val="Compact"/>
            </w:pPr>
            <w:r>
              <w:t>Time</w:t>
            </w:r>
          </w:p>
        </w:tc>
        <w:tc>
          <w:tcPr>
            <w:tcW w:w="0" w:type="auto"/>
          </w:tcPr>
          <w:p w14:paraId="3085F43E" w14:textId="77777777" w:rsidR="0019210D" w:rsidRDefault="00000000">
            <w:pPr>
              <w:pStyle w:val="Compact"/>
            </w:pPr>
            <m:oMathPara>
              <m:oMath>
                <m:r>
                  <w:rPr>
                    <w:rFonts w:ascii="Cambria Math" w:hAnsi="Cambria Math"/>
                  </w:rPr>
                  <m:t>t</m:t>
                </m:r>
              </m:oMath>
            </m:oMathPara>
          </w:p>
        </w:tc>
        <w:tc>
          <w:tcPr>
            <w:tcW w:w="0" w:type="auto"/>
          </w:tcPr>
          <w:p w14:paraId="1DF7B987" w14:textId="77777777" w:rsidR="0019210D" w:rsidRDefault="00000000">
            <w:pPr>
              <w:pStyle w:val="Compact"/>
            </w:pPr>
            <w:r>
              <w:t>time T</w:t>
            </w:r>
          </w:p>
        </w:tc>
        <w:tc>
          <w:tcPr>
            <w:tcW w:w="0" w:type="auto"/>
          </w:tcPr>
          <w:p w14:paraId="43954310" w14:textId="77777777" w:rsidR="0019210D" w:rsidRDefault="00000000">
            <w:pPr>
              <w:pStyle w:val="Compact"/>
            </w:pPr>
            <w:r>
              <w:t>day</w:t>
            </w:r>
          </w:p>
        </w:tc>
      </w:tr>
    </w:tbl>
    <w:p w14:paraId="742DC544" w14:textId="77777777" w:rsidR="0019210D" w:rsidRDefault="00000000" w:rsidP="00600718">
      <w:pPr>
        <w:pStyle w:val="BodyText"/>
        <w:jc w:val="both"/>
      </w:pPr>
      <w:r>
        <w:t xml:space="preserve">Accounting for all the model parameters that have dimensions, we have eight: </w:t>
      </w:r>
      <m:oMath>
        <m:r>
          <w:rPr>
            <w:rFonts w:ascii="Cambria Math" w:hAnsi="Cambria Math"/>
          </w:rPr>
          <m:t>a</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z</m:t>
            </m:r>
          </m:e>
          <m:sub>
            <m:r>
              <w:rPr>
                <w:rFonts w:ascii="Cambria Math" w:hAnsi="Cambria Math"/>
              </w:rPr>
              <m:t>r</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λ</m:t>
        </m:r>
      </m:oMath>
      <w:r>
        <w:t xml:space="preserve">. (Here we treat </w:t>
      </w:r>
      <m:oMath>
        <m:r>
          <w:rPr>
            <w:rFonts w:ascii="Cambria Math" w:hAnsi="Cambria Math"/>
          </w:rPr>
          <m:t>n</m:t>
        </m:r>
        <m:sSub>
          <m:sSubPr>
            <m:ctrlPr>
              <w:rPr>
                <w:rFonts w:ascii="Cambria Math" w:hAnsi="Cambria Math"/>
              </w:rPr>
            </m:ctrlPr>
          </m:sSubPr>
          <m:e>
            <m:r>
              <w:rPr>
                <w:rFonts w:ascii="Cambria Math" w:hAnsi="Cambria Math"/>
              </w:rPr>
              <m:t>z</m:t>
            </m:r>
          </m:e>
          <m:sub>
            <m:r>
              <w:rPr>
                <w:rFonts w:ascii="Cambria Math" w:hAnsi="Cambria Math"/>
              </w:rPr>
              <m:t>r</m:t>
            </m:r>
          </m:sub>
        </m:sSub>
      </m:oMath>
      <w:r>
        <w:t xml:space="preserve"> as a single parameter.) The parameter </w:t>
      </w:r>
      <m:oMath>
        <m:r>
          <w:rPr>
            <w:rFonts w:ascii="Cambria Math" w:hAnsi="Cambria Math"/>
          </w:rPr>
          <m:t>λ</m:t>
        </m:r>
      </m:oMath>
      <w:r>
        <w:t xml:space="preserve"> appears inside the function </w:t>
      </w:r>
      <m:oMath>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All of these parameters have dimensions that derive from the three basic ones shown in the table. According to Buckingham’s </w:t>
      </w:r>
      <m:oMath>
        <m:r>
          <m:rPr>
            <m:sty m:val="p"/>
          </m:rPr>
          <w:rPr>
            <w:rFonts w:ascii="Cambria Math" w:hAnsi="Cambria Math"/>
          </w:rPr>
          <m:t>Π</m:t>
        </m:r>
      </m:oMath>
      <w:r>
        <w:t xml:space="preserve"> Theorem, when performing non-dimensionalization of the equations, the number of independent dimensionless groups is equal to the number of dimensional parameters minus the number of fundamental dimensions. Since we have 8 dimensional parameters and 3 fundamental dimensions (biomass density, length, and time), we obtain </w:t>
      </w:r>
      <m:oMath>
        <m:r>
          <w:rPr>
            <w:rFonts w:ascii="Cambria Math" w:hAnsi="Cambria Math"/>
          </w:rPr>
          <m:t>8</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oMath>
      <w:r>
        <w:t>. In simple terms, although the model contains eight dimensional parameters, its behavior can be fully captured by just five independent dimensionless combinations.</w:t>
      </w:r>
    </w:p>
    <w:p w14:paraId="1AF5BA91" w14:textId="77777777" w:rsidR="0019210D" w:rsidRDefault="00000000" w:rsidP="00600718">
      <w:pPr>
        <w:pStyle w:val="BodyText"/>
        <w:jc w:val="both"/>
      </w:pPr>
      <w:r>
        <w:lastRenderedPageBreak/>
        <w:t>We start now the non-dimensionalization process by defining the following new non-dimensional variables: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8"/>
        <w:gridCol w:w="3760"/>
        <w:gridCol w:w="2700"/>
      </w:tblGrid>
      <w:tr w:rsidR="00116E16" w14:paraId="6EE4C5AE" w14:textId="77777777" w:rsidTr="00116E16">
        <w:tc>
          <w:tcPr>
            <w:tcW w:w="2918" w:type="dxa"/>
          </w:tcPr>
          <w:p w14:paraId="284AFF51" w14:textId="047D86E8" w:rsidR="00116E16" w:rsidRDefault="00116E16">
            <w:pPr>
              <w:pStyle w:val="BodyText"/>
            </w:pPr>
            <w:bookmarkStart w:id="9" w:name="eqS3"/>
            <w:bookmarkStart w:id="10" w:name="eqS3a" w:colFirst="0" w:colLast="2"/>
            <m:oMathPara>
              <m:oMath>
                <m:r>
                  <m:rPr>
                    <m:nor/>
                  </m:rPr>
                  <m:t>non-dimensional biomass</m:t>
                </m:r>
              </m:oMath>
            </m:oMathPara>
          </w:p>
        </w:tc>
        <w:tc>
          <w:tcPr>
            <w:tcW w:w="3760" w:type="dxa"/>
          </w:tcPr>
          <w:p w14:paraId="4A9DC850" w14:textId="0D2AEDAB" w:rsidR="00116E16" w:rsidRDefault="00116E16">
            <w:pPr>
              <w:pStyle w:val="BodyText"/>
            </w:pPr>
            <m:oMathPara>
              <m:oMath>
                <m:acc>
                  <m:accPr>
                    <m:chr m:val="̃"/>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oMath>
            </m:oMathPara>
          </w:p>
        </w:tc>
        <w:tc>
          <w:tcPr>
            <w:tcW w:w="2700" w:type="dxa"/>
          </w:tcPr>
          <w:p w14:paraId="221A881F" w14:textId="794904AC" w:rsidR="00116E16" w:rsidRDefault="00116E16" w:rsidP="00116E16">
            <w:pPr>
              <w:pStyle w:val="BodyText"/>
              <w:jc w:val="right"/>
            </w:pPr>
            <w:r>
              <w:t>(S3a)</w:t>
            </w:r>
          </w:p>
        </w:tc>
      </w:tr>
      <w:bookmarkEnd w:id="10"/>
      <w:tr w:rsidR="00116E16" w14:paraId="48AC54AD" w14:textId="77777777" w:rsidTr="00116E16">
        <w:tc>
          <w:tcPr>
            <w:tcW w:w="2918" w:type="dxa"/>
          </w:tcPr>
          <w:p w14:paraId="630BCE23" w14:textId="706BAC13" w:rsidR="00116E16" w:rsidRDefault="00116E16">
            <w:pPr>
              <w:pStyle w:val="BodyText"/>
            </w:pPr>
            <m:oMathPara>
              <m:oMath>
                <m:r>
                  <m:rPr>
                    <m:nor/>
                  </m:rPr>
                  <m:t>non-dimensional time</m:t>
                </m:r>
              </m:oMath>
            </m:oMathPara>
          </w:p>
        </w:tc>
        <w:tc>
          <w:tcPr>
            <w:tcW w:w="3760" w:type="dxa"/>
          </w:tcPr>
          <w:p w14:paraId="59809BCC" w14:textId="4ADCBD7A" w:rsidR="00116E16" w:rsidRDefault="00116E16">
            <w:pPr>
              <w:pStyle w:val="BodyText"/>
            </w:pPr>
            <m:oMathPara>
              <m:oMath>
                <m:acc>
                  <m:accPr>
                    <m:chr m:val="̃"/>
                    <m:ctrlPr>
                      <w:rPr>
                        <w:rFonts w:ascii="Cambria Math" w:hAnsi="Cambria Math"/>
                      </w:rPr>
                    </m:ctrlPr>
                  </m:accPr>
                  <m:e>
                    <m:r>
                      <w:rPr>
                        <w:rFonts w:ascii="Cambria Math" w:hAnsi="Cambria Math"/>
                      </w:rPr>
                      <m:t>t</m:t>
                    </m:r>
                  </m:e>
                </m:acc>
                <m:r>
                  <m:rPr>
                    <m:sty m:val="p"/>
                  </m:rP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ξ</m:t>
                        </m:r>
                      </m:e>
                      <m:sub>
                        <m:r>
                          <w:rPr>
                            <w:rFonts w:ascii="Cambria Math" w:hAnsi="Cambria Math"/>
                          </w:rPr>
                          <m:t>2</m:t>
                        </m:r>
                      </m:sub>
                    </m:sSub>
                  </m:den>
                </m:f>
              </m:oMath>
            </m:oMathPara>
          </w:p>
        </w:tc>
        <w:tc>
          <w:tcPr>
            <w:tcW w:w="2700" w:type="dxa"/>
          </w:tcPr>
          <w:p w14:paraId="35E5B70E" w14:textId="0DE6D058" w:rsidR="00116E16" w:rsidRDefault="00116E16" w:rsidP="00116E16">
            <w:pPr>
              <w:pStyle w:val="BodyText"/>
              <w:jc w:val="right"/>
            </w:pPr>
            <w:r>
              <w:t>(S3b)</w:t>
            </w:r>
          </w:p>
        </w:tc>
      </w:tr>
      <w:tr w:rsidR="00116E16" w14:paraId="564DF4E5" w14:textId="77777777" w:rsidTr="00116E16">
        <w:tc>
          <w:tcPr>
            <w:tcW w:w="2918" w:type="dxa"/>
          </w:tcPr>
          <w:p w14:paraId="327472B2" w14:textId="08DB508D" w:rsidR="00116E16" w:rsidRDefault="00116E16">
            <w:pPr>
              <w:pStyle w:val="BodyText"/>
            </w:pPr>
            <m:oMathPara>
              <m:oMath>
                <m:r>
                  <m:rPr>
                    <m:nor/>
                  </m:rPr>
                  <m:t>non-dimensional water</m:t>
                </m:r>
              </m:oMath>
            </m:oMathPara>
          </w:p>
        </w:tc>
        <w:tc>
          <w:tcPr>
            <w:tcW w:w="3760" w:type="dxa"/>
          </w:tcPr>
          <w:p w14:paraId="16393A5B" w14:textId="78894CFF" w:rsidR="00116E16" w:rsidRDefault="00116E16">
            <w:pPr>
              <w:pStyle w:val="BodyText"/>
            </w:pPr>
            <m:oMathPara>
              <m:oMath>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W</m:t>
                    </m:r>
                  </m:num>
                  <m:den>
                    <m:sSub>
                      <m:sSubPr>
                        <m:ctrlPr>
                          <w:rPr>
                            <w:rFonts w:ascii="Cambria Math" w:hAnsi="Cambria Math"/>
                          </w:rPr>
                        </m:ctrlPr>
                      </m:sSubPr>
                      <m:e>
                        <m:r>
                          <w:rPr>
                            <w:rFonts w:ascii="Cambria Math" w:hAnsi="Cambria Math"/>
                          </w:rPr>
                          <m:t>ξ</m:t>
                        </m:r>
                      </m:e>
                      <m:sub>
                        <m:r>
                          <w:rPr>
                            <w:rFonts w:ascii="Cambria Math" w:hAnsi="Cambria Math"/>
                          </w:rPr>
                          <m:t>3</m:t>
                        </m:r>
                      </m:sub>
                    </m:sSub>
                  </m:den>
                </m:f>
              </m:oMath>
            </m:oMathPara>
          </w:p>
        </w:tc>
        <w:tc>
          <w:tcPr>
            <w:tcW w:w="2700" w:type="dxa"/>
          </w:tcPr>
          <w:p w14:paraId="2C806FCE" w14:textId="769611D7" w:rsidR="00116E16" w:rsidRDefault="00116E16" w:rsidP="00116E16">
            <w:pPr>
              <w:pStyle w:val="BodyText"/>
              <w:jc w:val="right"/>
            </w:pPr>
            <w:r>
              <w:t>(S3c)</w:t>
            </w:r>
          </w:p>
        </w:tc>
      </w:tr>
    </w:tbl>
    <w:bookmarkEnd w:id="9"/>
    <w:p w14:paraId="6E186A9D" w14:textId="6DC5E4ED" w:rsidR="0019210D" w:rsidRDefault="00000000" w:rsidP="00600718">
      <w:pPr>
        <w:pStyle w:val="FirstParagraph"/>
        <w:jc w:val="both"/>
      </w:pPr>
      <w:r>
        <w:t xml:space="preserve">We have many choices for </w:t>
      </w:r>
      <m:oMath>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3</m:t>
            </m:r>
          </m:sub>
        </m:sSub>
      </m:oMath>
      <w:r>
        <w:t>. A suitable choice here is</w:t>
      </w:r>
      <w:r w:rsidR="00600718">
        <w:t>:</w:t>
      </w:r>
    </w:p>
    <w:tbl>
      <w:tblPr>
        <w:tblStyle w:val="TableGrid"/>
        <w:tblW w:w="0" w:type="auto"/>
        <w:tblInd w:w="1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80"/>
        <w:gridCol w:w="810"/>
      </w:tblGrid>
      <w:tr w:rsidR="00116E16" w14:paraId="6F6A4CCA" w14:textId="77777777" w:rsidTr="00116E16">
        <w:tc>
          <w:tcPr>
            <w:tcW w:w="7380" w:type="dxa"/>
          </w:tcPr>
          <w:bookmarkStart w:id="11" w:name="eqS4"/>
          <w:p w14:paraId="3175C552" w14:textId="151F9AFB" w:rsidR="00116E16" w:rsidRDefault="00116E16" w:rsidP="00116E16">
            <w:pPr>
              <w:pStyle w:val="BodyText"/>
            </w:pPr>
            <m:oMathPara>
              <m:oMath>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a</m:t>
                    </m:r>
                  </m:den>
                </m:f>
              </m:oMath>
            </m:oMathPara>
          </w:p>
        </w:tc>
        <w:tc>
          <w:tcPr>
            <w:tcW w:w="810" w:type="dxa"/>
          </w:tcPr>
          <w:p w14:paraId="0E1FA785" w14:textId="74B803A8" w:rsidR="00116E16" w:rsidRDefault="00116E16" w:rsidP="00116E16">
            <w:pPr>
              <w:pStyle w:val="BodyText"/>
              <w:jc w:val="right"/>
            </w:pPr>
            <w:r>
              <w:t>(S4a)</w:t>
            </w:r>
          </w:p>
        </w:tc>
      </w:tr>
      <w:tr w:rsidR="00116E16" w14:paraId="5E905390" w14:textId="77777777" w:rsidTr="00116E16">
        <w:tc>
          <w:tcPr>
            <w:tcW w:w="7380" w:type="dxa"/>
          </w:tcPr>
          <w:p w14:paraId="5C10D96B" w14:textId="2A0E8A9D" w:rsidR="00116E16" w:rsidRDefault="00116E16" w:rsidP="00116E16">
            <w:pPr>
              <w:pStyle w:val="BodyText"/>
            </w:pPr>
            <m:oMathPara>
              <m:oMath>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a</m:t>
                    </m:r>
                  </m:den>
                </m:f>
              </m:oMath>
            </m:oMathPara>
          </w:p>
        </w:tc>
        <w:tc>
          <w:tcPr>
            <w:tcW w:w="810" w:type="dxa"/>
          </w:tcPr>
          <w:p w14:paraId="0D71B744" w14:textId="48BB15AE" w:rsidR="00116E16" w:rsidRDefault="00116E16" w:rsidP="00116E16">
            <w:pPr>
              <w:pStyle w:val="BodyText"/>
              <w:jc w:val="right"/>
            </w:pPr>
            <w:r>
              <w:t>(S4b)</w:t>
            </w:r>
          </w:p>
        </w:tc>
      </w:tr>
      <w:tr w:rsidR="00116E16" w14:paraId="15107813" w14:textId="77777777" w:rsidTr="00116E16">
        <w:tc>
          <w:tcPr>
            <w:tcW w:w="7380" w:type="dxa"/>
          </w:tcPr>
          <w:p w14:paraId="61E2AD6D" w14:textId="0AE88414" w:rsidR="00116E16" w:rsidRDefault="00116E16" w:rsidP="00116E16">
            <w:pPr>
              <w:pStyle w:val="BodyText"/>
            </w:pPr>
            <m:oMathPara>
              <m:oMath>
                <m:sSub>
                  <m:sSubPr>
                    <m:ctrlPr>
                      <w:rPr>
                        <w:rFonts w:ascii="Cambria Math" w:hAnsi="Cambria Math"/>
                      </w:rPr>
                    </m:ctrlPr>
                  </m:sSubPr>
                  <m:e>
                    <m:r>
                      <w:rPr>
                        <w:rFonts w:ascii="Cambria Math" w:hAnsi="Cambria Math"/>
                      </w:rPr>
                      <m:t>ξ</m:t>
                    </m:r>
                  </m:e>
                  <m:sub>
                    <m:r>
                      <w:rPr>
                        <w:rFonts w:ascii="Cambria Math" w:hAnsi="Cambria Math"/>
                      </w:rPr>
                      <m:t>3</m:t>
                    </m:r>
                  </m:sub>
                </m:sSub>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z</m:t>
                    </m:r>
                  </m:e>
                  <m:sub>
                    <m:r>
                      <w:rPr>
                        <w:rFonts w:ascii="Cambria Math" w:hAnsi="Cambria Math"/>
                      </w:rPr>
                      <m:t>r</m:t>
                    </m:r>
                  </m:sub>
                </m:sSub>
              </m:oMath>
            </m:oMathPara>
          </w:p>
        </w:tc>
        <w:tc>
          <w:tcPr>
            <w:tcW w:w="810" w:type="dxa"/>
          </w:tcPr>
          <w:p w14:paraId="502420F0" w14:textId="607C310C" w:rsidR="00116E16" w:rsidRDefault="00116E16" w:rsidP="00116E16">
            <w:pPr>
              <w:pStyle w:val="BodyText"/>
              <w:jc w:val="right"/>
            </w:pPr>
            <w:r>
              <w:t>(S4c)</w:t>
            </w:r>
          </w:p>
        </w:tc>
      </w:tr>
    </w:tbl>
    <w:bookmarkEnd w:id="11"/>
    <w:p w14:paraId="6EB5D338" w14:textId="07C433E5" w:rsidR="0019210D" w:rsidRDefault="00000000" w:rsidP="00600718">
      <w:pPr>
        <w:pStyle w:val="FirstParagraph"/>
        <w:jc w:val="both"/>
      </w:pPr>
      <w:r>
        <w:t xml:space="preserve">Substituting </w:t>
      </w:r>
      <w:proofErr w:type="spellStart"/>
      <w:r>
        <w:t>Eqs</w:t>
      </w:r>
      <w:proofErr w:type="spellEnd"/>
      <w:r>
        <w:t>.</w:t>
      </w:r>
      <w:r w:rsidR="00116E16">
        <w:t xml:space="preserve"> (</w:t>
      </w:r>
      <w:hyperlink w:anchor="eqS3" w:history="1">
        <w:r w:rsidR="00116E16" w:rsidRPr="00116E16">
          <w:rPr>
            <w:rStyle w:val="Hyperlink"/>
          </w:rPr>
          <w:t>S3</w:t>
        </w:r>
      </w:hyperlink>
      <w:r w:rsidR="00116E16">
        <w:t>) and (</w:t>
      </w:r>
      <w:hyperlink w:anchor="eqS4" w:history="1">
        <w:r w:rsidR="00116E16" w:rsidRPr="00116E16">
          <w:rPr>
            <w:rStyle w:val="Hyperlink"/>
          </w:rPr>
          <w:t>S4</w:t>
        </w:r>
      </w:hyperlink>
      <w:r w:rsidR="00116E16">
        <w:t xml:space="preserve">) into </w:t>
      </w:r>
      <w:proofErr w:type="spellStart"/>
      <w:r w:rsidR="00116E16">
        <w:t>Eqs</w:t>
      </w:r>
      <w:proofErr w:type="spellEnd"/>
      <w:r w:rsidR="00116E16">
        <w:t>. (</w:t>
      </w:r>
      <w:hyperlink w:anchor="eqS2" w:history="1">
        <w:r w:rsidR="00116E16" w:rsidRPr="00116E16">
          <w:rPr>
            <w:rStyle w:val="Hyperlink"/>
          </w:rPr>
          <w:t>S</w:t>
        </w:r>
        <w:r w:rsidR="00116E16" w:rsidRPr="00116E16">
          <w:rPr>
            <w:rStyle w:val="Hyperlink"/>
          </w:rPr>
          <w:t>2</w:t>
        </w:r>
      </w:hyperlink>
      <w:r w:rsidR="00116E16">
        <w:t>)</w:t>
      </w:r>
      <w:r>
        <w:t xml:space="preserve"> yields the non-dimensional dynamical system:</w:t>
      </w:r>
    </w:p>
    <w:tbl>
      <w:tblPr>
        <w:tblStyle w:val="TableGrid"/>
        <w:tblW w:w="0" w:type="auto"/>
        <w:tblInd w:w="1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756"/>
      </w:tblGrid>
      <w:tr w:rsidR="00116E16" w14:paraId="58030C03" w14:textId="77777777" w:rsidTr="001F0FC5">
        <w:tc>
          <w:tcPr>
            <w:tcW w:w="7650" w:type="dxa"/>
          </w:tcPr>
          <w:bookmarkStart w:id="12" w:name="eqS5a" w:colFirst="0" w:colLast="1"/>
          <w:bookmarkStart w:id="13" w:name="eqS5"/>
          <w:p w14:paraId="6169A076" w14:textId="3785F7C8" w:rsidR="00116E16" w:rsidRDefault="00116E16" w:rsidP="00116E16">
            <w:pPr>
              <w:pStyle w:val="BodyText"/>
            </w:pPr>
            <m:oMathPara>
              <m:oMath>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b</m:t>
                        </m:r>
                      </m:e>
                    </m:acc>
                  </m:num>
                  <m:den>
                    <m:r>
                      <w:rPr>
                        <w:rFonts w:ascii="Cambria Math" w:hAnsi="Cambria Math"/>
                      </w:rPr>
                      <m:t>d</m:t>
                    </m:r>
                    <m:acc>
                      <m:accPr>
                        <m:chr m:val="̃"/>
                        <m:ctrlPr>
                          <w:rPr>
                            <w:rFonts w:ascii="Cambria Math" w:hAnsi="Cambria Math"/>
                          </w:rPr>
                        </m:ctrlPr>
                      </m:accPr>
                      <m:e>
                        <m:r>
                          <w:rPr>
                            <w:rFonts w:ascii="Cambria Math" w:hAnsi="Cambria Math"/>
                          </w:rPr>
                          <m:t>t</m:t>
                        </m:r>
                      </m:e>
                    </m:acc>
                  </m:den>
                </m:f>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b</m:t>
                            </m:r>
                          </m:e>
                        </m:acc>
                      </m:num>
                      <m:den>
                        <m:acc>
                          <m:accPr>
                            <m:chr m:val="̃"/>
                            <m:ctrlPr>
                              <w:rPr>
                                <w:rFonts w:ascii="Cambria Math" w:hAnsi="Cambria Math"/>
                              </w:rPr>
                            </m:ctrlPr>
                          </m:accPr>
                          <m:e>
                            <m:r>
                              <w:rPr>
                                <w:rFonts w:ascii="Cambria Math" w:hAnsi="Cambria Math"/>
                              </w:rPr>
                              <m:t>k</m:t>
                            </m:r>
                          </m:e>
                        </m:acc>
                      </m:den>
                    </m:f>
                  </m:e>
                </m:d>
                <m:acc>
                  <m:accPr>
                    <m:chr m:val="̃"/>
                    <m:ctrlPr>
                      <w:rPr>
                        <w:rFonts w:ascii="Cambria Math" w:hAnsi="Cambria Math"/>
                      </w:rPr>
                    </m:ctrlPr>
                  </m:accPr>
                  <m:e>
                    <m:r>
                      <w:rPr>
                        <w:rFonts w:ascii="Cambria Math" w:hAnsi="Cambria Math"/>
                      </w:rPr>
                      <m:t>b</m:t>
                    </m:r>
                  </m:e>
                </m:acc>
                <m:r>
                  <w:rPr>
                    <w:rFonts w:ascii="Cambria Math" w:hAnsi="Cambria Math"/>
                  </w:rPr>
                  <m:t> S</m:t>
                </m:r>
                <m:r>
                  <m:rPr>
                    <m:sty m:val="p"/>
                  </m:rPr>
                  <w:rPr>
                    <w:rFonts w:ascii="Cambria Math" w:hAnsi="Cambria Math"/>
                  </w:rPr>
                  <m:t>-</m:t>
                </m:r>
                <m:acc>
                  <m:accPr>
                    <m:chr m:val="̃"/>
                    <m:ctrlPr>
                      <w:rPr>
                        <w:rFonts w:ascii="Cambria Math" w:hAnsi="Cambria Math"/>
                      </w:rPr>
                    </m:ctrlPr>
                  </m:accPr>
                  <m:e>
                    <m:r>
                      <w:rPr>
                        <w:rFonts w:ascii="Cambria Math" w:hAnsi="Cambria Math"/>
                      </w:rPr>
                      <m:t>m</m:t>
                    </m:r>
                  </m:e>
                </m:acc>
                <m:r>
                  <w:rPr>
                    <w:rFonts w:ascii="Cambria Math" w:hAnsi="Cambria Math"/>
                  </w:rPr>
                  <m:t> </m:t>
                </m:r>
                <m:acc>
                  <m:accPr>
                    <m:chr m:val="̃"/>
                    <m:ctrlPr>
                      <w:rPr>
                        <w:rFonts w:ascii="Cambria Math" w:hAnsi="Cambria Math"/>
                      </w:rPr>
                    </m:ctrlPr>
                  </m:accPr>
                  <m:e>
                    <m:r>
                      <w:rPr>
                        <w:rFonts w:ascii="Cambria Math" w:hAnsi="Cambria Math"/>
                      </w:rPr>
                      <m:t>b</m:t>
                    </m:r>
                  </m:e>
                </m:acc>
              </m:oMath>
            </m:oMathPara>
          </w:p>
        </w:tc>
        <w:tc>
          <w:tcPr>
            <w:tcW w:w="749" w:type="dxa"/>
          </w:tcPr>
          <w:p w14:paraId="2C3DC032" w14:textId="06A7C7B5" w:rsidR="00116E16" w:rsidRDefault="00116E16" w:rsidP="00116E16">
            <w:pPr>
              <w:pStyle w:val="BodyText"/>
              <w:jc w:val="right"/>
            </w:pPr>
            <w:r>
              <w:t>(S</w:t>
            </w:r>
            <w:r w:rsidR="001F0FC5">
              <w:t>5a)</w:t>
            </w:r>
          </w:p>
        </w:tc>
      </w:tr>
      <w:bookmarkStart w:id="14" w:name="eqS5b" w:colFirst="0" w:colLast="1"/>
      <w:bookmarkEnd w:id="12"/>
      <w:tr w:rsidR="00116E16" w14:paraId="3E1E5B2D" w14:textId="77777777" w:rsidTr="001F0FC5">
        <w:tc>
          <w:tcPr>
            <w:tcW w:w="7650" w:type="dxa"/>
          </w:tcPr>
          <w:p w14:paraId="07F0C4BB" w14:textId="15E22C25" w:rsidR="00116E16" w:rsidRDefault="00116E16" w:rsidP="00116E16">
            <w:pPr>
              <w:pStyle w:val="BodyText"/>
            </w:pPr>
            <m:oMathPara>
              <m:oMath>
                <m:f>
                  <m:fPr>
                    <m:ctrlPr>
                      <w:rPr>
                        <w:rFonts w:ascii="Cambria Math" w:hAnsi="Cambria Math"/>
                      </w:rPr>
                    </m:ctrlPr>
                  </m:fPr>
                  <m:num>
                    <m:r>
                      <w:rPr>
                        <w:rFonts w:ascii="Cambria Math" w:hAnsi="Cambria Math"/>
                      </w:rPr>
                      <m:t>dS</m:t>
                    </m:r>
                  </m:num>
                  <m:den>
                    <m:r>
                      <w:rPr>
                        <w:rFonts w:ascii="Cambria Math" w:hAnsi="Cambria Math"/>
                      </w:rPr>
                      <m:t>d</m:t>
                    </m:r>
                    <m:acc>
                      <m:accPr>
                        <m:chr m:val="̃"/>
                        <m:ctrlPr>
                          <w:rPr>
                            <w:rFonts w:ascii="Cambria Math" w:hAnsi="Cambria Math"/>
                          </w:rPr>
                        </m:ctrlPr>
                      </m:accPr>
                      <m:e>
                        <m:r>
                          <w:rPr>
                            <w:rFonts w:ascii="Cambria Math" w:hAnsi="Cambria Math"/>
                          </w:rPr>
                          <m:t>t</m:t>
                        </m:r>
                      </m:e>
                    </m:acc>
                  </m:den>
                </m:f>
                <m:r>
                  <w:rPr>
                    <w:rFonts w:ascii="Cambria Math" w:hAnsi="Cambria Math"/>
                  </w:rPr>
                  <m:t>&amp;</m:t>
                </m:r>
                <m:r>
                  <m:rPr>
                    <m:sty m:val="p"/>
                  </m:rPr>
                  <w:rPr>
                    <w:rFonts w:ascii="Cambria Math" w:hAnsi="Cambria Math"/>
                  </w:rPr>
                  <m:t>=</m:t>
                </m:r>
                <m:acc>
                  <m:accPr>
                    <m:chr m:val="̃"/>
                    <m:ctrlPr>
                      <w:rPr>
                        <w:rFonts w:ascii="Cambria Math" w:hAnsi="Cambria Math"/>
                      </w:rPr>
                    </m:ctrlPr>
                  </m:accPr>
                  <m:e>
                    <m:r>
                      <w:rPr>
                        <w:rFonts w:ascii="Cambria Math" w:hAnsi="Cambria Math"/>
                      </w:rPr>
                      <m:t>p</m:t>
                    </m:r>
                  </m:e>
                </m:acc>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s</m:t>
                    </m:r>
                  </m:sub>
                </m:sSub>
                <m:sSup>
                  <m:sSupPr>
                    <m:ctrlPr>
                      <w:rPr>
                        <w:rFonts w:ascii="Cambria Math" w:hAnsi="Cambria Math"/>
                      </w:rPr>
                    </m:ctrlPr>
                  </m:sSupPr>
                  <m:e>
                    <m:r>
                      <w:rPr>
                        <w:rFonts w:ascii="Cambria Math" w:hAnsi="Cambria Math"/>
                      </w:rPr>
                      <m:t>S</m:t>
                    </m:r>
                  </m:e>
                  <m:sup>
                    <m:r>
                      <w:rPr>
                        <w:rFonts w:ascii="Cambria Math" w:hAnsi="Cambria Math"/>
                      </w:rPr>
                      <m:t>γ</m:t>
                    </m:r>
                  </m:sup>
                </m:s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b</m:t>
                    </m:r>
                  </m:e>
                </m:acc>
                <m:r>
                  <w:rPr>
                    <w:rFonts w:ascii="Cambria Math" w:hAnsi="Cambria Math"/>
                  </w:rPr>
                  <m:t>S</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r</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oMath>
            </m:oMathPara>
          </w:p>
        </w:tc>
        <w:tc>
          <w:tcPr>
            <w:tcW w:w="749" w:type="dxa"/>
          </w:tcPr>
          <w:p w14:paraId="3AB7F427" w14:textId="5D5E7C2A" w:rsidR="00116E16" w:rsidRDefault="001F0FC5" w:rsidP="001F0FC5">
            <w:pPr>
              <w:pStyle w:val="BodyText"/>
              <w:jc w:val="right"/>
            </w:pPr>
            <w:r>
              <w:t>(S5b)</w:t>
            </w:r>
          </w:p>
        </w:tc>
      </w:tr>
    </w:tbl>
    <w:bookmarkEnd w:id="13"/>
    <w:bookmarkEnd w:id="14"/>
    <w:p w14:paraId="31A29590" w14:textId="77777777" w:rsidR="0019210D" w:rsidRDefault="00000000" w:rsidP="00600718">
      <w:pPr>
        <w:pStyle w:val="FirstParagraph"/>
        <w:jc w:val="both"/>
      </w:pPr>
      <w:r>
        <w:t xml:space="preserve">As we can see, this choice of </w:t>
      </w:r>
      <m:oMath>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3</m:t>
            </m:r>
          </m:sub>
        </m:sSub>
      </m:oMath>
      <w:r>
        <w:t xml:space="preserve"> leaves us a non-dimensional system, where every single variable, parameter, </w:t>
      </w:r>
      <w:proofErr w:type="gramStart"/>
      <w:r>
        <w:t>term</w:t>
      </w:r>
      <w:proofErr w:type="gramEnd"/>
      <w:r>
        <w:t xml:space="preserve"> or function is dimensionless. For this specific choice of </w:t>
      </w:r>
      <m:oMath>
        <m:r>
          <w:rPr>
            <w:rFonts w:ascii="Cambria Math" w:hAnsi="Cambria Math"/>
          </w:rPr>
          <m:t>ξ</m:t>
        </m:r>
      </m:oMath>
      <w:r>
        <w:t xml:space="preserve"> scaling factors, we have a system with unity growth rate and unity maximum evapotranspiration rate.</w:t>
      </w:r>
    </w:p>
    <w:p w14:paraId="358C6C1D" w14:textId="77777777" w:rsidR="001F0FC5" w:rsidRDefault="001F0FC5">
      <w:r>
        <w:br w:type="page"/>
      </w:r>
    </w:p>
    <w:p w14:paraId="45508B55" w14:textId="1322B528" w:rsidR="0019210D" w:rsidRDefault="00000000" w:rsidP="00600718">
      <w:pPr>
        <w:pStyle w:val="BodyText"/>
        <w:jc w:val="both"/>
      </w:pPr>
      <w:r>
        <w:lastRenderedPageBreak/>
        <w:t>The non-dimensional parameters (</w:t>
      </w:r>
      <m:oMath>
        <m:r>
          <m:rPr>
            <m:sty m:val="p"/>
          </m:rPr>
          <w:rPr>
            <w:rFonts w:ascii="Cambria Math" w:hAnsi="Cambria Math"/>
          </w:rPr>
          <m:t>Π</m:t>
        </m:r>
      </m:oMath>
      <w:r>
        <w:t xml:space="preserve"> parameters) for the equations above are: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3"/>
        <w:gridCol w:w="2411"/>
        <w:gridCol w:w="2342"/>
      </w:tblGrid>
      <w:tr w:rsidR="001F0FC5" w14:paraId="12E1CD6D" w14:textId="77777777" w:rsidTr="001F0FC5">
        <w:tc>
          <w:tcPr>
            <w:tcW w:w="3192" w:type="dxa"/>
          </w:tcPr>
          <w:p w14:paraId="4376EDB9" w14:textId="20C7235A" w:rsidR="001F0FC5" w:rsidRDefault="001F0FC5">
            <w:pPr>
              <w:pStyle w:val="BodyText"/>
            </w:pPr>
            <w:bookmarkStart w:id="15" w:name="eqS6"/>
            <m:oMath>
              <m:r>
                <m:rPr>
                  <m:nor/>
                </m:rPr>
                <m:t xml:space="preserve">non-dimensional herb growth rate </m:t>
              </m:r>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1</m:t>
                  </m:r>
                </m:sub>
              </m:sSub>
            </m:oMath>
            <w:r>
              <w:t xml:space="preserve"> </w:t>
            </w:r>
          </w:p>
        </w:tc>
        <w:tc>
          <w:tcPr>
            <w:tcW w:w="3192" w:type="dxa"/>
          </w:tcPr>
          <w:p w14:paraId="448AACA5" w14:textId="2298EE4F" w:rsidR="001F0FC5" w:rsidRDefault="001F0FC5">
            <w:pPr>
              <w:pStyle w:val="BodyText"/>
            </w:pPr>
            <m:oMathPara>
              <m:oMath>
                <m:acc>
                  <m:accPr>
                    <m:chr m:val="̃"/>
                    <m:ctrlPr>
                      <w:rPr>
                        <w:rFonts w:ascii="Cambria Math" w:hAnsi="Cambria Math"/>
                      </w:rPr>
                    </m:ctrlPr>
                  </m:accPr>
                  <m:e>
                    <m:r>
                      <w:rPr>
                        <w:rFonts w:ascii="Cambria Math" w:hAnsi="Cambria Math"/>
                      </w:rPr>
                      <m:t>m</m:t>
                    </m:r>
                  </m:e>
                </m:acc>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a</m:t>
                    </m:r>
                  </m:den>
                </m:f>
              </m:oMath>
            </m:oMathPara>
          </w:p>
        </w:tc>
        <w:tc>
          <w:tcPr>
            <w:tcW w:w="3192" w:type="dxa"/>
          </w:tcPr>
          <w:p w14:paraId="170E1900" w14:textId="1325A41D" w:rsidR="001F0FC5" w:rsidRDefault="001F0FC5" w:rsidP="001F0FC5">
            <w:pPr>
              <w:pStyle w:val="BodyText"/>
              <w:jc w:val="right"/>
            </w:pPr>
            <w:r>
              <w:t>(S6a)</w:t>
            </w:r>
          </w:p>
        </w:tc>
      </w:tr>
      <w:tr w:rsidR="001F0FC5" w14:paraId="540C7686" w14:textId="77777777" w:rsidTr="001F0FC5">
        <w:tc>
          <w:tcPr>
            <w:tcW w:w="3192" w:type="dxa"/>
          </w:tcPr>
          <w:p w14:paraId="7B927974" w14:textId="490B5507" w:rsidR="001F0FC5" w:rsidRDefault="001F0FC5">
            <w:pPr>
              <w:pStyle w:val="BodyText"/>
            </w:pPr>
            <m:oMath>
              <m:r>
                <m:rPr>
                  <m:nor/>
                </m:rPr>
                <m:t xml:space="preserve">non-dimensional carrying capacity </m:t>
              </m:r>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2</m:t>
                  </m:r>
                </m:sub>
              </m:sSub>
            </m:oMath>
            <w:r>
              <w:t xml:space="preserve"> </w:t>
            </w:r>
          </w:p>
        </w:tc>
        <w:tc>
          <w:tcPr>
            <w:tcW w:w="3192" w:type="dxa"/>
          </w:tcPr>
          <w:p w14:paraId="3D4A5372" w14:textId="6796E340" w:rsidR="001F0FC5" w:rsidRDefault="001F0FC5">
            <w:pPr>
              <w:pStyle w:val="BodyText"/>
            </w:pPr>
            <m:oMathPara>
              <m:oMath>
                <m:acc>
                  <m:accPr>
                    <m:chr m:val="̃"/>
                    <m:ctrlPr>
                      <w:rPr>
                        <w:rFonts w:ascii="Cambria Math" w:hAnsi="Cambria Math"/>
                      </w:rPr>
                    </m:ctrlPr>
                  </m:accPr>
                  <m:e>
                    <m:r>
                      <w:rPr>
                        <w:rFonts w:ascii="Cambria Math" w:hAnsi="Cambria Math"/>
                      </w:rPr>
                      <m:t>k</m:t>
                    </m:r>
                  </m:e>
                </m:acc>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 k</m:t>
                </m:r>
              </m:oMath>
            </m:oMathPara>
          </w:p>
        </w:tc>
        <w:tc>
          <w:tcPr>
            <w:tcW w:w="3192" w:type="dxa"/>
          </w:tcPr>
          <w:p w14:paraId="67702370" w14:textId="383526B8" w:rsidR="001F0FC5" w:rsidRDefault="001F0FC5" w:rsidP="001F0FC5">
            <w:pPr>
              <w:pStyle w:val="BodyText"/>
              <w:jc w:val="right"/>
            </w:pPr>
            <w:r>
              <w:t>(S6b)</w:t>
            </w:r>
          </w:p>
        </w:tc>
      </w:tr>
      <w:tr w:rsidR="001F0FC5" w14:paraId="57F44AB6" w14:textId="77777777" w:rsidTr="001F0FC5">
        <w:tc>
          <w:tcPr>
            <w:tcW w:w="3192" w:type="dxa"/>
          </w:tcPr>
          <w:p w14:paraId="7D2BCFAA" w14:textId="37B91CB9" w:rsidR="001F0FC5" w:rsidRDefault="001F0FC5">
            <w:pPr>
              <w:pStyle w:val="BodyText"/>
            </w:pPr>
            <m:oMathPara>
              <m:oMath>
                <m:r>
                  <m:rPr>
                    <m:nor/>
                  </m:rPr>
                  <m:t xml:space="preserve">non-dimensional precipitation rate </m:t>
                </m:r>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3</m:t>
                    </m:r>
                  </m:sub>
                </m:sSub>
              </m:oMath>
            </m:oMathPara>
          </w:p>
        </w:tc>
        <w:tc>
          <w:tcPr>
            <w:tcW w:w="3192" w:type="dxa"/>
          </w:tcPr>
          <w:p w14:paraId="14CA968F" w14:textId="19F859BA" w:rsidR="001F0FC5" w:rsidRDefault="001F0FC5">
            <w:pPr>
              <w:pStyle w:val="BodyText"/>
            </w:pPr>
            <m:oMathPara>
              <m:oMath>
                <m:acc>
                  <m:accPr>
                    <m:chr m:val="̃"/>
                    <m:ctrlPr>
                      <w:rPr>
                        <w:rFonts w:ascii="Cambria Math" w:hAnsi="Cambria Math"/>
                      </w:rPr>
                    </m:ctrlPr>
                  </m:accPr>
                  <m:e>
                    <m:r>
                      <w:rPr>
                        <w:rFonts w:ascii="Cambria Math" w:hAnsi="Cambria Math"/>
                      </w:rPr>
                      <m:t>p</m:t>
                    </m:r>
                  </m:e>
                </m:acc>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an</m:t>
                    </m:r>
                    <m:sSub>
                      <m:sSubPr>
                        <m:ctrlPr>
                          <w:rPr>
                            <w:rFonts w:ascii="Cambria Math" w:hAnsi="Cambria Math"/>
                          </w:rPr>
                        </m:ctrlPr>
                      </m:sSubPr>
                      <m:e>
                        <m:r>
                          <w:rPr>
                            <w:rFonts w:ascii="Cambria Math" w:hAnsi="Cambria Math"/>
                          </w:rPr>
                          <m:t>z</m:t>
                        </m:r>
                      </m:e>
                      <m:sub>
                        <m:r>
                          <w:rPr>
                            <w:rFonts w:ascii="Cambria Math" w:hAnsi="Cambria Math"/>
                          </w:rPr>
                          <m:t>r</m:t>
                        </m:r>
                      </m:sub>
                    </m:sSub>
                  </m:den>
                </m:f>
              </m:oMath>
            </m:oMathPara>
          </w:p>
        </w:tc>
        <w:tc>
          <w:tcPr>
            <w:tcW w:w="3192" w:type="dxa"/>
          </w:tcPr>
          <w:p w14:paraId="3AFEB1B5" w14:textId="743CBBC0" w:rsidR="001F0FC5" w:rsidRDefault="001F0FC5" w:rsidP="001F0FC5">
            <w:pPr>
              <w:pStyle w:val="BodyText"/>
              <w:jc w:val="right"/>
            </w:pPr>
            <w:r>
              <w:t>(S6c)</w:t>
            </w:r>
          </w:p>
        </w:tc>
      </w:tr>
      <w:tr w:rsidR="001F0FC5" w14:paraId="02B75E17" w14:textId="77777777" w:rsidTr="001F0FC5">
        <w:tc>
          <w:tcPr>
            <w:tcW w:w="3192" w:type="dxa"/>
          </w:tcPr>
          <w:p w14:paraId="51E31FC7" w14:textId="519F65C8" w:rsidR="001F0FC5" w:rsidRDefault="001F0FC5">
            <w:pPr>
              <w:pStyle w:val="BodyText"/>
            </w:pPr>
            <m:oMathPara>
              <m:oMath>
                <m:r>
                  <m:rPr>
                    <m:nor/>
                  </m:rPr>
                  <m:t xml:space="preserve">non-dimensional sat. hyd. cond. </m:t>
                </m:r>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4</m:t>
                    </m:r>
                  </m:sub>
                </m:sSub>
              </m:oMath>
            </m:oMathPara>
          </w:p>
        </w:tc>
        <w:tc>
          <w:tcPr>
            <w:tcW w:w="3192" w:type="dxa"/>
          </w:tcPr>
          <w:p w14:paraId="1146F235" w14:textId="1EC8D74D" w:rsidR="001F0FC5" w:rsidRDefault="001F0FC5">
            <w:pPr>
              <w:pStyle w:val="Body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s</m:t>
                        </m:r>
                      </m:sub>
                    </m:sSub>
                  </m:num>
                  <m:den>
                    <m:r>
                      <w:rPr>
                        <w:rFonts w:ascii="Cambria Math" w:hAnsi="Cambria Math"/>
                      </w:rPr>
                      <m:t>an</m:t>
                    </m:r>
                    <m:sSub>
                      <m:sSubPr>
                        <m:ctrlPr>
                          <w:rPr>
                            <w:rFonts w:ascii="Cambria Math" w:hAnsi="Cambria Math"/>
                          </w:rPr>
                        </m:ctrlPr>
                      </m:sSubPr>
                      <m:e>
                        <m:r>
                          <w:rPr>
                            <w:rFonts w:ascii="Cambria Math" w:hAnsi="Cambria Math"/>
                          </w:rPr>
                          <m:t>z</m:t>
                        </m:r>
                      </m:e>
                      <m:sub>
                        <m:r>
                          <w:rPr>
                            <w:rFonts w:ascii="Cambria Math" w:hAnsi="Cambria Math"/>
                          </w:rPr>
                          <m:t>r</m:t>
                        </m:r>
                      </m:sub>
                    </m:sSub>
                  </m:den>
                </m:f>
              </m:oMath>
            </m:oMathPara>
          </w:p>
        </w:tc>
        <w:tc>
          <w:tcPr>
            <w:tcW w:w="3192" w:type="dxa"/>
          </w:tcPr>
          <w:p w14:paraId="69C697B8" w14:textId="6017937B" w:rsidR="001F0FC5" w:rsidRDefault="001F0FC5" w:rsidP="001F0FC5">
            <w:pPr>
              <w:pStyle w:val="BodyText"/>
              <w:jc w:val="right"/>
            </w:pPr>
            <w:r>
              <w:t>(S6d)</w:t>
            </w:r>
          </w:p>
        </w:tc>
      </w:tr>
      <w:tr w:rsidR="001F0FC5" w14:paraId="0C7B4133" w14:textId="77777777" w:rsidTr="001F0FC5">
        <w:tc>
          <w:tcPr>
            <w:tcW w:w="3192" w:type="dxa"/>
          </w:tcPr>
          <w:p w14:paraId="4FA14F94" w14:textId="455FBDEE" w:rsidR="001F0FC5" w:rsidRDefault="001F0FC5">
            <w:pPr>
              <w:pStyle w:val="BodyText"/>
            </w:pPr>
            <m:oMathPara>
              <m:oMath>
                <m:r>
                  <m:rPr>
                    <m:nor/>
                  </m:rPr>
                  <m:t xml:space="preserve">non-dimensional tree-root hydraulic rate </m:t>
                </m:r>
                <m:r>
                  <m:rPr>
                    <m:sty m:val="p"/>
                  </m:rPr>
                  <w:rPr>
                    <w:rFonts w:ascii="Cambria Math" w:hAnsi="Cambria Math"/>
                  </w:rPr>
                  <m:t>,</m:t>
                </m:r>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Π</m:t>
                    </m:r>
                  </m:e>
                  <m:sub>
                    <m:r>
                      <w:rPr>
                        <w:rFonts w:ascii="Cambria Math" w:hAnsi="Cambria Math"/>
                      </w:rPr>
                      <m:t>5</m:t>
                    </m:r>
                  </m:sub>
                </m:sSub>
              </m:oMath>
            </m:oMathPara>
          </w:p>
        </w:tc>
        <w:tc>
          <w:tcPr>
            <w:tcW w:w="3192" w:type="dxa"/>
          </w:tcPr>
          <w:p w14:paraId="7A76B595" w14:textId="5E312798" w:rsidR="001F0FC5" w:rsidRDefault="001F0FC5">
            <w:pPr>
              <w:pStyle w:val="BodyText"/>
            </w:pPr>
            <m:oMathPara>
              <m:oMath>
                <m:acc>
                  <m:accPr>
                    <m:chr m:val="̃"/>
                    <m:ctrlPr>
                      <w:rPr>
                        <w:rFonts w:ascii="Cambria Math" w:hAnsi="Cambria Math"/>
                      </w:rPr>
                    </m:ctrlPr>
                  </m:accPr>
                  <m:e>
                    <m:r>
                      <w:rPr>
                        <w:rFonts w:ascii="Cambria Math" w:hAnsi="Cambria Math"/>
                      </w:rPr>
                      <m:t>λ</m:t>
                    </m:r>
                  </m:e>
                </m:acc>
                <m:r>
                  <m:rPr>
                    <m:sty m:val="p"/>
                  </m:rP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an</m:t>
                    </m:r>
                    <m:sSub>
                      <m:sSubPr>
                        <m:ctrlPr>
                          <w:rPr>
                            <w:rFonts w:ascii="Cambria Math" w:hAnsi="Cambria Math"/>
                          </w:rPr>
                        </m:ctrlPr>
                      </m:sSubPr>
                      <m:e>
                        <m:r>
                          <w:rPr>
                            <w:rFonts w:ascii="Cambria Math" w:hAnsi="Cambria Math"/>
                          </w:rPr>
                          <m:t>z</m:t>
                        </m:r>
                      </m:e>
                      <m:sub>
                        <m:r>
                          <w:rPr>
                            <w:rFonts w:ascii="Cambria Math" w:hAnsi="Cambria Math"/>
                          </w:rPr>
                          <m:t>r</m:t>
                        </m:r>
                      </m:sub>
                    </m:sSub>
                  </m:den>
                </m:f>
              </m:oMath>
            </m:oMathPara>
          </w:p>
        </w:tc>
        <w:tc>
          <w:tcPr>
            <w:tcW w:w="3192" w:type="dxa"/>
          </w:tcPr>
          <w:p w14:paraId="37211DA6" w14:textId="0BFE5320" w:rsidR="001F0FC5" w:rsidRDefault="001F0FC5" w:rsidP="001F0FC5">
            <w:pPr>
              <w:pStyle w:val="BodyText"/>
              <w:jc w:val="right"/>
            </w:pPr>
            <w:r>
              <w:t>(S6e)</w:t>
            </w:r>
          </w:p>
        </w:tc>
      </w:tr>
    </w:tbl>
    <w:bookmarkEnd w:id="15"/>
    <w:p w14:paraId="54D6A512" w14:textId="77777777" w:rsidR="0019210D" w:rsidRDefault="00000000" w:rsidP="00600718">
      <w:pPr>
        <w:pStyle w:val="FirstParagraph"/>
        <w:jc w:val="both"/>
      </w:pPr>
      <w:r>
        <w:t>This exercise is instrumental in shedding light on the impact of various model parameters on its behavior:</w:t>
      </w:r>
    </w:p>
    <w:p w14:paraId="49878505" w14:textId="7ED9162D" w:rsidR="0019210D" w:rsidRDefault="00000000" w:rsidP="00600718">
      <w:pPr>
        <w:numPr>
          <w:ilvl w:val="0"/>
          <w:numId w:val="4"/>
        </w:numPr>
        <w:jc w:val="both"/>
      </w:pPr>
      <w:r>
        <w:t xml:space="preserve">The active soil layer </w:t>
      </w:r>
      <m:oMath>
        <m:r>
          <w:rPr>
            <w:rFonts w:ascii="Cambria Math" w:hAnsi="Cambria Math"/>
          </w:rPr>
          <m:t>n</m:t>
        </m:r>
        <m:sSub>
          <m:sSubPr>
            <m:ctrlPr>
              <w:rPr>
                <w:rFonts w:ascii="Cambria Math" w:hAnsi="Cambria Math"/>
              </w:rPr>
            </m:ctrlPr>
          </m:sSubPr>
          <m:e>
            <m:r>
              <w:rPr>
                <w:rFonts w:ascii="Cambria Math" w:hAnsi="Cambria Math"/>
              </w:rPr>
              <m:t>z</m:t>
            </m:r>
          </m:e>
          <m:sub>
            <m:r>
              <w:rPr>
                <w:rFonts w:ascii="Cambria Math" w:hAnsi="Cambria Math"/>
              </w:rPr>
              <m:t>r</m:t>
            </m:r>
          </m:sub>
        </m:sSub>
      </m:oMath>
      <w:r>
        <w:t xml:space="preserve"> (mm), where </w:t>
      </w:r>
      <m:oMath>
        <m:r>
          <w:rPr>
            <w:rFonts w:ascii="Cambria Math" w:hAnsi="Cambria Math"/>
          </w:rPr>
          <m:t>n</m:t>
        </m:r>
      </m:oMath>
      <w:r>
        <w:t xml:space="preserve"> is soil porosity (dimensionless) and </w:t>
      </w:r>
      <m:oMath>
        <m:sSub>
          <m:sSubPr>
            <m:ctrlPr>
              <w:rPr>
                <w:rFonts w:ascii="Cambria Math" w:hAnsi="Cambria Math"/>
              </w:rPr>
            </m:ctrlPr>
          </m:sSubPr>
          <m:e>
            <m:r>
              <w:rPr>
                <w:rFonts w:ascii="Cambria Math" w:hAnsi="Cambria Math"/>
              </w:rPr>
              <m:t>z</m:t>
            </m:r>
          </m:e>
          <m:sub>
            <m:r>
              <w:rPr>
                <w:rFonts w:ascii="Cambria Math" w:hAnsi="Cambria Math"/>
              </w:rPr>
              <m:t>r</m:t>
            </m:r>
          </m:sub>
        </m:sSub>
      </m:oMath>
      <w:r>
        <w:t xml:space="preserve"> is the rooting depth of herbs (mm), sets the maximum volume of water that can be stored and made available to herbs. As </w:t>
      </w:r>
      <w:proofErr w:type="spellStart"/>
      <w:r>
        <w:t>Eqs</w:t>
      </w:r>
      <w:proofErr w:type="spellEnd"/>
      <w:r>
        <w:t>.</w:t>
      </w:r>
      <w:r w:rsidR="001F0FC5">
        <w:t xml:space="preserve"> (1) </w:t>
      </w:r>
      <w:r>
        <w:t xml:space="preserve">indicate, </w:t>
      </w:r>
      <m:oMath>
        <m:r>
          <w:rPr>
            <w:rFonts w:ascii="Cambria Math" w:hAnsi="Cambria Math"/>
          </w:rPr>
          <m:t>n</m:t>
        </m:r>
        <m:sSub>
          <m:sSubPr>
            <m:ctrlPr>
              <w:rPr>
                <w:rFonts w:ascii="Cambria Math" w:hAnsi="Cambria Math"/>
              </w:rPr>
            </m:ctrlPr>
          </m:sSubPr>
          <m:e>
            <m:r>
              <w:rPr>
                <w:rFonts w:ascii="Cambria Math" w:hAnsi="Cambria Math"/>
              </w:rPr>
              <m:t>z</m:t>
            </m:r>
          </m:e>
          <m:sub>
            <m:r>
              <w:rPr>
                <w:rFonts w:ascii="Cambria Math" w:hAnsi="Cambria Math"/>
              </w:rPr>
              <m:t>r</m:t>
            </m:r>
          </m:sub>
        </m:sSub>
      </m:oMath>
      <w:r>
        <w:t xml:space="preserve"> can only impact the transient dynamics of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S</m:t>
        </m:r>
        <m:r>
          <m:rPr>
            <m:sty m:val="p"/>
          </m:rPr>
          <w:rPr>
            <w:rFonts w:ascii="Cambria Math" w:hAnsi="Cambria Math"/>
          </w:rPr>
          <m:t>)</m:t>
        </m:r>
      </m:oMath>
      <w:r>
        <w:t>, never their steady-state solutions. Of course, due to the third conversion in Eq.</w:t>
      </w:r>
      <w:r w:rsidR="001F0FC5">
        <w:t xml:space="preserve"> (</w:t>
      </w:r>
      <w:hyperlink w:anchor="eqS3" w:history="1">
        <w:r w:rsidR="001F0FC5" w:rsidRPr="001F0FC5">
          <w:rPr>
            <w:rStyle w:val="Hyperlink"/>
          </w:rPr>
          <w:t>S3</w:t>
        </w:r>
      </w:hyperlink>
      <w:r w:rsidR="001F0FC5">
        <w:t>)</w:t>
      </w:r>
      <w:r>
        <w:t xml:space="preserve">, </w:t>
      </w:r>
      <m:oMath>
        <m:r>
          <w:rPr>
            <w:rFonts w:ascii="Cambria Math" w:hAnsi="Cambria Math"/>
          </w:rPr>
          <m:t>n</m:t>
        </m:r>
        <m:sSub>
          <m:sSubPr>
            <m:ctrlPr>
              <w:rPr>
                <w:rFonts w:ascii="Cambria Math" w:hAnsi="Cambria Math"/>
              </w:rPr>
            </m:ctrlPr>
          </m:sSubPr>
          <m:e>
            <m:r>
              <w:rPr>
                <w:rFonts w:ascii="Cambria Math" w:hAnsi="Cambria Math"/>
              </w:rPr>
              <m:t>z</m:t>
            </m:r>
          </m:e>
          <m:sub>
            <m:r>
              <w:rPr>
                <w:rFonts w:ascii="Cambria Math" w:hAnsi="Cambria Math"/>
              </w:rPr>
              <m:t>r</m:t>
            </m:r>
          </m:sub>
        </m:sSub>
      </m:oMath>
      <w:r>
        <w:t xml:space="preserve"> rescales </w:t>
      </w:r>
      <m:oMath>
        <m:r>
          <w:rPr>
            <w:rFonts w:ascii="Cambria Math" w:hAnsi="Cambria Math"/>
          </w:rPr>
          <m:t>S</m:t>
        </m:r>
      </m:oMath>
      <w:r>
        <w:t xml:space="preserve"> into </w:t>
      </w:r>
      <m:oMath>
        <m:r>
          <w:rPr>
            <w:rFonts w:ascii="Cambria Math" w:hAnsi="Cambria Math"/>
          </w:rPr>
          <m:t>W</m:t>
        </m:r>
        <m:r>
          <m:rPr>
            <m:sty m:val="p"/>
          </m:rP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z</m:t>
            </m:r>
          </m:e>
          <m:sub>
            <m:r>
              <w:rPr>
                <w:rFonts w:ascii="Cambria Math" w:hAnsi="Cambria Math"/>
              </w:rPr>
              <m:t>r</m:t>
            </m:r>
          </m:sub>
        </m:sSub>
        <m:r>
          <w:rPr>
            <w:rFonts w:ascii="Cambria Math" w:hAnsi="Cambria Math"/>
          </w:rPr>
          <m:t>S</m:t>
        </m:r>
      </m:oMath>
      <w:r>
        <w:t>.</w:t>
      </w:r>
    </w:p>
    <w:p w14:paraId="6F06F6B7" w14:textId="77777777" w:rsidR="0019210D" w:rsidRDefault="00000000" w:rsidP="00600718">
      <w:pPr>
        <w:numPr>
          <w:ilvl w:val="0"/>
          <w:numId w:val="4"/>
        </w:numPr>
        <w:jc w:val="both"/>
      </w:pPr>
      <w:r>
        <w:t xml:space="preserve">The denominator </w:t>
      </w:r>
      <m:oMath>
        <m:r>
          <w:rPr>
            <w:rFonts w:ascii="Cambria Math" w:hAnsi="Cambria Math"/>
          </w:rPr>
          <m:t>an</m:t>
        </m:r>
        <m:sSub>
          <m:sSubPr>
            <m:ctrlPr>
              <w:rPr>
                <w:rFonts w:ascii="Cambria Math" w:hAnsi="Cambria Math"/>
              </w:rPr>
            </m:ctrlPr>
          </m:sSubPr>
          <m:e>
            <m:r>
              <w:rPr>
                <w:rFonts w:ascii="Cambria Math" w:hAnsi="Cambria Math"/>
              </w:rPr>
              <m:t>z</m:t>
            </m:r>
          </m:e>
          <m:sub>
            <m:r>
              <w:rPr>
                <w:rFonts w:ascii="Cambria Math" w:hAnsi="Cambria Math"/>
              </w:rPr>
              <m:t>r</m:t>
            </m:r>
          </m:sub>
        </m:sSub>
      </m:oMath>
      <w:r>
        <w:t xml:space="preserve"> represents a characteristic water throughput, where </w:t>
      </w:r>
      <m:oMath>
        <m:r>
          <w:rPr>
            <w:rFonts w:ascii="Cambria Math" w:hAnsi="Cambria Math"/>
          </w:rPr>
          <m:t>a</m:t>
        </m:r>
      </m:oMath>
      <w:r>
        <w:t xml:space="preserve"> sets the characteristic timescale and </w:t>
      </w:r>
      <m:oMath>
        <m:r>
          <w:rPr>
            <w:rFonts w:ascii="Cambria Math" w:hAnsi="Cambria Math"/>
          </w:rPr>
          <m:t>n</m:t>
        </m:r>
        <m:sSub>
          <m:sSubPr>
            <m:ctrlPr>
              <w:rPr>
                <w:rFonts w:ascii="Cambria Math" w:hAnsi="Cambria Math"/>
              </w:rPr>
            </m:ctrlPr>
          </m:sSubPr>
          <m:e>
            <m:r>
              <w:rPr>
                <w:rFonts w:ascii="Cambria Math" w:hAnsi="Cambria Math"/>
              </w:rPr>
              <m:t>z</m:t>
            </m:r>
          </m:e>
          <m:sub>
            <m:r>
              <w:rPr>
                <w:rFonts w:ascii="Cambria Math" w:hAnsi="Cambria Math"/>
              </w:rPr>
              <m:t>r</m:t>
            </m:r>
          </m:sub>
        </m:sSub>
      </m:oMath>
      <w:r>
        <w:t xml:space="preserve"> is the volume of water per unit area (1 mm </w:t>
      </w:r>
      <m:oMath>
        <m:r>
          <m:rPr>
            <m:sty m:val="p"/>
          </m:rPr>
          <w:rPr>
            <w:rFonts w:ascii="Cambria Math" w:hAnsi="Cambria Math"/>
          </w:rPr>
          <m:t>=</m:t>
        </m:r>
      </m:oMath>
      <w:r>
        <w:t xml:space="preserve"> 1 L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2</m:t>
            </m:r>
          </m:sup>
        </m:sSup>
      </m:oMath>
      <w:r>
        <w:t>). It sets the scale for precipitation, drainage, and root uptake/uplift (</w:t>
      </w:r>
      <m:oMath>
        <m:acc>
          <m:accPr>
            <m:chr m:val="̃"/>
            <m:ctrlPr>
              <w:rPr>
                <w:rFonts w:ascii="Cambria Math" w:hAnsi="Cambria Math"/>
              </w:rPr>
            </m:ctrlPr>
          </m:accPr>
          <m:e>
            <m:r>
              <w:rPr>
                <w:rFonts w:ascii="Cambria Math" w:hAnsi="Cambria Math"/>
              </w:rPr>
              <m:t>p</m:t>
            </m:r>
          </m:e>
        </m:acc>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s</m:t>
            </m:r>
          </m:sub>
        </m:sSub>
        <m:r>
          <m:rPr>
            <m:sty m:val="p"/>
          </m:rPr>
          <w:rPr>
            <w:rFonts w:ascii="Cambria Math" w:hAnsi="Cambria Math"/>
          </w:rPr>
          <m:t>,</m:t>
        </m:r>
        <m:acc>
          <m:accPr>
            <m:chr m:val="̃"/>
            <m:ctrlPr>
              <w:rPr>
                <w:rFonts w:ascii="Cambria Math" w:hAnsi="Cambria Math"/>
              </w:rPr>
            </m:ctrlPr>
          </m:accPr>
          <m:e>
            <m:r>
              <w:rPr>
                <w:rFonts w:ascii="Cambria Math" w:hAnsi="Cambria Math"/>
              </w:rPr>
              <m:t>λ</m:t>
            </m:r>
          </m:e>
        </m:acc>
      </m:oMath>
      <w:r>
        <w:t>): higher values correspond to processes faster than the characteristic resource throughput in the system.</w:t>
      </w:r>
    </w:p>
    <w:p w14:paraId="7933CBE1" w14:textId="24F5FD10" w:rsidR="0019210D" w:rsidRDefault="00000000" w:rsidP="00600718">
      <w:pPr>
        <w:numPr>
          <w:ilvl w:val="0"/>
          <w:numId w:val="4"/>
        </w:numPr>
        <w:jc w:val="both"/>
      </w:pPr>
      <w:r>
        <w:t xml:space="preserve">The ratio </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a</m:t>
        </m:r>
      </m:oMath>
      <w:r>
        <w:t xml:space="preserve"> naturally emerges as a water-use efficiency, converting herb water uptake into biomass production. In fact, when tree density is zero (</w:t>
      </w:r>
      <m:oMath>
        <m:r>
          <w:rPr>
            <w:rFonts w:ascii="Cambria Math" w:hAnsi="Cambria Math"/>
          </w:rPr>
          <m:t>d</m:t>
        </m:r>
        <m:r>
          <m:rPr>
            <m:sty m:val="p"/>
          </m:rPr>
          <w:rPr>
            <w:rFonts w:ascii="Cambria Math" w:hAnsi="Cambria Math"/>
          </w:rPr>
          <m:t>=</m:t>
        </m:r>
        <m:r>
          <w:rPr>
            <w:rFonts w:ascii="Cambria Math" w:hAnsi="Cambria Math"/>
          </w:rPr>
          <m:t>0</m:t>
        </m:r>
      </m:oMath>
      <w:r>
        <w:t xml:space="preserve">) and herb biomass is low (so that </w:t>
      </w:r>
      <m:oMath>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acc>
          <m:accPr>
            <m:chr m:val="̃"/>
            <m:ctrlPr>
              <w:rPr>
                <w:rFonts w:ascii="Cambria Math" w:hAnsi="Cambria Math"/>
              </w:rPr>
            </m:ctrlPr>
          </m:accPr>
          <m:e>
            <m:r>
              <w:rPr>
                <w:rFonts w:ascii="Cambria Math" w:hAnsi="Cambria Math"/>
              </w:rPr>
              <m:t>k</m:t>
            </m:r>
          </m:e>
        </m:acc>
        <m:r>
          <m:rPr>
            <m:sty m:val="p"/>
          </m:rPr>
          <w:rPr>
            <w:rFonts w:ascii="Cambria Math" w:hAnsi="Cambria Math"/>
          </w:rPr>
          <m:t>≈</m:t>
        </m:r>
        <m:r>
          <w:rPr>
            <w:rFonts w:ascii="Cambria Math" w:hAnsi="Cambria Math"/>
          </w:rPr>
          <m:t>1</m:t>
        </m:r>
      </m:oMath>
      <w:r>
        <w:t>), the evapotranspiration loss term in Eq.</w:t>
      </w:r>
      <w:r w:rsidR="00E07C97">
        <w:t xml:space="preserve"> (</w:t>
      </w:r>
      <w:hyperlink w:anchor="eqS5b" w:history="1">
        <w:r w:rsidR="00E44CD3" w:rsidRPr="00E44CD3">
          <w:rPr>
            <w:rStyle w:val="Hyperlink"/>
          </w:rPr>
          <w:t>S</w:t>
        </w:r>
        <w:r w:rsidR="00E44CD3" w:rsidRPr="00E44CD3">
          <w:rPr>
            <w:rStyle w:val="Hyperlink"/>
          </w:rPr>
          <w:t>5</w:t>
        </w:r>
        <w:r w:rsidR="00E44CD3" w:rsidRPr="00E44CD3">
          <w:rPr>
            <w:rStyle w:val="Hyperlink"/>
          </w:rPr>
          <w:t>b</w:t>
        </w:r>
      </w:hyperlink>
      <w:r w:rsidR="00E44CD3">
        <w:t>)</w:t>
      </w:r>
      <w:r>
        <w:t xml:space="preserve"> is identical to the biomass growth term in Eq.</w:t>
      </w:r>
      <w:r w:rsidR="00E44CD3">
        <w:t xml:space="preserve"> (</w:t>
      </w:r>
      <w:hyperlink w:anchor="eqS5a" w:history="1">
        <w:r w:rsidR="00E44CD3" w:rsidRPr="00E44CD3">
          <w:rPr>
            <w:rStyle w:val="Hyperlink"/>
          </w:rPr>
          <w:t>S</w:t>
        </w:r>
        <w:r w:rsidR="00E44CD3" w:rsidRPr="00E44CD3">
          <w:rPr>
            <w:rStyle w:val="Hyperlink"/>
          </w:rPr>
          <w:t>5</w:t>
        </w:r>
        <w:r w:rsidR="00E44CD3" w:rsidRPr="00E44CD3">
          <w:rPr>
            <w:rStyle w:val="Hyperlink"/>
          </w:rPr>
          <w:t>a</w:t>
        </w:r>
      </w:hyperlink>
      <w:r w:rsidR="00E44CD3">
        <w:t>)</w:t>
      </w:r>
      <w:r>
        <w:t xml:space="preserve">. This symmetry highlights the direct coupling of growth and water loss. The conversion dictated </w:t>
      </w:r>
      <w:proofErr w:type="gramStart"/>
      <w:r>
        <w:t xml:space="preserve">by </w:t>
      </w:r>
      <w:r w:rsidR="00E44CD3">
        <w:t xml:space="preserve"> (</w:t>
      </w:r>
      <w:proofErr w:type="gramEnd"/>
      <w:r w:rsidR="00E44CD3">
        <w:fldChar w:fldCharType="begin"/>
      </w:r>
      <w:r w:rsidR="00E44CD3">
        <w:instrText>HYPERLINK  \l "eqS3a"</w:instrText>
      </w:r>
      <w:r w:rsidR="00E44CD3">
        <w:fldChar w:fldCharType="separate"/>
      </w:r>
      <w:r w:rsidR="00E44CD3" w:rsidRPr="00E44CD3">
        <w:rPr>
          <w:rStyle w:val="Hyperlink"/>
        </w:rPr>
        <w:t>S3a</w:t>
      </w:r>
      <w:r w:rsidR="00E44CD3">
        <w:fldChar w:fldCharType="end"/>
      </w:r>
      <w:r w:rsidR="00E44CD3">
        <w:t>)</w:t>
      </w:r>
      <w:r>
        <w:t xml:space="preserve"> means that whatever the non-dimensional steady state </w:t>
      </w:r>
      <m:oMath>
        <m:acc>
          <m:accPr>
            <m:chr m:val="̃"/>
            <m:ctrlPr>
              <w:rPr>
                <w:rFonts w:ascii="Cambria Math" w:hAnsi="Cambria Math"/>
              </w:rPr>
            </m:ctrlPr>
          </m:accPr>
          <m:e>
            <m:r>
              <w:rPr>
                <w:rFonts w:ascii="Cambria Math" w:hAnsi="Cambria Math"/>
              </w:rPr>
              <m:t>b</m:t>
            </m:r>
          </m:e>
        </m:acc>
      </m:oMath>
      <w:r>
        <w:t xml:space="preserve"> one gets by solving </w:t>
      </w:r>
      <w:proofErr w:type="spellStart"/>
      <w:r>
        <w:t>Eqs</w:t>
      </w:r>
      <w:proofErr w:type="spellEnd"/>
      <w:r>
        <w:t>.</w:t>
      </w:r>
      <w:r w:rsidR="00E44CD3">
        <w:t xml:space="preserve"> (</w:t>
      </w:r>
      <w:hyperlink w:anchor="eqS5" w:history="1">
        <w:r w:rsidR="00E44CD3" w:rsidRPr="00E44CD3">
          <w:rPr>
            <w:rStyle w:val="Hyperlink"/>
          </w:rPr>
          <w:t>S5</w:t>
        </w:r>
      </w:hyperlink>
      <w:r w:rsidR="00E44CD3">
        <w:t>)</w:t>
      </w:r>
      <w:r>
        <w:t xml:space="preserve">, we divide it by the water-use efficiency </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a</m:t>
        </m:r>
      </m:oMath>
      <w:r>
        <w:t xml:space="preserve"> to get the dimensional biomass </w:t>
      </w:r>
      <m:oMath>
        <m:r>
          <w:rPr>
            <w:rFonts w:ascii="Cambria Math" w:hAnsi="Cambria Math"/>
          </w:rPr>
          <m:t>B</m:t>
        </m:r>
      </m:oMath>
      <w:r>
        <w:t>.</w:t>
      </w:r>
    </w:p>
    <w:p w14:paraId="53216B40" w14:textId="70CB97BF" w:rsidR="0019210D" w:rsidRDefault="00000000" w:rsidP="00600718">
      <w:pPr>
        <w:numPr>
          <w:ilvl w:val="0"/>
          <w:numId w:val="4"/>
        </w:numPr>
        <w:jc w:val="both"/>
      </w:pPr>
      <w:r>
        <w:t xml:space="preserve">The typical growth timescale </w:t>
      </w:r>
      <m:oMath>
        <m:r>
          <w:rPr>
            <w:rFonts w:ascii="Cambria Math" w:hAnsi="Cambria Math"/>
          </w:rPr>
          <m:t>1</m:t>
        </m:r>
        <m:r>
          <m:rPr>
            <m:sty m:val="p"/>
          </m:rPr>
          <w:rPr>
            <w:rFonts w:ascii="Cambria Math" w:hAnsi="Cambria Math"/>
          </w:rPr>
          <m:t>/</m:t>
        </m:r>
        <m:r>
          <w:rPr>
            <w:rFonts w:ascii="Cambria Math" w:hAnsi="Cambria Math"/>
          </w:rPr>
          <m:t>a</m:t>
        </m:r>
      </m:oMath>
      <w:r>
        <w:t xml:space="preserve"> acts as a fundamental clock for all other remaining parameters (see</w:t>
      </w:r>
      <w:r w:rsidR="00E44CD3">
        <w:t xml:space="preserve"> (</w:t>
      </w:r>
      <w:hyperlink w:anchor="eqS6" w:history="1">
        <w:r w:rsidR="00E44CD3" w:rsidRPr="00E44CD3">
          <w:rPr>
            <w:rStyle w:val="Hyperlink"/>
          </w:rPr>
          <w:t>S6</w:t>
        </w:r>
      </w:hyperlink>
      <w:r w:rsidR="00E44CD3">
        <w:t>)</w:t>
      </w:r>
      <w:r>
        <w:t>).</w:t>
      </w:r>
    </w:p>
    <w:p w14:paraId="441C6179" w14:textId="77777777" w:rsidR="0019210D" w:rsidRDefault="00000000" w:rsidP="00600718">
      <w:pPr>
        <w:numPr>
          <w:ilvl w:val="0"/>
          <w:numId w:val="4"/>
        </w:numPr>
        <w:jc w:val="both"/>
      </w:pPr>
      <m:oMath>
        <m:acc>
          <m:accPr>
            <m:chr m:val="̃"/>
            <m:ctrlPr>
              <w:rPr>
                <w:rFonts w:ascii="Cambria Math" w:hAnsi="Cambria Math"/>
              </w:rPr>
            </m:ctrlPr>
          </m:accPr>
          <m:e>
            <m:r>
              <w:rPr>
                <w:rFonts w:ascii="Cambria Math" w:hAnsi="Cambria Math"/>
              </w:rPr>
              <m:t>k</m:t>
            </m:r>
          </m:e>
        </m:acc>
      </m:oMath>
      <w:r>
        <w:t xml:space="preserve"> shows how the dimensional carrying capacity </w:t>
      </w:r>
      <m:oMath>
        <m:r>
          <w:rPr>
            <w:rFonts w:ascii="Cambria Math" w:hAnsi="Cambria Math"/>
          </w:rPr>
          <m:t>k</m:t>
        </m:r>
      </m:oMath>
      <w:r>
        <w:t xml:space="preserve"> is rescaled by water-use efficiency </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a</m:t>
        </m:r>
      </m:oMath>
      <w:r>
        <w:t xml:space="preserve">. A system with a large </w:t>
      </w:r>
      <m:oMath>
        <m:r>
          <w:rPr>
            <w:rFonts w:ascii="Cambria Math" w:hAnsi="Cambria Math"/>
          </w:rPr>
          <m:t>k</m:t>
        </m:r>
      </m:oMath>
      <w:r>
        <w:t xml:space="preserve"> but low water-use efficiency is effectively constrained, while high water-use efficiency inflates the effective carrying capacity.</w:t>
      </w:r>
    </w:p>
    <w:p w14:paraId="0FD43607" w14:textId="5F1BF381" w:rsidR="0019210D" w:rsidRDefault="00E44CD3" w:rsidP="00600718">
      <w:pPr>
        <w:pStyle w:val="Heading1"/>
        <w:jc w:val="both"/>
      </w:pPr>
      <w:bookmarkStart w:id="16" w:name="sec:SI_transient_dynamics"/>
      <w:bookmarkEnd w:id="7"/>
      <w:r>
        <w:t xml:space="preserve">S4 </w:t>
      </w:r>
      <w:r w:rsidR="00000000">
        <w:t>Transient dynamics</w:t>
      </w:r>
    </w:p>
    <w:p w14:paraId="5B296091" w14:textId="5BA266DE" w:rsidR="0019210D" w:rsidRDefault="00000000" w:rsidP="00600718">
      <w:pPr>
        <w:pStyle w:val="FirstParagraph"/>
        <w:jc w:val="both"/>
      </w:pPr>
      <w:r>
        <w:t>The typical timescale for the dynamics of herb biomass (</w:t>
      </w:r>
      <m:oMath>
        <m:r>
          <w:rPr>
            <w:rFonts w:ascii="Cambria Math" w:hAnsi="Cambria Math"/>
          </w:rPr>
          <m:t>B</m:t>
        </m:r>
      </m:oMath>
      <w:r>
        <w:t xml:space="preserve">) is comparable to the length of the growing season used in this study, 180 days. </w:t>
      </w:r>
      <w:hyperlink w:anchor="fig:SI_dynamics">
        <w:r w:rsidR="00E44CD3">
          <w:rPr>
            <w:rStyle w:val="Hyperlink"/>
          </w:rPr>
          <w:t>Figure S3</w:t>
        </w:r>
      </w:hyperlink>
      <w:r>
        <w:t xml:space="preserve"> shows the time dynamics (left column) and phase space (right column) for three precipitation levels (</w:t>
      </w:r>
      <m:oMath>
        <m:r>
          <w:rPr>
            <w:rFonts w:ascii="Cambria Math" w:hAnsi="Cambria Math"/>
          </w:rPr>
          <m:t>p</m:t>
        </m:r>
        <m:r>
          <m:rPr>
            <m:sty m:val="p"/>
          </m:rPr>
          <w:rPr>
            <w:rFonts w:ascii="Cambria Math" w:hAnsi="Cambria Math"/>
          </w:rPr>
          <m:t>={</m:t>
        </m:r>
        <m:r>
          <w:rPr>
            <w:rFonts w:ascii="Cambria Math" w:hAnsi="Cambria Math"/>
          </w:rPr>
          <m:t>150</m:t>
        </m:r>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600</m:t>
        </m:r>
        <m:r>
          <m:rPr>
            <m:sty m:val="p"/>
          </m:rPr>
          <w:rPr>
            <w:rFonts w:ascii="Cambria Math" w:hAnsi="Cambria Math"/>
          </w:rPr>
          <m:t>}</m:t>
        </m:r>
      </m:oMath>
      <w:r>
        <w:t xml:space="preserve"> mm year</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and three tree conditions: no tree (</w:t>
      </w:r>
      <m:oMath>
        <m:r>
          <w:rPr>
            <w:rFonts w:ascii="Cambria Math" w:hAnsi="Cambria Math"/>
          </w:rPr>
          <m:t>d</m:t>
        </m:r>
        <m:r>
          <m:rPr>
            <m:sty m:val="p"/>
          </m:rPr>
          <w:rPr>
            <w:rFonts w:ascii="Cambria Math" w:hAnsi="Cambria Math"/>
          </w:rPr>
          <m:t>=</m:t>
        </m:r>
        <m:r>
          <w:rPr>
            <w:rFonts w:ascii="Cambria Math" w:hAnsi="Cambria Math"/>
          </w:rPr>
          <m:t>0</m:t>
        </m:r>
      </m:oMath>
      <w:r>
        <w:t>, top row), shading mechanism (</w:t>
      </w:r>
      <m:oMath>
        <m:r>
          <w:rPr>
            <w:rFonts w:ascii="Cambria Math" w:hAnsi="Cambria Math"/>
          </w:rPr>
          <m:t>d</m:t>
        </m:r>
        <m:r>
          <m:rPr>
            <m:sty m:val="p"/>
          </m:rPr>
          <w:rPr>
            <w:rFonts w:ascii="Cambria Math" w:hAnsi="Cambria Math"/>
          </w:rPr>
          <m:t>=</m:t>
        </m:r>
        <m:r>
          <w:rPr>
            <w:rFonts w:ascii="Cambria Math" w:hAnsi="Cambria Math"/>
          </w:rPr>
          <m:t>0.3</m:t>
        </m:r>
      </m:oMath>
      <w:r>
        <w:t>, middle row), and root mechanism (</w:t>
      </w:r>
      <m:oMath>
        <m:r>
          <w:rPr>
            <w:rFonts w:ascii="Cambria Math" w:hAnsi="Cambria Math"/>
          </w:rPr>
          <m:t>d</m:t>
        </m:r>
        <m:r>
          <m:rPr>
            <m:sty m:val="p"/>
          </m:rPr>
          <w:rPr>
            <w:rFonts w:ascii="Cambria Math" w:hAnsi="Cambria Math"/>
          </w:rPr>
          <m:t>=</m:t>
        </m:r>
        <m:r>
          <w:rPr>
            <w:rFonts w:ascii="Cambria Math" w:hAnsi="Cambria Math"/>
          </w:rPr>
          <m:t>0.3</m:t>
        </m:r>
      </m:oMath>
      <w:r>
        <w:t>, bottom row). Linear stability analysis of the numerically found steady-state solutions (hollow circles) reveals them to be stable nodes (real and negative eigenvalues).</w:t>
      </w:r>
    </w:p>
    <w:p w14:paraId="5D6A7317" w14:textId="77777777" w:rsidR="0019210D" w:rsidRDefault="00000000" w:rsidP="00794C95">
      <w:pPr>
        <w:pStyle w:val="CaptionedFigure"/>
        <w:jc w:val="center"/>
      </w:pPr>
      <w:bookmarkStart w:id="17" w:name="fig:SI_dynamics"/>
      <w:r>
        <w:rPr>
          <w:noProof/>
        </w:rPr>
        <w:drawing>
          <wp:inline distT="0" distB="0" distL="0" distR="0" wp14:anchorId="69F40F6B" wp14:editId="5ADCFD26">
            <wp:extent cx="3171567" cy="4127157"/>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s/dynamics.pdf"/>
                    <pic:cNvPicPr>
                      <a:picLocks noChangeAspect="1" noChangeArrowheads="1"/>
                    </pic:cNvPicPr>
                  </pic:nvPicPr>
                  <pic:blipFill>
                    <a:blip r:embed="rId10"/>
                    <a:stretch>
                      <a:fillRect/>
                    </a:stretch>
                  </pic:blipFill>
                  <pic:spPr bwMode="auto">
                    <a:xfrm>
                      <a:off x="0" y="0"/>
                      <a:ext cx="3185137" cy="4144815"/>
                    </a:xfrm>
                    <a:prstGeom prst="rect">
                      <a:avLst/>
                    </a:prstGeom>
                    <a:noFill/>
                    <a:ln w="9525">
                      <a:noFill/>
                      <a:headEnd/>
                      <a:tailEnd/>
                    </a:ln>
                  </pic:spPr>
                </pic:pic>
              </a:graphicData>
            </a:graphic>
          </wp:inline>
        </w:drawing>
      </w:r>
    </w:p>
    <w:p w14:paraId="57CE2015" w14:textId="51894828" w:rsidR="0019210D" w:rsidRDefault="00017CEC" w:rsidP="00600718">
      <w:pPr>
        <w:pStyle w:val="ImageCaption"/>
        <w:jc w:val="both"/>
      </w:pPr>
      <w:r>
        <w:rPr>
          <w:i w:val="0"/>
          <w:iCs/>
        </w:rPr>
        <w:t xml:space="preserve">Figure S3: </w:t>
      </w:r>
      <w:r w:rsidR="00000000">
        <w:t xml:space="preserve">Time dynamics (left) and phase-space portrait (right) of </w:t>
      </w:r>
      <m:oMath>
        <m:r>
          <w:rPr>
            <w:rFonts w:ascii="Cambria Math" w:hAnsi="Cambria Math"/>
          </w:rPr>
          <m:t>(B,S)</m:t>
        </m:r>
      </m:oMath>
      <w:r w:rsidR="00000000">
        <w:t xml:space="preserve"> solutions. Panels a,b: zero tree density. Panels c,d: Tree density </w:t>
      </w:r>
      <m:oMath>
        <m:r>
          <w:rPr>
            <w:rFonts w:ascii="Cambria Math" w:hAnsi="Cambria Math"/>
          </w:rPr>
          <m:t>d=0.3</m:t>
        </m:r>
      </m:oMath>
      <w:r w:rsidR="00000000">
        <w:t xml:space="preserve">, shading mechanism on. Panels e,f: Tree density </w:t>
      </w:r>
      <m:oMath>
        <m:r>
          <w:rPr>
            <w:rFonts w:ascii="Cambria Math" w:hAnsi="Cambria Math"/>
          </w:rPr>
          <m:t>d=0.3</m:t>
        </m:r>
      </m:oMath>
      <w:r w:rsidR="00000000">
        <w:t>, root mechanism on. Blue, red and black orbits denote precipitation levels of 150, 300 and 600 mm year</w:t>
      </w:r>
      <m:oMath>
        <m:sSup>
          <m:sSupPr>
            <m:ctrlPr>
              <w:rPr>
                <w:rFonts w:ascii="Cambria Math" w:hAnsi="Cambria Math"/>
              </w:rPr>
            </m:ctrlPr>
          </m:sSupPr>
          <m:e>
            <m:r>
              <w:rPr>
                <w:rFonts w:ascii="Cambria Math" w:hAnsi="Cambria Math"/>
              </w:rPr>
              <m:t>​</m:t>
            </m:r>
          </m:e>
          <m:sup>
            <m:r>
              <w:rPr>
                <w:rFonts w:ascii="Cambria Math" w:hAnsi="Cambria Math"/>
              </w:rPr>
              <m:t>-1</m:t>
            </m:r>
          </m:sup>
        </m:sSup>
      </m:oMath>
      <w:r w:rsidR="00000000">
        <w:t xml:space="preserve">, respectively. The same eight initial conditions were used for all cases: </w:t>
      </w:r>
      <m:oMath>
        <m:r>
          <w:rPr>
            <w:rFonts w:ascii="Cambria Math" w:hAnsi="Cambria Math"/>
          </w:rPr>
          <m:t>S=0.2</m:t>
        </m:r>
      </m:oMath>
      <w:r w:rsidR="00000000">
        <w:t xml:space="preserve"> and </w:t>
      </w:r>
      <m:oMath>
        <m:r>
          <w:rPr>
            <w:rFonts w:ascii="Cambria Math" w:hAnsi="Cambria Math"/>
          </w:rPr>
          <m:t>B</m:t>
        </m:r>
      </m:oMath>
      <w:r w:rsidR="00000000">
        <w:t xml:space="preserve"> ranging from 0.1 to 0.8, with 0.1 increments. Hollow circles denote the value of the solution with initial condition </w:t>
      </w:r>
      <m:oMath>
        <m:r>
          <w:rPr>
            <w:rFonts w:ascii="Cambria Math" w:hAnsi="Cambria Math"/>
          </w:rPr>
          <m:t>(B=0.4,S=0.2)</m:t>
        </m:r>
      </m:oMath>
      <w:r w:rsidR="00000000">
        <w:t xml:space="preserve"> at time 500 days.</w:t>
      </w:r>
    </w:p>
    <w:bookmarkEnd w:id="17"/>
    <w:p w14:paraId="19B1A098" w14:textId="2DE607BE" w:rsidR="0019210D" w:rsidRDefault="00000000" w:rsidP="00600718">
      <w:pPr>
        <w:pStyle w:val="BodyText"/>
        <w:jc w:val="both"/>
      </w:pPr>
      <w:r>
        <w:lastRenderedPageBreak/>
        <w:t xml:space="preserve">Crucially, the facilitation–competition switch persists when we examine transient dynamics, not only steady-state outcomes. In </w:t>
      </w:r>
      <w:hyperlink w:anchor="fig:SI_dynamics_transient_solutions">
        <w:r w:rsidR="00017CEC">
          <w:rPr>
            <w:rStyle w:val="Hyperlink"/>
          </w:rPr>
          <w:t>Fig. S4</w:t>
        </w:r>
      </w:hyperlink>
      <w:r>
        <w:t>, we compare the steady-state pattern (panel a) with solutions obtained by integrating Eq. (1) in the main text for 180 days (panel b). The qualitative result is the same in both cases, with positive tree effects at low precipitation and negative effects at high precipitation. Temporal dynamics, however, alter the details: the magnitude of facilitation and competition, and the precipitation at which the switch occurs, differ between transient and steady-state results.</w:t>
      </w:r>
    </w:p>
    <w:p w14:paraId="4E6AAE53" w14:textId="77777777" w:rsidR="0019210D" w:rsidRDefault="00000000" w:rsidP="00017CEC">
      <w:pPr>
        <w:pStyle w:val="CaptionedFigure"/>
        <w:jc w:val="center"/>
      </w:pPr>
      <w:bookmarkStart w:id="18" w:name="fig:SI_dynamics_transient_solutions"/>
      <w:r>
        <w:rPr>
          <w:noProof/>
        </w:rPr>
        <w:drawing>
          <wp:inline distT="0" distB="0" distL="0" distR="0" wp14:anchorId="54C17548" wp14:editId="1CBD21B3">
            <wp:extent cx="4000500" cy="200025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s/dynamics_transition.pdf"/>
                    <pic:cNvPicPr>
                      <a:picLocks noChangeAspect="1" noChangeArrowheads="1"/>
                    </pic:cNvPicPr>
                  </pic:nvPicPr>
                  <pic:blipFill>
                    <a:blip r:embed="rId11"/>
                    <a:stretch>
                      <a:fillRect/>
                    </a:stretch>
                  </pic:blipFill>
                  <pic:spPr bwMode="auto">
                    <a:xfrm>
                      <a:off x="0" y="0"/>
                      <a:ext cx="4000500" cy="2000250"/>
                    </a:xfrm>
                    <a:prstGeom prst="rect">
                      <a:avLst/>
                    </a:prstGeom>
                    <a:noFill/>
                    <a:ln w="9525">
                      <a:noFill/>
                      <a:headEnd/>
                      <a:tailEnd/>
                    </a:ln>
                  </pic:spPr>
                </pic:pic>
              </a:graphicData>
            </a:graphic>
          </wp:inline>
        </w:drawing>
      </w:r>
    </w:p>
    <w:p w14:paraId="6DAE8E73" w14:textId="7B38E296" w:rsidR="0019210D" w:rsidRDefault="00017CEC" w:rsidP="00600718">
      <w:pPr>
        <w:pStyle w:val="ImageCaption"/>
        <w:jc w:val="both"/>
      </w:pPr>
      <w:r>
        <w:rPr>
          <w:i w:val="0"/>
          <w:iCs/>
        </w:rPr>
        <w:t xml:space="preserve">Figure S4: </w:t>
      </w:r>
      <w:r w:rsidR="00000000">
        <w:t xml:space="preserve">The transition from facilitation to competition, for steady-state solutions (panel a), and for transient solutions after 180 days (panel b). The initial conditions for the transient solutions are </w:t>
      </w:r>
      <m:oMath>
        <m:r>
          <w:rPr>
            <w:rFonts w:ascii="Cambria Math" w:hAnsi="Cambria Math"/>
          </w:rPr>
          <m:t>(B=200 </m:t>
        </m:r>
        <m:r>
          <m:rPr>
            <m:nor/>
          </m:rPr>
          <m:t>g</m:t>
        </m:r>
        <m:r>
          <w:rPr>
            <w:rFonts w:ascii="Cambria Math" w:hAnsi="Cambria Math"/>
          </w:rPr>
          <m:t>,S=0.2)</m:t>
        </m:r>
      </m:oMath>
      <w:r w:rsidR="00000000">
        <w:t xml:space="preserve">. For both panels we considered only the canopy mechanism, for tree density levels 0.0 and 0.4. Other parameters as reported in Table </w:t>
      </w:r>
      <w:r w:rsidR="00000000">
        <w:rPr>
          <w:iCs/>
        </w:rPr>
        <w:t>1</w:t>
      </w:r>
      <w:r w:rsidR="00000000">
        <w:t>.</w:t>
      </w:r>
    </w:p>
    <w:p w14:paraId="5C9BCBFC" w14:textId="23832094" w:rsidR="0019210D" w:rsidRDefault="00017CEC" w:rsidP="00600718">
      <w:pPr>
        <w:pStyle w:val="Heading1"/>
        <w:jc w:val="both"/>
      </w:pPr>
      <w:bookmarkStart w:id="19" w:name="sec:SI_other"/>
      <w:bookmarkEnd w:id="16"/>
      <w:bookmarkEnd w:id="18"/>
      <w:r>
        <w:t xml:space="preserve">S5 </w:t>
      </w:r>
      <w:r w:rsidR="00000000">
        <w:t>A gradient of evaporative demand</w:t>
      </w:r>
    </w:p>
    <w:p w14:paraId="5FED6646" w14:textId="140CF9AE" w:rsidR="0019210D" w:rsidRDefault="00000000" w:rsidP="00600718">
      <w:pPr>
        <w:pStyle w:val="FirstParagraph"/>
        <w:jc w:val="both"/>
      </w:pPr>
      <w:r>
        <w:t>Here, we demonstrate that our model can produce a transition from facilitation to competition, not only along a precipitation gradient but also across an evaporative demand gradient (</w:t>
      </w:r>
      <w:hyperlink w:anchor="fig:other_stress">
        <w:r w:rsidR="00017CEC">
          <w:rPr>
            <w:rStyle w:val="Hyperlink"/>
          </w:rPr>
          <w:t>Figure S5</w:t>
        </w:r>
      </w:hyperlink>
      <w:r>
        <w:t>).</w:t>
      </w:r>
    </w:p>
    <w:p w14:paraId="31798291" w14:textId="77777777" w:rsidR="0019210D" w:rsidRDefault="00000000" w:rsidP="00017CEC">
      <w:pPr>
        <w:pStyle w:val="CaptionedFigure"/>
        <w:jc w:val="center"/>
      </w:pPr>
      <w:bookmarkStart w:id="20" w:name="fig:other_stress"/>
      <w:r>
        <w:rPr>
          <w:noProof/>
        </w:rPr>
        <w:lastRenderedPageBreak/>
        <w:drawing>
          <wp:inline distT="0" distB="0" distL="0" distR="0" wp14:anchorId="1EC2A200" wp14:editId="2BCDA8E7">
            <wp:extent cx="5334000" cy="40005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Figs/other_kinds_of_stress.pdf"/>
                    <pic:cNvPicPr>
                      <a:picLocks noChangeAspect="1" noChangeArrowheads="1"/>
                    </pic:cNvPicPr>
                  </pic:nvPicPr>
                  <pic:blipFill>
                    <a:blip r:embed="rId12"/>
                    <a:stretch>
                      <a:fillRect/>
                    </a:stretch>
                  </pic:blipFill>
                  <pic:spPr bwMode="auto">
                    <a:xfrm>
                      <a:off x="0" y="0"/>
                      <a:ext cx="5334000" cy="4000500"/>
                    </a:xfrm>
                    <a:prstGeom prst="rect">
                      <a:avLst/>
                    </a:prstGeom>
                    <a:noFill/>
                    <a:ln w="9525">
                      <a:noFill/>
                      <a:headEnd/>
                      <a:tailEnd/>
                    </a:ln>
                  </pic:spPr>
                </pic:pic>
              </a:graphicData>
            </a:graphic>
          </wp:inline>
        </w:drawing>
      </w:r>
    </w:p>
    <w:p w14:paraId="1D92C72D" w14:textId="025EFFE1" w:rsidR="0019210D" w:rsidRDefault="00017CEC" w:rsidP="00600718">
      <w:pPr>
        <w:pStyle w:val="ImageCaption"/>
        <w:jc w:val="both"/>
      </w:pPr>
      <w:r>
        <w:rPr>
          <w:b/>
          <w:bCs/>
          <w:i w:val="0"/>
          <w:iCs/>
        </w:rPr>
        <w:t xml:space="preserve">Figure S5: </w:t>
      </w:r>
      <w:r w:rsidR="00000000">
        <w:rPr>
          <w:b/>
          <w:bCs/>
        </w:rPr>
        <w:t>The facilitation–competition transition extends across different abiotic stress axes.</w:t>
      </w:r>
      <w:r w:rsidR="00000000">
        <w:t xml:space="preserve"> Panels a,c: Precipitation as the stress axis reproduces the classic SGH prediction, with facilitation at low supply and competition at high supply. Panel b,d: Evaporative demand, representing atmospheric drivers of water loss, yields the same qualitative pattern but on a reversed axis (higher demand corresponds to stronger stress).</w:t>
      </w:r>
    </w:p>
    <w:p w14:paraId="22EFBC4D" w14:textId="4C6890D2" w:rsidR="0019210D" w:rsidRDefault="00017CEC" w:rsidP="00600718">
      <w:pPr>
        <w:pStyle w:val="Heading1"/>
        <w:jc w:val="both"/>
      </w:pPr>
      <w:bookmarkStart w:id="21" w:name="sec:SI_correct_stress_metric"/>
      <w:bookmarkEnd w:id="19"/>
      <w:bookmarkEnd w:id="20"/>
      <w:r>
        <w:t xml:space="preserve">S6 </w:t>
      </w:r>
      <w:r w:rsidR="00000000">
        <w:t xml:space="preserve">Choosing the right resource metric for the </w:t>
      </w:r>
      <w:proofErr w:type="gramStart"/>
      <w:r w:rsidR="00000000">
        <w:t>SGH</w:t>
      </w:r>
      <w:proofErr w:type="gramEnd"/>
    </w:p>
    <w:p w14:paraId="62179D3A" w14:textId="77777777" w:rsidR="0019210D" w:rsidRDefault="00000000" w:rsidP="00600718">
      <w:pPr>
        <w:pStyle w:val="FirstParagraph"/>
        <w:jc w:val="both"/>
      </w:pPr>
      <w:r>
        <w:t>The Stress Gradient Hypothesis (SGH) predicts a shift from facilitation to competition as a resource increases. A critical question is which resource metric to use: resource supply rate (like precipitation) or resource abundance (like soil water content). We demonstrate here that the resource supply rate is the appropriate metric for assessing the SGH.</w:t>
      </w:r>
    </w:p>
    <w:p w14:paraId="3EF7B04F" w14:textId="77777777" w:rsidR="0019210D" w:rsidRDefault="00000000" w:rsidP="00600718">
      <w:pPr>
        <w:pStyle w:val="BodyText"/>
        <w:jc w:val="both"/>
      </w:pPr>
      <w:r>
        <w:t xml:space="preserve">When we analyze our model using precipitation as the </w:t>
      </w:r>
      <w:r>
        <w:rPr>
          <w:i/>
          <w:iCs/>
        </w:rPr>
        <w:t>control parameter</w:t>
      </w:r>
      <w:r>
        <w:t xml:space="preserve"> (x-axis in a </w:t>
      </w:r>
      <m:oMath>
        <m:r>
          <w:rPr>
            <w:rFonts w:ascii="Cambria Math" w:hAnsi="Cambria Math"/>
          </w:rPr>
          <m:t>B</m:t>
        </m:r>
      </m:oMath>
      <w:r>
        <w:t xml:space="preserve"> vs. </w:t>
      </w:r>
      <m:oMath>
        <m:r>
          <w:rPr>
            <w:rFonts w:ascii="Cambria Math" w:hAnsi="Cambria Math"/>
          </w:rPr>
          <m:t>p</m:t>
        </m:r>
      </m:oMath>
      <w:r>
        <w:t xml:space="preserve"> plot), the results clearly demonstrate the SGH pattern. For both the shading and root mechanisms, we observe a transition from positive to negative tree–herb interactions as precipitation increases, mirroring field observations.</w:t>
      </w:r>
    </w:p>
    <w:p w14:paraId="3F33924D" w14:textId="37E33E2E" w:rsidR="0019210D" w:rsidRDefault="00000000" w:rsidP="00600718">
      <w:pPr>
        <w:pStyle w:val="BodyText"/>
        <w:jc w:val="both"/>
      </w:pPr>
      <w:r>
        <w:t xml:space="preserve">In contrast, if we use soil water content as the resource metric, the SGH pattern vanishes. </w:t>
      </w:r>
      <w:hyperlink w:anchor="fig:b_vs_s">
        <w:r w:rsidR="00017CEC">
          <w:rPr>
            <w:rStyle w:val="Hyperlink"/>
          </w:rPr>
          <w:t>Figure S6</w:t>
        </w:r>
      </w:hyperlink>
      <w:r>
        <w:t xml:space="preserve"> shows the same herb biomass solutions as</w:t>
      </w:r>
      <w:r w:rsidR="00017CEC">
        <w:t xml:space="preserve"> Figure </w:t>
      </w:r>
      <w:proofErr w:type="gramStart"/>
      <w:r w:rsidR="00017CEC">
        <w:t>2</w:t>
      </w:r>
      <w:r>
        <w:t>, but</w:t>
      </w:r>
      <w:proofErr w:type="gramEnd"/>
      <w:r>
        <w:t xml:space="preserve"> plotted against soil water content.</w:t>
      </w:r>
    </w:p>
    <w:p w14:paraId="38807861" w14:textId="77777777" w:rsidR="0019210D" w:rsidRDefault="00000000" w:rsidP="00017CEC">
      <w:pPr>
        <w:pStyle w:val="CaptionedFigure"/>
        <w:jc w:val="center"/>
      </w:pPr>
      <w:bookmarkStart w:id="22" w:name="fig:b_vs_s"/>
      <w:r>
        <w:rPr>
          <w:noProof/>
        </w:rPr>
        <w:lastRenderedPageBreak/>
        <w:drawing>
          <wp:inline distT="0" distB="0" distL="0" distR="0" wp14:anchorId="0BD563AA" wp14:editId="145D17A6">
            <wp:extent cx="4800600" cy="21336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gs/biomass_vs_water.pdf"/>
                    <pic:cNvPicPr>
                      <a:picLocks noChangeAspect="1" noChangeArrowheads="1"/>
                    </pic:cNvPicPr>
                  </pic:nvPicPr>
                  <pic:blipFill>
                    <a:blip r:embed="rId13"/>
                    <a:stretch>
                      <a:fillRect/>
                    </a:stretch>
                  </pic:blipFill>
                  <pic:spPr bwMode="auto">
                    <a:xfrm>
                      <a:off x="0" y="0"/>
                      <a:ext cx="4800600" cy="2133600"/>
                    </a:xfrm>
                    <a:prstGeom prst="rect">
                      <a:avLst/>
                    </a:prstGeom>
                    <a:noFill/>
                    <a:ln w="9525">
                      <a:noFill/>
                      <a:headEnd/>
                      <a:tailEnd/>
                    </a:ln>
                  </pic:spPr>
                </pic:pic>
              </a:graphicData>
            </a:graphic>
          </wp:inline>
        </w:drawing>
      </w:r>
    </w:p>
    <w:p w14:paraId="3396E400" w14:textId="1F439C08" w:rsidR="0019210D" w:rsidRDefault="00600718" w:rsidP="00600718">
      <w:pPr>
        <w:pStyle w:val="ImageCaption"/>
        <w:jc w:val="both"/>
      </w:pPr>
      <w:r>
        <w:rPr>
          <w:b/>
          <w:bCs/>
          <w:i w:val="0"/>
          <w:iCs/>
        </w:rPr>
        <w:t xml:space="preserve">Figure S6: </w:t>
      </w:r>
      <w:r w:rsidR="00000000">
        <w:rPr>
          <w:b/>
          <w:bCs/>
        </w:rPr>
        <w:t>Using soil water content as the stress axis eliminates the facilitation–competition transition.</w:t>
      </w:r>
      <w:r w:rsidR="00000000">
        <w:t xml:space="preserve"> Steady-state herb biomass solutions are shown as a function of soil water content for the canopy mechanism (panel a) and the root mechanism (panel b). In the canopy mechanism, biomass with trees (</w:t>
      </w:r>
      <m:oMath>
        <m:r>
          <w:rPr>
            <w:rFonts w:ascii="Cambria Math" w:hAnsi="Cambria Math"/>
          </w:rPr>
          <m:t>d&gt;0</m:t>
        </m:r>
      </m:oMath>
      <w:r w:rsidR="00000000">
        <w:t>) is always lower than the no-tree baseline, because canopy directly reduces assimilation while water conservation effects are no longer represented. In the root mechanism, biomass becomes independent of tree density when soil water is fixed, since tree effects operate only by altering soil moisture levels. Accordingly, when stress is parameterized by soil water abundance rather than supply rate, the SGH pattern disappears.</w:t>
      </w:r>
    </w:p>
    <w:bookmarkEnd w:id="22"/>
    <w:p w14:paraId="3EB5A7C5" w14:textId="44F2CF30" w:rsidR="0019210D" w:rsidRDefault="00000000" w:rsidP="00600718">
      <w:pPr>
        <w:pStyle w:val="BodyText"/>
        <w:jc w:val="both"/>
        <w:rPr>
          <w:rtl/>
        </w:rPr>
      </w:pPr>
      <w:r>
        <w:t>The nontrivial (</w:t>
      </w:r>
      <m:oMath>
        <m:r>
          <w:rPr>
            <w:rFonts w:ascii="Cambria Math" w:hAnsi="Cambria Math"/>
          </w:rPr>
          <m:t>B</m:t>
        </m:r>
        <m:r>
          <m:rPr>
            <m:sty m:val="p"/>
          </m:rPr>
          <w:rPr>
            <w:rFonts w:ascii="Cambria Math" w:hAnsi="Cambria Math"/>
          </w:rPr>
          <m:t>≠</m:t>
        </m:r>
        <m:r>
          <w:rPr>
            <w:rFonts w:ascii="Cambria Math" w:hAnsi="Cambria Math"/>
          </w:rPr>
          <m:t>0</m:t>
        </m:r>
      </m:oMath>
      <w:r>
        <w:t>) solutions can be readily obtained by equating Eq.</w:t>
      </w:r>
      <w:r w:rsidR="00017CEC">
        <w:t xml:space="preserve"> (1a)</w:t>
      </w:r>
      <w:r>
        <w:t xml:space="preserve"> to zero and solving for </w:t>
      </w:r>
      <m:oMath>
        <m:r>
          <w:rPr>
            <w:rFonts w:ascii="Cambria Math" w:hAnsi="Cambria Math"/>
          </w:rPr>
          <m:t>B</m:t>
        </m:r>
      </m:oMath>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8"/>
        <w:gridCol w:w="360"/>
        <w:gridCol w:w="918"/>
      </w:tblGrid>
      <w:tr w:rsidR="00600718" w14:paraId="76B9AB27" w14:textId="77777777" w:rsidTr="00600718">
        <w:tc>
          <w:tcPr>
            <w:tcW w:w="8658" w:type="dxa"/>
            <w:gridSpan w:val="2"/>
          </w:tcPr>
          <w:p w14:paraId="1730E821" w14:textId="52EE9ED2" w:rsidR="00600718" w:rsidRDefault="00600718">
            <w:pPr>
              <w:pStyle w:val="BodyText"/>
            </w:pPr>
            <m:oMathPara>
              <m:oMath>
                <m:r>
                  <m:rPr>
                    <m:nor/>
                  </m:rPr>
                  <m:t xml:space="preserve">Shading mechanism: </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aS</m:t>
                        </m:r>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r>
                          <w:rPr>
                            <w:rFonts w:ascii="Cambria Math" w:hAnsi="Cambria Math"/>
                          </w:rPr>
                          <m:t>d</m:t>
                        </m:r>
                        <m:r>
                          <m:rPr>
                            <m:sty m:val="p"/>
                          </m:rPr>
                          <w:rPr>
                            <w:rFonts w:ascii="Cambria Math" w:hAnsi="Cambria Math"/>
                          </w:rPr>
                          <m:t>)</m:t>
                        </m:r>
                      </m:den>
                    </m:f>
                  </m:e>
                </m:d>
              </m:oMath>
            </m:oMathPara>
          </w:p>
        </w:tc>
        <w:tc>
          <w:tcPr>
            <w:tcW w:w="918" w:type="dxa"/>
          </w:tcPr>
          <w:p w14:paraId="4A45E6F2" w14:textId="669BD836" w:rsidR="00600718" w:rsidRDefault="00600718" w:rsidP="00600718">
            <w:pPr>
              <w:pStyle w:val="BodyText"/>
              <w:jc w:val="right"/>
            </w:pPr>
            <w:r>
              <w:t>(S7a)</w:t>
            </w:r>
          </w:p>
        </w:tc>
      </w:tr>
      <w:tr w:rsidR="00600718" w14:paraId="37ACDCC0" w14:textId="77777777" w:rsidTr="00600718">
        <w:tc>
          <w:tcPr>
            <w:tcW w:w="8298" w:type="dxa"/>
          </w:tcPr>
          <w:p w14:paraId="4BE7DDD2" w14:textId="2BCCA333" w:rsidR="00600718" w:rsidRDefault="00600718">
            <w:pPr>
              <w:pStyle w:val="BodyText"/>
            </w:pPr>
            <m:oMathPara>
              <m:oMath>
                <m:r>
                  <m:rPr>
                    <m:nor/>
                  </m:rPr>
                  <m:t xml:space="preserve">Root mechanism: </m:t>
                </m:r>
                <m:r>
                  <w:rPr>
                    <w:rFonts w:ascii="Cambria Math" w:hAnsi="Cambria Math"/>
                  </w:rPr>
                  <m:t> </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aS</m:t>
                        </m:r>
                      </m:den>
                    </m:f>
                  </m:e>
                </m:d>
              </m:oMath>
            </m:oMathPara>
          </w:p>
        </w:tc>
        <w:tc>
          <w:tcPr>
            <w:tcW w:w="1278" w:type="dxa"/>
            <w:gridSpan w:val="2"/>
          </w:tcPr>
          <w:p w14:paraId="19359549" w14:textId="00545ECB" w:rsidR="00600718" w:rsidRDefault="00600718" w:rsidP="00600718">
            <w:pPr>
              <w:pStyle w:val="BodyText"/>
              <w:jc w:val="right"/>
            </w:pPr>
            <w:r>
              <w:t>(S7b)</w:t>
            </w:r>
          </w:p>
        </w:tc>
      </w:tr>
    </w:tbl>
    <w:p w14:paraId="35F3448A" w14:textId="77777777" w:rsidR="0019210D" w:rsidRDefault="00000000" w:rsidP="00600718">
      <w:pPr>
        <w:pStyle w:val="FirstParagraph"/>
        <w:jc w:val="both"/>
      </w:pPr>
      <w:r>
        <w:t>From these solutions we learn:</w:t>
      </w:r>
    </w:p>
    <w:p w14:paraId="50993860" w14:textId="77777777" w:rsidR="0019210D" w:rsidRDefault="00000000" w:rsidP="00600718">
      <w:pPr>
        <w:numPr>
          <w:ilvl w:val="0"/>
          <w:numId w:val="5"/>
        </w:numPr>
        <w:jc w:val="both"/>
      </w:pPr>
      <w:r>
        <w:rPr>
          <w:b/>
          <w:bCs/>
        </w:rPr>
        <w:t>Shading mechanism:</w:t>
      </w:r>
      <w:r>
        <w:t xml:space="preserve"> Because </w:t>
      </w:r>
      <m:oMath>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r>
          <w:rPr>
            <w:rFonts w:ascii="Cambria Math" w:hAnsi="Cambria Math"/>
          </w:rPr>
          <m:t>d</m:t>
        </m:r>
        <m:r>
          <m:rPr>
            <m:sty m:val="p"/>
          </m:rPr>
          <w:rPr>
            <w:rFonts w:ascii="Cambria Math" w:hAnsi="Cambria Math"/>
          </w:rPr>
          <m:t>&gt;</m:t>
        </m:r>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oMath>
      <w:r>
        <w:t>, the steady-state herb biomass with trees (</w:t>
      </w:r>
      <m:oMath>
        <m:sSub>
          <m:sSubPr>
            <m:ctrlPr>
              <w:rPr>
                <w:rFonts w:ascii="Cambria Math" w:hAnsi="Cambria Math"/>
              </w:rPr>
            </m:ctrlPr>
          </m:sSubPr>
          <m:e>
            <m:r>
              <w:rPr>
                <w:rFonts w:ascii="Cambria Math" w:hAnsi="Cambria Math"/>
              </w:rPr>
              <m:t>B</m:t>
            </m:r>
          </m:e>
          <m:sub>
            <m:r>
              <w:rPr>
                <w:rFonts w:ascii="Cambria Math" w:hAnsi="Cambria Math"/>
              </w:rPr>
              <m:t>T</m:t>
            </m:r>
          </m:sub>
        </m:sSub>
      </m:oMath>
      <w:r>
        <w:t>) is always lower than the biomass without trees (</w:t>
      </w:r>
      <m:oMath>
        <m:sSub>
          <m:sSubPr>
            <m:ctrlPr>
              <w:rPr>
                <w:rFonts w:ascii="Cambria Math" w:hAnsi="Cambria Math"/>
              </w:rPr>
            </m:ctrlPr>
          </m:sSubPr>
          <m:e>
            <m:r>
              <w:rPr>
                <w:rFonts w:ascii="Cambria Math" w:hAnsi="Cambria Math"/>
              </w:rPr>
              <m:t>B</m:t>
            </m:r>
          </m:e>
          <m:sub>
            <m:r>
              <w:rPr>
                <w:rFonts w:ascii="Cambria Math" w:hAnsi="Cambria Math"/>
              </w:rPr>
              <m:t>0</m:t>
            </m:r>
          </m:sub>
        </m:sSub>
      </m:oMath>
      <w:r>
        <w:t>). Trees always reduce light, which directly suppresses herb growth. Because the facilitative effect of water conservation is no longer a factor, the interaction intensity is always negative (competitive).</w:t>
      </w:r>
    </w:p>
    <w:p w14:paraId="21149757" w14:textId="77777777" w:rsidR="0019210D" w:rsidRDefault="00000000" w:rsidP="00600718">
      <w:pPr>
        <w:numPr>
          <w:ilvl w:val="0"/>
          <w:numId w:val="5"/>
        </w:numPr>
        <w:jc w:val="both"/>
      </w:pPr>
      <w:r>
        <w:rPr>
          <w:b/>
          <w:bCs/>
        </w:rPr>
        <w:t>Root mechanism:</w:t>
      </w:r>
      <w:r>
        <w:t xml:space="preserve"> Herb biomass becomes completely independent of tree density (it lacks the variable </w:t>
      </w:r>
      <m:oMath>
        <m:r>
          <w:rPr>
            <w:rFonts w:ascii="Cambria Math" w:hAnsi="Cambria Math"/>
          </w:rPr>
          <m:t>d</m:t>
        </m:r>
      </m:oMath>
      <w:r>
        <w:t>). Trees influence herbs solely by altering soil water levels, so if that level is fixed, the trees have no effect. The interaction intensity is always zero.</w:t>
      </w:r>
    </w:p>
    <w:p w14:paraId="2DFE9DA1" w14:textId="77777777" w:rsidR="0019210D" w:rsidRDefault="00000000" w:rsidP="00600718">
      <w:pPr>
        <w:pStyle w:val="FirstParagraph"/>
        <w:jc w:val="both"/>
      </w:pPr>
      <w:r>
        <w:t xml:space="preserve">This result, that the SGH pattern disappears when using soil water content as the metric, occurs for a fundamental reason: soil water content, unlike precipitation, is an intrinsic </w:t>
      </w:r>
      <w:r>
        <w:lastRenderedPageBreak/>
        <w:t xml:space="preserve">property of the ecosystem, not an external force. It is the result of multiple processes such as rainfall, evapotranspiration, drainage, etc., all of which interact with the tree’s presence to determine the final soil water content. By holding soil water constant, we are artificially decoupling the very mechanisms that create the SGH pattern. Therefore, using resource abundance (soil water content) as the metric of stress renders the SGH meaningless within this mechanistic framework, as it nullifies the resource component in our </w:t>
      </w:r>
      <w:r>
        <w:rPr>
          <w:b/>
          <w:bCs/>
        </w:rPr>
        <w:t>consumer–resource model</w:t>
      </w:r>
      <w:r>
        <w:t>.</w:t>
      </w:r>
    </w:p>
    <w:p w14:paraId="1BF1E5BC" w14:textId="77777777" w:rsidR="0019210D" w:rsidRDefault="00000000" w:rsidP="00600718">
      <w:pPr>
        <w:pStyle w:val="BodyText"/>
        <w:jc w:val="both"/>
      </w:pPr>
      <w:r>
        <w:t xml:space="preserve">The </w:t>
      </w:r>
      <w:r>
        <w:rPr>
          <w:b/>
          <w:bCs/>
        </w:rPr>
        <w:t>resource supply rate</w:t>
      </w:r>
      <w:r>
        <w:t xml:space="preserve"> (precipitation) is the external driver of the system’s state, making it the correct measure of abiotic stress for a resource-based SGH. It allows us to capture the full interplay of facilitative and competitive forces that are the core of the hypothesis.</w:t>
      </w:r>
    </w:p>
    <w:p w14:paraId="2A071246" w14:textId="29F29DF3" w:rsidR="0019210D" w:rsidRDefault="00600718">
      <w:pPr>
        <w:pStyle w:val="Heading1"/>
      </w:pPr>
      <w:bookmarkStart w:id="23" w:name="sec:SI_logistic"/>
      <w:bookmarkEnd w:id="21"/>
      <w:r>
        <w:t xml:space="preserve">S7 </w:t>
      </w:r>
      <w:r w:rsidR="00000000">
        <w:t>Logistic growth extension: nutrient-limited growth</w:t>
      </w:r>
    </w:p>
    <w:p w14:paraId="6C54CB03" w14:textId="77777777" w:rsidR="0019210D" w:rsidRDefault="00000000" w:rsidP="00600718">
      <w:pPr>
        <w:pStyle w:val="FirstParagraph"/>
        <w:jc w:val="both"/>
      </w:pPr>
      <w:r>
        <w:t xml:space="preserve">To justify our choice of introducing a limiting factor to herb growth as a logistic term, we do the exercise of explicitly introducing a new essential resource, a nutrient </w:t>
      </w:r>
      <m:oMath>
        <m:r>
          <w:rPr>
            <w:rFonts w:ascii="Cambria Math" w:hAnsi="Cambria Math"/>
          </w:rPr>
          <m:t>N</m:t>
        </m:r>
      </m:oMath>
      <w:r>
        <w:t>. Our model can be extended to include the nutrient dynamics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8"/>
        <w:gridCol w:w="828"/>
      </w:tblGrid>
      <w:tr w:rsidR="00600718" w14:paraId="4A51CA85" w14:textId="77777777" w:rsidTr="00600718">
        <w:tc>
          <w:tcPr>
            <w:tcW w:w="8748" w:type="dxa"/>
          </w:tcPr>
          <w:bookmarkStart w:id="24" w:name="eqS8a" w:colFirst="0" w:colLast="0"/>
          <w:p w14:paraId="4CBA0FFC" w14:textId="58969160" w:rsidR="00600718" w:rsidRDefault="00600718" w:rsidP="00600718">
            <w:pPr>
              <w:pStyle w:val="BodyText"/>
            </w:pPr>
            <m:oMathPara>
              <m:oMath>
                <m:f>
                  <m:fPr>
                    <m:ctrlPr>
                      <w:rPr>
                        <w:rFonts w:ascii="Cambria Math" w:hAnsi="Cambria Math"/>
                      </w:rPr>
                    </m:ctrlPr>
                  </m:fPr>
                  <m:num>
                    <m:r>
                      <w:rPr>
                        <w:rFonts w:ascii="Cambria Math" w:hAnsi="Cambria Math"/>
                      </w:rPr>
                      <m:t>dB</m:t>
                    </m:r>
                  </m:num>
                  <m:den>
                    <m:r>
                      <w:rPr>
                        <w:rFonts w:ascii="Cambria Math" w:hAnsi="Cambria Math"/>
                      </w:rPr>
                      <m:t>dt</m:t>
                    </m:r>
                  </m:den>
                </m:f>
                <m:r>
                  <m:rPr>
                    <m:sty m:val="p"/>
                  </m:rPr>
                  <w:rPr>
                    <w:rFonts w:ascii="Cambria Math" w:hAnsi="Cambria Math"/>
                  </w:rPr>
                  <m:t>=</m:t>
                </m:r>
                <m:r>
                  <w:rPr>
                    <w:rFonts w:ascii="Cambria Math" w:hAnsi="Cambria Math"/>
                  </w:rPr>
                  <m:t>a </m:t>
                </m:r>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B N S</m:t>
                </m:r>
                <m:r>
                  <m:rPr>
                    <m:sty m:val="p"/>
                  </m:rPr>
                  <w:rPr>
                    <w:rFonts w:ascii="Cambria Math" w:hAnsi="Cambria Math"/>
                  </w:rPr>
                  <m:t>-</m:t>
                </m:r>
                <m:r>
                  <w:rPr>
                    <w:rFonts w:ascii="Cambria Math" w:hAnsi="Cambria Math"/>
                  </w:rPr>
                  <m:t>m B</m:t>
                </m:r>
              </m:oMath>
            </m:oMathPara>
          </w:p>
        </w:tc>
        <w:tc>
          <w:tcPr>
            <w:tcW w:w="828" w:type="dxa"/>
          </w:tcPr>
          <w:p w14:paraId="19040573" w14:textId="79A217C7" w:rsidR="00600718" w:rsidRDefault="00600718" w:rsidP="00600718">
            <w:pPr>
              <w:pStyle w:val="BodyText"/>
              <w:jc w:val="right"/>
            </w:pPr>
            <w:r>
              <w:t>(S8a)</w:t>
            </w:r>
          </w:p>
        </w:tc>
      </w:tr>
      <w:bookmarkEnd w:id="24"/>
      <w:tr w:rsidR="00600718" w14:paraId="6D62B0A5" w14:textId="77777777" w:rsidTr="00600718">
        <w:tc>
          <w:tcPr>
            <w:tcW w:w="8748" w:type="dxa"/>
          </w:tcPr>
          <w:p w14:paraId="3ED31D91" w14:textId="2353EFDC" w:rsidR="00600718" w:rsidRDefault="00600718" w:rsidP="00600718">
            <w:pPr>
              <w:pStyle w:val="BodyText"/>
            </w:pPr>
            <m:oMathPara>
              <m:oMath>
                <m:r>
                  <w:rPr>
                    <w:rFonts w:ascii="Cambria Math" w:hAnsi="Cambria Math"/>
                  </w:rPr>
                  <m:t>n</m:t>
                </m:r>
                <m:sSub>
                  <m:sSubPr>
                    <m:ctrlPr>
                      <w:rPr>
                        <w:rFonts w:ascii="Cambria Math" w:hAnsi="Cambria Math"/>
                      </w:rPr>
                    </m:ctrlPr>
                  </m:sSubPr>
                  <m:e>
                    <m:r>
                      <w:rPr>
                        <w:rFonts w:ascii="Cambria Math" w:hAnsi="Cambria Math"/>
                      </w:rPr>
                      <m:t>z</m:t>
                    </m:r>
                  </m:e>
                  <m:sub>
                    <m:r>
                      <w:rPr>
                        <w:rFonts w:ascii="Cambria Math" w:hAnsi="Cambria Math"/>
                      </w:rPr>
                      <m:t>r</m:t>
                    </m:r>
                  </m:sub>
                </m:sSub>
                <m:r>
                  <w:rPr>
                    <w:rFonts w:ascii="Cambria Math" w:hAnsi="Cambria Math"/>
                  </w:rPr>
                  <m:t> </m:t>
                </m:r>
                <m:f>
                  <m:fPr>
                    <m:ctrlPr>
                      <w:rPr>
                        <w:rFonts w:ascii="Cambria Math" w:hAnsi="Cambria Math"/>
                      </w:rPr>
                    </m:ctrlPr>
                  </m:fPr>
                  <m:num>
                    <m:r>
                      <w:rPr>
                        <w:rFonts w:ascii="Cambria Math" w:hAnsi="Cambria Math"/>
                      </w:rPr>
                      <m:t>dS</m:t>
                    </m:r>
                  </m:num>
                  <m:den>
                    <m:r>
                      <w:rPr>
                        <w:rFonts w:ascii="Cambria Math" w:hAnsi="Cambria Math"/>
                      </w:rPr>
                      <m:t>dt</m:t>
                    </m:r>
                  </m:den>
                </m:f>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B S</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sSup>
                  <m:sSupPr>
                    <m:ctrlPr>
                      <w:rPr>
                        <w:rFonts w:ascii="Cambria Math" w:hAnsi="Cambria Math"/>
                      </w:rPr>
                    </m:ctrlPr>
                  </m:sSupPr>
                  <m:e>
                    <m:r>
                      <w:rPr>
                        <w:rFonts w:ascii="Cambria Math" w:hAnsi="Cambria Math"/>
                      </w:rPr>
                      <m:t>S</m:t>
                    </m:r>
                  </m:e>
                  <m:sup>
                    <m:r>
                      <w:rPr>
                        <w:rFonts w:ascii="Cambria Math" w:hAnsi="Cambria Math"/>
                      </w:rPr>
                      <m:t>γ</m:t>
                    </m:r>
                  </m:sup>
                </m:sSup>
              </m:oMath>
            </m:oMathPara>
          </w:p>
        </w:tc>
        <w:tc>
          <w:tcPr>
            <w:tcW w:w="828" w:type="dxa"/>
          </w:tcPr>
          <w:p w14:paraId="442227EE" w14:textId="408F4BD1" w:rsidR="00600718" w:rsidRDefault="00600718" w:rsidP="00600718">
            <w:pPr>
              <w:pStyle w:val="BodyText"/>
              <w:jc w:val="right"/>
            </w:pPr>
            <w:r>
              <w:t>(S8b)</w:t>
            </w:r>
          </w:p>
        </w:tc>
      </w:tr>
      <w:bookmarkStart w:id="25" w:name="eqS8c" w:colFirst="0" w:colLast="0"/>
      <w:tr w:rsidR="00600718" w14:paraId="65E373D4" w14:textId="77777777" w:rsidTr="00600718">
        <w:tc>
          <w:tcPr>
            <w:tcW w:w="8748" w:type="dxa"/>
          </w:tcPr>
          <w:p w14:paraId="7E1FAC50" w14:textId="01A02F37" w:rsidR="00600718" w:rsidRDefault="00600718" w:rsidP="00600718">
            <w:pPr>
              <w:pStyle w:val="BodyText"/>
            </w:pPr>
            <m:oMathPara>
              <m:oMath>
                <m:f>
                  <m:fPr>
                    <m:ctrlPr>
                      <w:rPr>
                        <w:rFonts w:ascii="Cambria Math" w:hAnsi="Cambria Math"/>
                      </w:rPr>
                    </m:ctrlPr>
                  </m:fPr>
                  <m:num>
                    <m:r>
                      <w:rPr>
                        <w:rFonts w:ascii="Cambria Math" w:hAnsi="Cambria Math"/>
                      </w:rPr>
                      <m:t>dN</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in</m:t>
                    </m:r>
                  </m:sub>
                </m:sSub>
                <m:r>
                  <m:rPr>
                    <m:sty m:val="p"/>
                  </m:rPr>
                  <w:rPr>
                    <w:rFonts w:ascii="Cambria Math" w:hAnsi="Cambria Math"/>
                  </w:rPr>
                  <m:t>-</m:t>
                </m:r>
                <m:r>
                  <w:rPr>
                    <w:rFonts w:ascii="Cambria Math" w:hAnsi="Cambria Math"/>
                  </w:rPr>
                  <m:t>μNB</m:t>
                </m:r>
                <m:r>
                  <m:rPr>
                    <m:sty m:val="p"/>
                  </m:rPr>
                  <w:rPr>
                    <w:rFonts w:ascii="Cambria Math" w:hAnsi="Cambria Math"/>
                  </w:rPr>
                  <m:t>-</m:t>
                </m:r>
                <m:r>
                  <w:rPr>
                    <w:rFonts w:ascii="Cambria Math" w:hAnsi="Cambria Math"/>
                  </w:rPr>
                  <m:t>νN</m:t>
                </m:r>
                <m:r>
                  <w:rPr>
                    <w:rFonts w:ascii="Cambria Math" w:hAnsi="Cambria Math"/>
                  </w:rPr>
                  <m:t>.</m:t>
                </m:r>
              </m:oMath>
            </m:oMathPara>
          </w:p>
        </w:tc>
        <w:tc>
          <w:tcPr>
            <w:tcW w:w="828" w:type="dxa"/>
          </w:tcPr>
          <w:p w14:paraId="20227B5D" w14:textId="13C7AE3C" w:rsidR="00600718" w:rsidRDefault="00600718" w:rsidP="00600718">
            <w:pPr>
              <w:pStyle w:val="BodyText"/>
              <w:jc w:val="right"/>
            </w:pPr>
            <w:r>
              <w:t>(S8c)</w:t>
            </w:r>
          </w:p>
        </w:tc>
      </w:tr>
    </w:tbl>
    <w:bookmarkEnd w:id="25"/>
    <w:p w14:paraId="0A93839A" w14:textId="2A941323" w:rsidR="0019210D" w:rsidRDefault="00000000" w:rsidP="00600718">
      <w:pPr>
        <w:pStyle w:val="FirstParagraph"/>
        <w:jc w:val="both"/>
      </w:pPr>
      <w:r>
        <w:t xml:space="preserve">The first equation, </w:t>
      </w:r>
      <w:r w:rsidR="00600718">
        <w:t>(</w:t>
      </w:r>
      <w:hyperlink w:anchor="eqS8a" w:history="1">
        <w:r w:rsidR="00600718" w:rsidRPr="00600718">
          <w:rPr>
            <w:rStyle w:val="Hyperlink"/>
          </w:rPr>
          <w:t>S8a</w:t>
        </w:r>
      </w:hyperlink>
      <w:r w:rsidR="00600718">
        <w:t>)</w:t>
      </w:r>
      <w:r>
        <w:t xml:space="preserve">, describes the herb biomass dynamics, where we have replaced our original logistic term </w:t>
      </w:r>
      <m:oMath>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r>
          <w:rPr>
            <w:rFonts w:ascii="Cambria Math" w:hAnsi="Cambria Math"/>
          </w:rPr>
          <m:t>B</m:t>
        </m:r>
        <m:r>
          <m:rPr>
            <m:sty m:val="p"/>
          </m:rPr>
          <w:rPr>
            <w:rFonts w:ascii="Cambria Math" w:hAnsi="Cambria Math"/>
          </w:rPr>
          <m:t>)</m:t>
        </m:r>
      </m:oMath>
      <w:r>
        <w:t xml:space="preserve"> with a nutrient term, </w:t>
      </w:r>
      <m:oMath>
        <m:r>
          <w:rPr>
            <w:rFonts w:ascii="Cambria Math" w:hAnsi="Cambria Math"/>
          </w:rPr>
          <m:t>N</m:t>
        </m:r>
      </m:oMath>
      <w:r>
        <w:t xml:space="preserve">. Equation </w:t>
      </w:r>
      <w:r w:rsidR="00600718">
        <w:t>(</w:t>
      </w:r>
      <w:hyperlink w:anchor="eqS8c" w:history="1">
        <w:r w:rsidR="00600718" w:rsidRPr="00600718">
          <w:rPr>
            <w:rStyle w:val="Hyperlink"/>
          </w:rPr>
          <w:t>S8c</w:t>
        </w:r>
      </w:hyperlink>
      <w:r w:rsidR="00600718">
        <w:t xml:space="preserve">) </w:t>
      </w:r>
      <w:r>
        <w:t xml:space="preserve">describes the nutrient’s dynamics, where it is introduced at a constant rate </w:t>
      </w:r>
      <m:oMath>
        <m:sSub>
          <m:sSubPr>
            <m:ctrlPr>
              <w:rPr>
                <w:rFonts w:ascii="Cambria Math" w:hAnsi="Cambria Math"/>
              </w:rPr>
            </m:ctrlPr>
          </m:sSubPr>
          <m:e>
            <m:r>
              <w:rPr>
                <w:rFonts w:ascii="Cambria Math" w:hAnsi="Cambria Math"/>
              </w:rPr>
              <m:t>N</m:t>
            </m:r>
          </m:e>
          <m:sub>
            <m:r>
              <m:rPr>
                <m:nor/>
              </m:rPr>
              <m:t>in</m:t>
            </m:r>
          </m:sub>
        </m:sSub>
      </m:oMath>
      <w:r>
        <w:t xml:space="preserve">, consumed by herbs (at a rate proportional to both herb biomass and nutrient availability, </w:t>
      </w:r>
      <m:oMath>
        <m:r>
          <w:rPr>
            <w:rFonts w:ascii="Cambria Math" w:hAnsi="Cambria Math"/>
          </w:rPr>
          <m:t>μNB</m:t>
        </m:r>
      </m:oMath>
      <w:r>
        <w:t xml:space="preserve">), and lost from the system at a rate proportional to its own abundance, </w:t>
      </w:r>
      <m:oMath>
        <m:r>
          <w:rPr>
            <w:rFonts w:ascii="Cambria Math" w:hAnsi="Cambria Math"/>
          </w:rPr>
          <m:t>νN</m:t>
        </m:r>
      </m:oMath>
      <w:r>
        <w:t>.</w:t>
      </w:r>
    </w:p>
    <w:p w14:paraId="582C5D98" w14:textId="77777777" w:rsidR="0019210D" w:rsidRDefault="00000000" w:rsidP="00600718">
      <w:pPr>
        <w:pStyle w:val="BodyText"/>
        <w:jc w:val="both"/>
      </w:pPr>
      <w:r>
        <w:t>We now assume that the nutrient dynamics are much faster than those of the herb biomass (</w:t>
      </w:r>
      <m:oMath>
        <m:r>
          <w:rPr>
            <w:rFonts w:ascii="Cambria Math" w:hAnsi="Cambria Math"/>
          </w:rPr>
          <m:t>B</m:t>
        </m:r>
      </m:oMath>
      <w:r>
        <w:t>) and soil water (</w:t>
      </w:r>
      <m:oMath>
        <m:r>
          <w:rPr>
            <w:rFonts w:ascii="Cambria Math" w:hAnsi="Cambria Math"/>
          </w:rPr>
          <m:t>S</m:t>
        </m:r>
      </m:oMath>
      <w:r>
        <w:t>). We can therefore perform an adiabatic elimination by setting the rate of change of the nutrient to zero to find its quasi-</w:t>
      </w:r>
      <w:proofErr w:type="gramStart"/>
      <w:r>
        <w:t>steady-state</w:t>
      </w:r>
      <w:proofErr w:type="gramEnd"/>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0"/>
        <w:gridCol w:w="756"/>
      </w:tblGrid>
      <w:tr w:rsidR="00600718" w14:paraId="6001FC58" w14:textId="77777777" w:rsidTr="00600718">
        <w:tc>
          <w:tcPr>
            <w:tcW w:w="8838" w:type="dxa"/>
          </w:tcPr>
          <w:p w14:paraId="746B073D" w14:textId="09575ED3" w:rsidR="00600718" w:rsidRDefault="00600718" w:rsidP="00600718">
            <w:pPr>
              <w:pStyle w:val="BodyText"/>
              <w:jc w:val="both"/>
            </w:pPr>
            <m:oMathPara>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in</m:t>
                    </m:r>
                  </m:sub>
                </m:sSub>
                <m:r>
                  <m:rPr>
                    <m:sty m:val="p"/>
                  </m:rPr>
                  <w:rPr>
                    <w:rFonts w:ascii="Cambria Math" w:hAnsi="Cambria Math"/>
                  </w:rPr>
                  <m:t>-</m:t>
                </m:r>
                <m:r>
                  <w:rPr>
                    <w:rFonts w:ascii="Cambria Math" w:hAnsi="Cambria Math"/>
                  </w:rPr>
                  <m:t>μNB</m:t>
                </m:r>
                <m:r>
                  <m:rPr>
                    <m:sty m:val="p"/>
                  </m:rPr>
                  <w:rPr>
                    <w:rFonts w:ascii="Cambria Math" w:hAnsi="Cambria Math"/>
                  </w:rPr>
                  <m:t>-</m:t>
                </m:r>
                <m:r>
                  <w:rPr>
                    <w:rFonts w:ascii="Cambria Math" w:hAnsi="Cambria Math"/>
                  </w:rPr>
                  <m:t>νN</m:t>
                </m:r>
              </m:oMath>
            </m:oMathPara>
          </w:p>
        </w:tc>
        <w:tc>
          <w:tcPr>
            <w:tcW w:w="738" w:type="dxa"/>
          </w:tcPr>
          <w:p w14:paraId="4901AACB" w14:textId="7746F3D2" w:rsidR="00600718" w:rsidRDefault="00600718" w:rsidP="00600718">
            <w:pPr>
              <w:pStyle w:val="BodyText"/>
              <w:jc w:val="right"/>
            </w:pPr>
            <w:r>
              <w:t>(S9a)</w:t>
            </w:r>
          </w:p>
        </w:tc>
      </w:tr>
      <w:tr w:rsidR="00600718" w14:paraId="260F931E" w14:textId="77777777" w:rsidTr="00600718">
        <w:tc>
          <w:tcPr>
            <w:tcW w:w="8838" w:type="dxa"/>
          </w:tcPr>
          <w:p w14:paraId="473AAA90" w14:textId="77DD7CFF" w:rsidR="00600718" w:rsidRDefault="00600718" w:rsidP="00600718">
            <w:pPr>
              <w:pStyle w:val="BodyText"/>
              <w:jc w:val="both"/>
            </w:pPr>
            <m:oMathPara>
              <m:oMath>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in</m:t>
                        </m:r>
                      </m:sub>
                    </m:sSub>
                  </m:num>
                  <m:den>
                    <m:r>
                      <w:rPr>
                        <w:rFonts w:ascii="Cambria Math" w:hAnsi="Cambria Math"/>
                      </w:rPr>
                      <m:t>ν</m:t>
                    </m:r>
                  </m:den>
                </m:f>
                <m:r>
                  <w:rPr>
                    <w:rFonts w:ascii="Cambria Math" w:hAnsi="Cambria Math"/>
                  </w:rPr>
                  <m:t> </m:t>
                </m:r>
                <m:f>
                  <m:fPr>
                    <m:ctrlPr>
                      <w:rPr>
                        <w:rFonts w:ascii="Cambria Math" w:hAnsi="Cambria Math"/>
                      </w:rPr>
                    </m:ctrlPr>
                  </m:fPr>
                  <m:num>
                    <m:r>
                      <w:rPr>
                        <w:rFonts w:ascii="Cambria Math" w:hAnsi="Cambria Math"/>
                      </w:rPr>
                      <m:t>1</m:t>
                    </m:r>
                  </m:num>
                  <m:den>
                    <m:f>
                      <m:fPr>
                        <m:ctrlPr>
                          <w:rPr>
                            <w:rFonts w:ascii="Cambria Math" w:hAnsi="Cambria Math"/>
                          </w:rPr>
                        </m:ctrlPr>
                      </m:fPr>
                      <m:num>
                        <m:r>
                          <w:rPr>
                            <w:rFonts w:ascii="Cambria Math" w:hAnsi="Cambria Math"/>
                          </w:rPr>
                          <m:t>μ</m:t>
                        </m:r>
                      </m:num>
                      <m:den>
                        <m:r>
                          <w:rPr>
                            <w:rFonts w:ascii="Cambria Math" w:hAnsi="Cambria Math"/>
                          </w:rPr>
                          <m:t>ν</m:t>
                        </m:r>
                      </m:den>
                    </m:f>
                    <m:r>
                      <w:rPr>
                        <w:rFonts w:ascii="Cambria Math" w:hAnsi="Cambria Math"/>
                      </w:rPr>
                      <m:t>B</m:t>
                    </m:r>
                    <m:r>
                      <m:rPr>
                        <m:sty m:val="p"/>
                      </m:rPr>
                      <w:rPr>
                        <w:rFonts w:ascii="Cambria Math" w:hAnsi="Cambria Math"/>
                      </w:rPr>
                      <m:t>+</m:t>
                    </m:r>
                    <m:r>
                      <w:rPr>
                        <w:rFonts w:ascii="Cambria Math" w:hAnsi="Cambria Math"/>
                      </w:rPr>
                      <m:t>1</m:t>
                    </m:r>
                  </m:den>
                </m:f>
              </m:oMath>
            </m:oMathPara>
          </w:p>
        </w:tc>
        <w:tc>
          <w:tcPr>
            <w:tcW w:w="738" w:type="dxa"/>
          </w:tcPr>
          <w:p w14:paraId="30AE340D" w14:textId="4B294009" w:rsidR="00600718" w:rsidRDefault="00600718" w:rsidP="00600718">
            <w:pPr>
              <w:pStyle w:val="BodyText"/>
              <w:jc w:val="right"/>
            </w:pPr>
            <w:r>
              <w:t>(S9b)</w:t>
            </w:r>
          </w:p>
        </w:tc>
      </w:tr>
    </w:tbl>
    <w:p w14:paraId="0CC8652F" w14:textId="77777777" w:rsidR="00600718" w:rsidRDefault="00600718" w:rsidP="00600718">
      <w:pPr>
        <w:pStyle w:val="BodyText"/>
        <w:jc w:val="both"/>
      </w:pPr>
    </w:p>
    <w:p w14:paraId="390F8854" w14:textId="2B980262" w:rsidR="0019210D" w:rsidRDefault="0019210D">
      <w:pPr>
        <w:pStyle w:val="BodyText"/>
      </w:pPr>
    </w:p>
    <w:p w14:paraId="23EDDEE0" w14:textId="78D0FE66" w:rsidR="0019210D" w:rsidRDefault="00000000" w:rsidP="00FD6128">
      <w:pPr>
        <w:pStyle w:val="FirstParagraph"/>
        <w:jc w:val="both"/>
      </w:pPr>
      <w:r>
        <w:t xml:space="preserve">where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xml:space="preserve"> denotes the quasi-steady-state nutrient concentration. Substituting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xml:space="preserve"> into the herb biomass equation</w:t>
      </w:r>
      <w:r w:rsidR="00FD6128">
        <w:t xml:space="preserve"> (</w:t>
      </w:r>
      <w:hyperlink w:anchor="eqS8a" w:history="1">
        <w:r w:rsidR="00FD6128" w:rsidRPr="00FD6128">
          <w:rPr>
            <w:rStyle w:val="Hyperlink"/>
          </w:rPr>
          <w:t>S8a</w:t>
        </w:r>
      </w:hyperlink>
      <w:r w:rsidR="00FD6128">
        <w:t>)</w:t>
      </w:r>
      <w:r>
        <w:t xml:space="preserve"> gives: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7"/>
        <w:gridCol w:w="749"/>
      </w:tblGrid>
      <w:tr w:rsidR="00FD6128" w14:paraId="0FE54D2F" w14:textId="77777777" w:rsidTr="00FD6128">
        <w:trPr>
          <w:trHeight w:val="630"/>
        </w:trPr>
        <w:tc>
          <w:tcPr>
            <w:tcW w:w="8829" w:type="dxa"/>
          </w:tcPr>
          <w:p w14:paraId="7C9F6219" w14:textId="71645CB7" w:rsidR="00FD6128" w:rsidRDefault="00FD6128" w:rsidP="00FD6128">
            <w:pPr>
              <w:pStyle w:val="BodyText"/>
            </w:pPr>
            <m:oMathPara>
              <m:oMath>
                <m:f>
                  <m:fPr>
                    <m:ctrlPr>
                      <w:rPr>
                        <w:rFonts w:ascii="Cambria Math" w:hAnsi="Cambria Math"/>
                      </w:rPr>
                    </m:ctrlPr>
                  </m:fPr>
                  <m:num>
                    <m:r>
                      <w:rPr>
                        <w:rFonts w:ascii="Cambria Math" w:hAnsi="Cambria Math"/>
                      </w:rPr>
                      <m:t>dB</m:t>
                    </m:r>
                  </m:num>
                  <m:den>
                    <m:r>
                      <w:rPr>
                        <w:rFonts w:ascii="Cambria Math" w:hAnsi="Cambria Math"/>
                      </w:rPr>
                      <m:t>dt</m:t>
                    </m:r>
                  </m:den>
                </m:f>
                <m:r>
                  <m:rPr>
                    <m:sty m:val="p"/>
                  </m:rPr>
                  <w:rPr>
                    <w:rFonts w:ascii="Cambria Math" w:hAnsi="Cambria Math"/>
                  </w:rPr>
                  <m:t>=</m:t>
                </m:r>
                <m:r>
                  <w:rPr>
                    <w:rFonts w:ascii="Cambria Math" w:hAnsi="Cambria Math"/>
                  </w:rPr>
                  <m:t>a </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in</m:t>
                        </m:r>
                      </m:sub>
                    </m:sSub>
                  </m:num>
                  <m:den>
                    <m:r>
                      <w:rPr>
                        <w:rFonts w:ascii="Cambria Math" w:hAnsi="Cambria Math"/>
                      </w:rPr>
                      <m:t>ν</m:t>
                    </m:r>
                  </m:den>
                </m:f>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B</m:t>
                </m:r>
                <m:d>
                  <m:dPr>
                    <m:ctrlPr>
                      <w:rPr>
                        <w:rFonts w:ascii="Cambria Math" w:hAnsi="Cambria Math"/>
                      </w:rPr>
                    </m:ctrlPr>
                  </m:dPr>
                  <m:e>
                    <m:f>
                      <m:fPr>
                        <m:ctrlPr>
                          <w:rPr>
                            <w:rFonts w:ascii="Cambria Math" w:hAnsi="Cambria Math"/>
                          </w:rPr>
                        </m:ctrlPr>
                      </m:fPr>
                      <m:num>
                        <m:r>
                          <w:rPr>
                            <w:rFonts w:ascii="Cambria Math" w:hAnsi="Cambria Math"/>
                          </w:rPr>
                          <m:t>1</m:t>
                        </m:r>
                      </m:num>
                      <m:den>
                        <m:f>
                          <m:fPr>
                            <m:ctrlPr>
                              <w:rPr>
                                <w:rFonts w:ascii="Cambria Math" w:hAnsi="Cambria Math"/>
                              </w:rPr>
                            </m:ctrlPr>
                          </m:fPr>
                          <m:num>
                            <m:r>
                              <w:rPr>
                                <w:rFonts w:ascii="Cambria Math" w:hAnsi="Cambria Math"/>
                              </w:rPr>
                              <m:t>μ</m:t>
                            </m:r>
                          </m:num>
                          <m:den>
                            <m:r>
                              <w:rPr>
                                <w:rFonts w:ascii="Cambria Math" w:hAnsi="Cambria Math"/>
                              </w:rPr>
                              <m:t>ν</m:t>
                            </m:r>
                          </m:den>
                        </m:f>
                        <m:r>
                          <w:rPr>
                            <w:rFonts w:ascii="Cambria Math" w:hAnsi="Cambria Math"/>
                          </w:rPr>
                          <m:t>B</m:t>
                        </m:r>
                        <m:r>
                          <m:rPr>
                            <m:sty m:val="p"/>
                          </m:rPr>
                          <w:rPr>
                            <w:rFonts w:ascii="Cambria Math" w:hAnsi="Cambria Math"/>
                          </w:rPr>
                          <m:t>+</m:t>
                        </m:r>
                        <m:r>
                          <w:rPr>
                            <w:rFonts w:ascii="Cambria Math" w:hAnsi="Cambria Math"/>
                          </w:rPr>
                          <m:t>1</m:t>
                        </m:r>
                      </m:den>
                    </m:f>
                  </m:e>
                </m:d>
                <m:r>
                  <w:rPr>
                    <w:rFonts w:ascii="Cambria Math" w:hAnsi="Cambria Math"/>
                  </w:rPr>
                  <m:t>S</m:t>
                </m:r>
                <m:r>
                  <m:rPr>
                    <m:sty m:val="p"/>
                  </m:rPr>
                  <w:rPr>
                    <w:rFonts w:ascii="Cambria Math" w:hAnsi="Cambria Math"/>
                  </w:rPr>
                  <m:t>-</m:t>
                </m:r>
                <m:r>
                  <w:rPr>
                    <w:rFonts w:ascii="Cambria Math" w:hAnsi="Cambria Math"/>
                  </w:rPr>
                  <m:t>m B</m:t>
                </m:r>
              </m:oMath>
            </m:oMathPara>
          </w:p>
        </w:tc>
        <w:tc>
          <w:tcPr>
            <w:tcW w:w="747" w:type="dxa"/>
          </w:tcPr>
          <w:p w14:paraId="09835F22" w14:textId="02526492" w:rsidR="00FD6128" w:rsidRDefault="00FD6128" w:rsidP="00FD6128">
            <w:pPr>
              <w:pStyle w:val="BodyText"/>
              <w:jc w:val="right"/>
            </w:pPr>
            <w:r>
              <w:t xml:space="preserve">                                                                                           (S10)       </w:t>
            </w:r>
          </w:p>
        </w:tc>
      </w:tr>
    </w:tbl>
    <w:p w14:paraId="4ED0FFBE" w14:textId="77777777" w:rsidR="00FD6128" w:rsidRPr="00FD6128" w:rsidRDefault="00FD6128" w:rsidP="00FD6128">
      <w:pPr>
        <w:pStyle w:val="BodyText"/>
      </w:pPr>
    </w:p>
    <w:p w14:paraId="512197CF" w14:textId="77777777" w:rsidR="0019210D" w:rsidRDefault="00000000" w:rsidP="00FD6128">
      <w:pPr>
        <w:pStyle w:val="FirstParagraph"/>
        <w:jc w:val="both"/>
      </w:pPr>
      <w:r>
        <w:t xml:space="preserve">The term in the parenthesis acts as a saturating function of </w:t>
      </w:r>
      <m:oMath>
        <m:r>
          <w:rPr>
            <w:rFonts w:ascii="Cambria Math" w:hAnsi="Cambria Math"/>
          </w:rPr>
          <m:t>B</m:t>
        </m:r>
      </m:oMath>
      <w:r>
        <w:t>. When herb biomass is low, the term is close to one, and as biomass increases, the function decreases, effectively slowing the growth rate. This plays the same role as the logistic term we assumed in the main text.</w:t>
      </w:r>
    </w:p>
    <w:p w14:paraId="10C9CF05" w14:textId="77777777" w:rsidR="0019210D" w:rsidRDefault="00000000" w:rsidP="00FD6128">
      <w:pPr>
        <w:pStyle w:val="BodyText"/>
        <w:jc w:val="both"/>
      </w:pPr>
      <w:r>
        <w:t>To derive the exact logistic form, we can make an additional assumption. If we assume that the herbs are highly inefficient at consuming the nutrient relative to its decay rate (</w:t>
      </w:r>
      <m:oMath>
        <m:r>
          <w:rPr>
            <w:rFonts w:ascii="Cambria Math" w:hAnsi="Cambria Math"/>
          </w:rPr>
          <m:t>μ</m:t>
        </m:r>
        <m:r>
          <m:rPr>
            <m:sty m:val="p"/>
          </m:rPr>
          <w:rPr>
            <w:rFonts w:ascii="Cambria Math" w:hAnsi="Cambria Math"/>
          </w:rPr>
          <m:t>≪</m:t>
        </m:r>
        <m:r>
          <w:rPr>
            <w:rFonts w:ascii="Cambria Math" w:hAnsi="Cambria Math"/>
          </w:rPr>
          <m:t>ν</m:t>
        </m:r>
      </m:oMath>
      <w:r>
        <w:t>), we can use a first-order Taylor series expansion: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7"/>
        <w:gridCol w:w="749"/>
      </w:tblGrid>
      <w:tr w:rsidR="00FD6128" w14:paraId="747681A3" w14:textId="77777777" w:rsidTr="00FD6128">
        <w:tc>
          <w:tcPr>
            <w:tcW w:w="8829" w:type="dxa"/>
          </w:tcPr>
          <w:p w14:paraId="2A526EC7" w14:textId="703209F8" w:rsidR="00FD6128" w:rsidRDefault="00FD6128" w:rsidP="00FD6128">
            <w:pPr>
              <w:pStyle w:val="BodyText"/>
            </w:pPr>
            <m:oMathPara>
              <m:oMath>
                <m:f>
                  <m:fPr>
                    <m:ctrlPr>
                      <w:rPr>
                        <w:rFonts w:ascii="Cambria Math" w:hAnsi="Cambria Math"/>
                      </w:rPr>
                    </m:ctrlPr>
                  </m:fPr>
                  <m:num>
                    <m:r>
                      <w:rPr>
                        <w:rFonts w:ascii="Cambria Math" w:hAnsi="Cambria Math"/>
                      </w:rPr>
                      <m:t>1</m:t>
                    </m:r>
                  </m:num>
                  <m:den>
                    <m:f>
                      <m:fPr>
                        <m:ctrlPr>
                          <w:rPr>
                            <w:rFonts w:ascii="Cambria Math" w:hAnsi="Cambria Math"/>
                          </w:rPr>
                        </m:ctrlPr>
                      </m:fPr>
                      <m:num>
                        <m:r>
                          <w:rPr>
                            <w:rFonts w:ascii="Cambria Math" w:hAnsi="Cambria Math"/>
                          </w:rPr>
                          <m:t>μ</m:t>
                        </m:r>
                      </m:num>
                      <m:den>
                        <m:r>
                          <w:rPr>
                            <w:rFonts w:ascii="Cambria Math" w:hAnsi="Cambria Math"/>
                          </w:rPr>
                          <m:t>ν</m:t>
                        </m:r>
                      </m:den>
                    </m:f>
                    <m:r>
                      <w:rPr>
                        <w:rFonts w:ascii="Cambria Math" w:hAnsi="Cambria Math"/>
                      </w:rPr>
                      <m:t>B</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ν</m:t>
                    </m:r>
                  </m:den>
                </m:f>
                <m:r>
                  <w:rPr>
                    <w:rFonts w:ascii="Cambria Math" w:hAnsi="Cambria Math"/>
                  </w:rPr>
                  <m:t>B</m:t>
                </m:r>
                <m:r>
                  <m:rPr>
                    <m:sty m:val="p"/>
                  </m:rPr>
                  <w:rPr>
                    <w:rFonts w:ascii="Cambria Math" w:hAnsi="Cambria Math"/>
                  </w:rPr>
                  <m:t>.</m:t>
                </m:r>
              </m:oMath>
            </m:oMathPara>
          </w:p>
        </w:tc>
        <w:tc>
          <w:tcPr>
            <w:tcW w:w="747" w:type="dxa"/>
          </w:tcPr>
          <w:p w14:paraId="377090F9" w14:textId="5FB572FE" w:rsidR="00FD6128" w:rsidRDefault="00FD6128" w:rsidP="00FD6128">
            <w:pPr>
              <w:pStyle w:val="BodyText"/>
              <w:jc w:val="right"/>
            </w:pPr>
            <w:r>
              <w:t xml:space="preserve">                                                                                                             (S11)</w:t>
            </w:r>
          </w:p>
        </w:tc>
      </w:tr>
    </w:tbl>
    <w:p w14:paraId="0F0AD21D" w14:textId="77777777" w:rsidR="0019210D" w:rsidRDefault="00000000" w:rsidP="00FD6128">
      <w:pPr>
        <w:pStyle w:val="FirstParagraph"/>
        <w:jc w:val="both"/>
      </w:pPr>
      <w:r>
        <w:t>Substituting this approximation into the herb biomass equation now reveals a classic logistic term: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7"/>
        <w:gridCol w:w="749"/>
      </w:tblGrid>
      <w:tr w:rsidR="00FD6128" w14:paraId="6BB9E14B" w14:textId="77777777" w:rsidTr="00FD6128">
        <w:tc>
          <w:tcPr>
            <w:tcW w:w="9288" w:type="dxa"/>
          </w:tcPr>
          <w:p w14:paraId="18E98C07" w14:textId="3423B687" w:rsidR="00FD6128" w:rsidRDefault="00FD6128" w:rsidP="00FD6128">
            <w:pPr>
              <w:pStyle w:val="BodyText"/>
            </w:pPr>
            <m:oMathPara>
              <m:oMath>
                <m:f>
                  <m:fPr>
                    <m:ctrlPr>
                      <w:rPr>
                        <w:rFonts w:ascii="Cambria Math" w:hAnsi="Cambria Math"/>
                      </w:rPr>
                    </m:ctrlPr>
                  </m:fPr>
                  <m:num>
                    <m:r>
                      <w:rPr>
                        <w:rFonts w:ascii="Cambria Math" w:hAnsi="Cambria Math"/>
                      </w:rPr>
                      <m:t>dB</m:t>
                    </m:r>
                  </m:num>
                  <m:den>
                    <m:r>
                      <w:rPr>
                        <w:rFonts w:ascii="Cambria Math" w:hAnsi="Cambria Math"/>
                      </w:rPr>
                      <m:t>dt</m:t>
                    </m:r>
                  </m:den>
                </m:f>
                <m:r>
                  <m:rPr>
                    <m:sty m:val="p"/>
                  </m:rPr>
                  <w:rPr>
                    <w:rFonts w:ascii="Cambria Math" w:hAnsi="Cambria Math"/>
                  </w:rPr>
                  <m:t>=</m:t>
                </m:r>
                <m:r>
                  <w:rPr>
                    <w:rFonts w:ascii="Cambria Math" w:hAnsi="Cambria Math"/>
                  </w:rPr>
                  <m:t>a </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in</m:t>
                        </m:r>
                      </m:sub>
                    </m:sSub>
                  </m:num>
                  <m:den>
                    <m:r>
                      <w:rPr>
                        <w:rFonts w:ascii="Cambria Math" w:hAnsi="Cambria Math"/>
                      </w:rPr>
                      <m:t>ν</m:t>
                    </m:r>
                  </m:den>
                </m:f>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B</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k</m:t>
                        </m:r>
                      </m:den>
                    </m:f>
                  </m:e>
                </m:d>
                <m:r>
                  <w:rPr>
                    <w:rFonts w:ascii="Cambria Math" w:hAnsi="Cambria Math"/>
                  </w:rPr>
                  <m:t>S</m:t>
                </m:r>
                <m:r>
                  <m:rPr>
                    <m:sty m:val="p"/>
                  </m:rPr>
                  <w:rPr>
                    <w:rFonts w:ascii="Cambria Math" w:hAnsi="Cambria Math"/>
                  </w:rPr>
                  <m:t>-</m:t>
                </m:r>
                <m:r>
                  <w:rPr>
                    <w:rFonts w:ascii="Cambria Math" w:hAnsi="Cambria Math"/>
                  </w:rPr>
                  <m:t>m B</m:t>
                </m:r>
              </m:oMath>
            </m:oMathPara>
          </w:p>
        </w:tc>
        <w:tc>
          <w:tcPr>
            <w:tcW w:w="288" w:type="dxa"/>
          </w:tcPr>
          <w:p w14:paraId="52ADAC5A" w14:textId="52DFF7F9" w:rsidR="00FD6128" w:rsidRDefault="00FD6128" w:rsidP="00FD6128">
            <w:pPr>
              <w:pStyle w:val="BodyText"/>
              <w:jc w:val="right"/>
            </w:pPr>
            <w:r>
              <w:t>(S12)</w:t>
            </w:r>
          </w:p>
        </w:tc>
      </w:tr>
    </w:tbl>
    <w:p w14:paraId="750AC62E" w14:textId="54B42B20" w:rsidR="0019210D" w:rsidRDefault="00000000" w:rsidP="00FD6128">
      <w:pPr>
        <w:pStyle w:val="FirstParagraph"/>
        <w:jc w:val="both"/>
      </w:pPr>
      <w:r>
        <w:t xml:space="preserve">where the carrying capacity can be identified with </w:t>
      </w:r>
      <m:oMath>
        <m:r>
          <w:rPr>
            <w:rFonts w:ascii="Cambria Math" w:hAnsi="Cambria Math"/>
          </w:rPr>
          <m:t>k</m:t>
        </m:r>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μ</m:t>
        </m:r>
      </m:oMath>
      <w:r>
        <w:t xml:space="preserve">. If the factor </w:t>
      </w:r>
      <m:oMath>
        <m:sSub>
          <m:sSubPr>
            <m:ctrlPr>
              <w:rPr>
                <w:rFonts w:ascii="Cambria Math" w:hAnsi="Cambria Math"/>
              </w:rPr>
            </m:ctrlPr>
          </m:sSubPr>
          <m:e>
            <m:r>
              <w:rPr>
                <w:rFonts w:ascii="Cambria Math" w:hAnsi="Cambria Math"/>
              </w:rPr>
              <m:t>N</m:t>
            </m:r>
          </m:e>
          <m:sub>
            <m:r>
              <m:rPr>
                <m:nor/>
              </m:rPr>
              <m:t>in</m:t>
            </m:r>
          </m:sub>
        </m:sSub>
        <m:r>
          <m:rPr>
            <m:sty m:val="p"/>
          </m:rPr>
          <w:rPr>
            <w:rFonts w:ascii="Cambria Math" w:hAnsi="Cambria Math"/>
          </w:rPr>
          <m:t>/</m:t>
        </m:r>
        <m:r>
          <w:rPr>
            <w:rFonts w:ascii="Cambria Math" w:hAnsi="Cambria Math"/>
          </w:rPr>
          <m:t>ν</m:t>
        </m:r>
      </m:oMath>
      <w:r>
        <w:t xml:space="preserve"> is then incorporated into </w:t>
      </w:r>
      <m:oMath>
        <m:r>
          <w:rPr>
            <w:rFonts w:ascii="Cambria Math" w:hAnsi="Cambria Math"/>
          </w:rPr>
          <m:t>a</m:t>
        </m:r>
      </m:oMath>
      <w:r>
        <w:t>, we get exactly Eq.</w:t>
      </w:r>
      <w:r w:rsidR="00FD6128">
        <w:t xml:space="preserve"> (1a) in the main text.</w:t>
      </w:r>
    </w:p>
    <w:p w14:paraId="3961B611" w14:textId="159650E6" w:rsidR="0019210D" w:rsidRDefault="00FD6128">
      <w:pPr>
        <w:pStyle w:val="Heading1"/>
      </w:pPr>
      <w:bookmarkStart w:id="26" w:name="sec:SI_tree_density"/>
      <w:bookmarkEnd w:id="23"/>
      <w:r>
        <w:t xml:space="preserve">S8 </w:t>
      </w:r>
      <w:r w:rsidR="00000000">
        <w:t>Tree density dependent on precipitation</w:t>
      </w:r>
    </w:p>
    <w:p w14:paraId="74927E78" w14:textId="15480718" w:rsidR="0019210D" w:rsidRDefault="00000000" w:rsidP="00FD6128">
      <w:pPr>
        <w:pStyle w:val="FirstParagraph"/>
        <w:jc w:val="both"/>
      </w:pPr>
      <w:r>
        <w:t xml:space="preserve">The arguments in Supplementary Section </w:t>
      </w:r>
      <w:hyperlink w:anchor="sec:SI_no_carrying_capacity">
        <w:r w:rsidR="00FD6128">
          <w:rPr>
            <w:rStyle w:val="Hyperlink"/>
          </w:rPr>
          <w:t>S1</w:t>
        </w:r>
      </w:hyperlink>
      <w:r>
        <w:t xml:space="preserve"> stated that there can be no SGH transition in the absence of a carrying capacity term for constant tree density. This picture changes if instead we allow for precipitation-dependent tree density (as observed in many systems). Higher precipitation supports greater tree density, which, in turn, exerts a stronger shading impact on herbaceous species. We consider here two distinct functional forms of </w:t>
      </w:r>
      <m:oMath>
        <m:r>
          <w:rPr>
            <w:rFonts w:ascii="Cambria Math" w:hAnsi="Cambria Math"/>
          </w:rPr>
          <m:t>d</m:t>
        </m:r>
        <m:r>
          <m:rPr>
            <m:sty m:val="p"/>
          </m:rPr>
          <w:rPr>
            <w:rFonts w:ascii="Cambria Math" w:hAnsi="Cambria Math"/>
          </w:rPr>
          <m:t>(</m:t>
        </m:r>
        <m:r>
          <w:rPr>
            <w:rFonts w:ascii="Cambria Math" w:hAnsi="Cambria Math"/>
          </w:rPr>
          <m:t>p</m:t>
        </m:r>
        <m:r>
          <m:rPr>
            <m:sty m:val="p"/>
          </m:rPr>
          <w:rPr>
            <w:rFonts w:ascii="Cambria Math" w:hAnsi="Cambria Math"/>
          </w:rPr>
          <m:t>)</m:t>
        </m:r>
      </m:oMath>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8"/>
        <w:gridCol w:w="918"/>
      </w:tblGrid>
      <w:tr w:rsidR="00FD6128" w14:paraId="64FDFCF2" w14:textId="77777777" w:rsidTr="00FD6128">
        <w:tc>
          <w:tcPr>
            <w:tcW w:w="8658" w:type="dxa"/>
          </w:tcPr>
          <w:p w14:paraId="0BE359DE" w14:textId="0A3AB5A6" w:rsidR="00FD6128" w:rsidRDefault="00FD6128" w:rsidP="00FD6128">
            <w:pPr>
              <w:pStyle w:val="BodyText"/>
            </w:pPr>
            <m:oMathPara>
              <m:oMath>
                <m:r>
                  <w:rPr>
                    <w:rFonts w:ascii="Cambria Math" w:hAnsi="Cambria Math"/>
                  </w:rPr>
                  <w:lastRenderedPageBreak/>
                  <m:t>d</m:t>
                </m:r>
                <m:r>
                  <m:rPr>
                    <m:sty m:val="p"/>
                  </m:rPr>
                  <w:rPr>
                    <w:rFonts w:ascii="Cambria Math" w:hAnsi="Cambria Math"/>
                  </w:rPr>
                  <m:t>(</m:t>
                </m:r>
                <m:r>
                  <w:rPr>
                    <w:rFonts w:ascii="Cambria Math" w:hAnsi="Cambria Math"/>
                  </w:rPr>
                  <m:t>p</m:t>
                </m:r>
                <m:r>
                  <m:rPr>
                    <m:sty m:val="p"/>
                  </m:rPr>
                  <w:rPr>
                    <w:rFonts w:ascii="Cambria Math" w:hAnsi="Cambria Math"/>
                  </w:rPr>
                  <m:t>)=min</m:t>
                </m:r>
                <m:d>
                  <m:dPr>
                    <m:ctrlPr>
                      <w:rPr>
                        <w:rFonts w:ascii="Cambria Math" w:hAnsi="Cambria Math"/>
                      </w:rPr>
                    </m:ctrlPr>
                  </m:dPr>
                  <m:e>
                    <m:f>
                      <m:fPr>
                        <m:ctrlPr>
                          <w:rPr>
                            <w:rFonts w:ascii="Cambria Math" w:hAnsi="Cambria Math"/>
                          </w:rPr>
                        </m:ctrlPr>
                      </m:fPr>
                      <m:num>
                        <m:r>
                          <w:rPr>
                            <w:rFonts w:ascii="Cambria Math" w:hAnsi="Cambria Math"/>
                          </w:rPr>
                          <m:t>p</m:t>
                        </m:r>
                      </m:num>
                      <m:den>
                        <m:r>
                          <w:rPr>
                            <w:rFonts w:ascii="Cambria Math" w:hAnsi="Cambria Math"/>
                          </w:rPr>
                          <m:t>1000</m:t>
                        </m:r>
                      </m:den>
                    </m:f>
                    <m:r>
                      <m:rPr>
                        <m:sty m:val="p"/>
                      </m:rPr>
                      <w:rPr>
                        <w:rFonts w:ascii="Cambria Math" w:hAnsi="Cambria Math"/>
                      </w:rPr>
                      <m:t>,</m:t>
                    </m:r>
                    <m:r>
                      <w:rPr>
                        <w:rFonts w:ascii="Cambria Math" w:hAnsi="Cambria Math"/>
                      </w:rPr>
                      <m:t>1</m:t>
                    </m:r>
                  </m:e>
                </m:d>
              </m:oMath>
            </m:oMathPara>
          </w:p>
        </w:tc>
        <w:tc>
          <w:tcPr>
            <w:tcW w:w="918" w:type="dxa"/>
          </w:tcPr>
          <w:p w14:paraId="2BFB5BD0" w14:textId="367F6292" w:rsidR="00FD6128" w:rsidRDefault="00FD6128" w:rsidP="00FD6128">
            <w:pPr>
              <w:pStyle w:val="BodyText"/>
              <w:jc w:val="right"/>
            </w:pPr>
            <w:r>
              <w:t>(S13a)</w:t>
            </w:r>
          </w:p>
        </w:tc>
      </w:tr>
      <w:tr w:rsidR="00FD6128" w14:paraId="6BAB0A25" w14:textId="77777777" w:rsidTr="00FD6128">
        <w:tc>
          <w:tcPr>
            <w:tcW w:w="8658" w:type="dxa"/>
          </w:tcPr>
          <w:p w14:paraId="7EDDCD91" w14:textId="5881E4FD" w:rsidR="00FD6128" w:rsidRDefault="00FD6128" w:rsidP="00FD6128">
            <w:pPr>
              <w:pStyle w:val="BodyText"/>
            </w:pPr>
            <m:oMathPara>
              <m:oMath>
                <m:r>
                  <w:rPr>
                    <w:rFonts w:ascii="Cambria Math" w:hAnsi="Cambria Math"/>
                  </w:rPr>
                  <m:t>d</m:t>
                </m:r>
                <m:r>
                  <m:rPr>
                    <m:sty m:val="p"/>
                  </m:rPr>
                  <w:rPr>
                    <w:rFonts w:ascii="Cambria Math" w:hAnsi="Cambria Math"/>
                  </w:rPr>
                  <m:t>(</m:t>
                </m:r>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300</m:t>
                    </m:r>
                    <m:r>
                      <m:rPr>
                        <m:sty m:val="p"/>
                      </m:rPr>
                      <w:rPr>
                        <w:rFonts w:ascii="Cambria Math" w:hAnsi="Cambria Math"/>
                      </w:rPr>
                      <m:t>+</m:t>
                    </m:r>
                    <m:r>
                      <w:rPr>
                        <w:rFonts w:ascii="Cambria Math" w:hAnsi="Cambria Math"/>
                      </w:rPr>
                      <m:t>p</m:t>
                    </m:r>
                  </m:den>
                </m:f>
              </m:oMath>
            </m:oMathPara>
          </w:p>
        </w:tc>
        <w:tc>
          <w:tcPr>
            <w:tcW w:w="918" w:type="dxa"/>
          </w:tcPr>
          <w:p w14:paraId="1E2424F8" w14:textId="58EE32B9" w:rsidR="00FD6128" w:rsidRDefault="00FD6128" w:rsidP="00FD6128">
            <w:pPr>
              <w:pStyle w:val="BodyText"/>
              <w:jc w:val="right"/>
            </w:pPr>
            <w:r>
              <w:t>(S13b)</w:t>
            </w:r>
          </w:p>
        </w:tc>
      </w:tr>
    </w:tbl>
    <w:p w14:paraId="3AF68C1B" w14:textId="77777777" w:rsidR="0019210D" w:rsidRDefault="00000000" w:rsidP="00FD6128">
      <w:pPr>
        <w:pStyle w:val="FirstParagraph"/>
        <w:jc w:val="both"/>
      </w:pPr>
      <w:r>
        <w:t xml:space="preserve">While the model internally uses </w:t>
      </w:r>
      <m:oMath>
        <m:r>
          <w:rPr>
            <w:rFonts w:ascii="Cambria Math" w:hAnsi="Cambria Math"/>
          </w:rPr>
          <m:t>p</m:t>
        </m:r>
      </m:oMath>
      <w:r>
        <w:t xml:space="preserve"> in mm d</w:t>
      </w:r>
      <w:r>
        <w:rPr>
          <w:vertAlign w:val="superscript"/>
        </w:rPr>
        <w:t>−1</w:t>
      </w:r>
      <w:r>
        <w:t xml:space="preserve">, we present the equations </w:t>
      </w:r>
      <m:oMath>
        <m:r>
          <w:rPr>
            <w:rFonts w:ascii="Cambria Math" w:hAnsi="Cambria Math"/>
          </w:rPr>
          <m:t>d</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in mm </w:t>
      </w:r>
      <w:r>
        <w:rPr>
          <w:vertAlign w:val="superscript"/>
        </w:rPr>
        <w:t>−1</w:t>
      </w:r>
      <w:r>
        <w:t xml:space="preserve"> for simplicity and practical relevance.</w:t>
      </w:r>
    </w:p>
    <w:p w14:paraId="1F69C0AD" w14:textId="55D4B425" w:rsidR="0019210D" w:rsidRDefault="00000000" w:rsidP="00FD6128">
      <w:pPr>
        <w:pStyle w:val="BodyText"/>
        <w:jc w:val="both"/>
      </w:pPr>
      <w:hyperlink w:anchor="fig:SI_tree_cover_mechanism">
        <w:r w:rsidR="00FD6128">
          <w:rPr>
            <w:rStyle w:val="Hyperlink"/>
          </w:rPr>
          <w:t>Figure S7a</w:t>
        </w:r>
      </w:hyperlink>
      <w:r>
        <w:t xml:space="preserve"> illustrates the transition from facilitation to competition for these two functional forms. </w:t>
      </w:r>
      <w:hyperlink w:anchor="fig:SI_tree_cover_mechanism">
        <w:r w:rsidR="00FD6128">
          <w:rPr>
            <w:rStyle w:val="Hyperlink"/>
          </w:rPr>
          <w:t>Figure S7</w:t>
        </w:r>
        <w:r w:rsidR="00FD6128">
          <w:rPr>
            <w:rStyle w:val="Hyperlink"/>
          </w:rPr>
          <w:t>b</w:t>
        </w:r>
      </w:hyperlink>
      <w:r>
        <w:t xml:space="preserve"> shows the absolute interaction intensity in the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w:t>
      </w:r>
      <w:proofErr w:type="gramStart"/>
      <w:r>
        <w:t>plane, and</w:t>
      </w:r>
      <w:proofErr w:type="gramEnd"/>
      <w:r>
        <w:t xml:space="preserve"> helps us interpret the graph on the top. When a dark curve in the bottom panel crosses the border between facilitation and competition, we see in the top panel that the dark curves cross the no-tree solution. For higher values of </w:t>
      </w:r>
      <m:oMath>
        <m:r>
          <w:rPr>
            <w:rFonts w:ascii="Cambria Math" w:hAnsi="Cambria Math"/>
          </w:rPr>
          <m:t>d</m:t>
        </m:r>
      </m:oMath>
      <w:r>
        <w:t>, when the dark curves in the bottom panel cross into the no-viable-biomass zone, we also see a collapse of the vegetated solutions in the top panel. Finally,</w:t>
      </w:r>
      <w:r w:rsidR="00FD6128">
        <w:t xml:space="preserve"> </w:t>
      </w:r>
      <w:hyperlink w:anchor="fig:SI_tree_cover_mechanism">
        <w:r w:rsidR="00FD6128">
          <w:rPr>
            <w:rStyle w:val="Hyperlink"/>
          </w:rPr>
          <w:t>Fig</w:t>
        </w:r>
        <w:r w:rsidR="00FD6128">
          <w:rPr>
            <w:rStyle w:val="Hyperlink"/>
          </w:rPr>
          <w:t>.</w:t>
        </w:r>
        <w:r w:rsidR="00FD6128">
          <w:rPr>
            <w:rStyle w:val="Hyperlink"/>
          </w:rPr>
          <w:t xml:space="preserve"> S7b</w:t>
        </w:r>
      </w:hyperlink>
      <w:r>
        <w:t xml:space="preserve"> helps us understand, from another point of view, why there cannot be a transition from facilitation to competition in the case of no carrying capacity and constant tree density, as previously discussed. Constant density solutions (see for example the dotted line at </w:t>
      </w:r>
      <m:oMath>
        <m:r>
          <w:rPr>
            <w:rFonts w:ascii="Cambria Math" w:hAnsi="Cambria Math"/>
          </w:rPr>
          <m:t>d</m:t>
        </m:r>
        <m:r>
          <m:rPr>
            <m:sty m:val="p"/>
          </m:rPr>
          <w:rPr>
            <w:rFonts w:ascii="Cambria Math" w:hAnsi="Cambria Math"/>
          </w:rPr>
          <m:t>=</m:t>
        </m:r>
        <m:r>
          <w:rPr>
            <w:rFonts w:ascii="Cambria Math" w:hAnsi="Cambria Math"/>
          </w:rPr>
          <m:t>0.2</m:t>
        </m:r>
      </m:oMath>
      <w:r>
        <w:t xml:space="preserve">) always cross from competition to facilitation as </w:t>
      </w:r>
      <m:oMath>
        <m:r>
          <w:rPr>
            <w:rFonts w:ascii="Cambria Math" w:hAnsi="Cambria Math"/>
          </w:rPr>
          <m:t>p</m:t>
        </m:r>
      </m:oMath>
      <w:r>
        <w:t xml:space="preserve"> increases, never the other way around. By changing tree density from a constant value to increasing functions of precipitation, as depicted by the solid dark lines, one can get the usual transition pattern of the SGH.</w:t>
      </w:r>
    </w:p>
    <w:p w14:paraId="371170A9" w14:textId="77777777" w:rsidR="0019210D" w:rsidRDefault="00000000" w:rsidP="00FD6128">
      <w:pPr>
        <w:pStyle w:val="CaptionedFigure"/>
        <w:jc w:val="center"/>
      </w:pPr>
      <w:bookmarkStart w:id="27" w:name="fig:SI_tree_cover_mechanism"/>
      <w:r>
        <w:rPr>
          <w:noProof/>
        </w:rPr>
        <w:lastRenderedPageBreak/>
        <w:drawing>
          <wp:inline distT="0" distB="0" distL="0" distR="0" wp14:anchorId="5260F932" wp14:editId="67A61377">
            <wp:extent cx="3023287" cy="3591698"/>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s/tree_cover_mechanism_II.pdf"/>
                    <pic:cNvPicPr>
                      <a:picLocks noChangeAspect="1" noChangeArrowheads="1"/>
                    </pic:cNvPicPr>
                  </pic:nvPicPr>
                  <pic:blipFill>
                    <a:blip r:embed="rId14"/>
                    <a:stretch>
                      <a:fillRect/>
                    </a:stretch>
                  </pic:blipFill>
                  <pic:spPr bwMode="auto">
                    <a:xfrm>
                      <a:off x="0" y="0"/>
                      <a:ext cx="3027110" cy="3596240"/>
                    </a:xfrm>
                    <a:prstGeom prst="rect">
                      <a:avLst/>
                    </a:prstGeom>
                    <a:noFill/>
                    <a:ln w="9525">
                      <a:noFill/>
                      <a:headEnd/>
                      <a:tailEnd/>
                    </a:ln>
                  </pic:spPr>
                </pic:pic>
              </a:graphicData>
            </a:graphic>
          </wp:inline>
        </w:drawing>
      </w:r>
    </w:p>
    <w:p w14:paraId="331BC5A2" w14:textId="0D7012E9" w:rsidR="0019210D" w:rsidRDefault="00FD6128" w:rsidP="00FD13F0">
      <w:pPr>
        <w:pStyle w:val="ImageCaption"/>
        <w:jc w:val="both"/>
      </w:pPr>
      <w:r>
        <w:rPr>
          <w:b/>
          <w:bCs/>
          <w:i w:val="0"/>
          <w:iCs/>
        </w:rPr>
        <w:t xml:space="preserve">Figure S7: </w:t>
      </w:r>
      <w:r w:rsidR="00000000">
        <w:rPr>
          <w:b/>
          <w:bCs/>
        </w:rPr>
        <w:t>The precipitation-dependent tree density mechanism produces the SGH transition even without a carrying capacity term.</w:t>
      </w:r>
      <w:r w:rsidR="00000000">
        <w:t xml:space="preserve"> Panel a: Steady-state herb biomass solutions (Eq.</w:t>
      </w:r>
      <w:r>
        <w:t xml:space="preserve"> </w:t>
      </w:r>
      <w:hyperlink w:anchor="eq1b" w:history="1">
        <w:r w:rsidRPr="00FD6128">
          <w:rPr>
            <w:rStyle w:val="Hyperlink"/>
          </w:rPr>
          <w:t>S1b</w:t>
        </w:r>
      </w:hyperlink>
      <w:r w:rsidR="00000000">
        <w:t xml:space="preserve">) for a scenario without any tree density (dotted line) and for two possible instantiations of the tree-density dependence on precipitation (dark curves). Panel b: The absolute interaction intensity is shown in the </w:t>
      </w:r>
      <m:oMath>
        <m:r>
          <w:rPr>
            <w:rFonts w:ascii="Cambria Math" w:hAnsi="Cambria Math"/>
          </w:rPr>
          <m:t>(p,d)</m:t>
        </m:r>
      </m:oMath>
      <w:r w:rsidR="00000000">
        <w:t xml:space="preserve"> plane: warm colors denote positive interactions (facilitation), while cold colors denote negative interactions (competition). The hashed region in the top indicates no viable herb solutions (</w:t>
      </w:r>
      <m:oMath>
        <m:r>
          <w:rPr>
            <w:rFonts w:ascii="Cambria Math" w:hAnsi="Cambria Math"/>
          </w:rPr>
          <m:t>B=0</m:t>
        </m:r>
      </m:oMath>
      <w:r w:rsidR="00000000">
        <w:t xml:space="preserve">). The two functional forms for tree density are plotted in solid dark curves. Parameters: </w:t>
      </w:r>
      <m:oMath>
        <m:sSub>
          <m:sSubPr>
            <m:ctrlPr>
              <w:rPr>
                <w:rFonts w:ascii="Cambria Math" w:hAnsi="Cambria Math"/>
              </w:rPr>
            </m:ctrlPr>
          </m:sSubPr>
          <m:e>
            <m:r>
              <w:rPr>
                <w:rFonts w:ascii="Cambria Math" w:hAnsi="Cambria Math"/>
              </w:rPr>
              <m:t>β</m:t>
            </m:r>
          </m:e>
          <m:sub>
            <m:r>
              <w:rPr>
                <w:rFonts w:ascii="Cambria Math" w:hAnsi="Cambria Math"/>
              </w:rPr>
              <m:t>a</m:t>
            </m:r>
          </m:sub>
        </m:sSub>
        <m:r>
          <w:rPr>
            <w:rFonts w:ascii="Cambria Math" w:hAnsi="Cambria Math"/>
          </w:rPr>
          <m:t>=0.9</m:t>
        </m:r>
      </m:oMath>
      <w:r w:rsidR="00000000">
        <w:t xml:space="preserve"> and </w:t>
      </w:r>
      <m:oMath>
        <m:sSub>
          <m:sSubPr>
            <m:ctrlPr>
              <w:rPr>
                <w:rFonts w:ascii="Cambria Math" w:hAnsi="Cambria Math"/>
              </w:rPr>
            </m:ctrlPr>
          </m:sSubPr>
          <m:e>
            <m:r>
              <w:rPr>
                <w:rFonts w:ascii="Cambria Math" w:hAnsi="Cambria Math"/>
              </w:rPr>
              <m:t>β</m:t>
            </m:r>
          </m:e>
          <m:sub>
            <m:r>
              <w:rPr>
                <w:rFonts w:ascii="Cambria Math" w:hAnsi="Cambria Math"/>
              </w:rPr>
              <m:t>e</m:t>
            </m:r>
          </m:sub>
        </m:sSub>
        <m:r>
          <w:rPr>
            <w:rFonts w:ascii="Cambria Math" w:hAnsi="Cambria Math"/>
          </w:rPr>
          <m:t>=1.1</m:t>
        </m:r>
      </m:oMath>
      <w:r w:rsidR="00000000">
        <w:t>, and other parameters as shown in Table 1.</w:t>
      </w:r>
    </w:p>
    <w:p w14:paraId="4B79A135" w14:textId="3EE72249" w:rsidR="0019210D" w:rsidRDefault="00FD13F0">
      <w:pPr>
        <w:pStyle w:val="Heading1"/>
      </w:pPr>
      <w:bookmarkStart w:id="28" w:name="sec:SI_infiltration"/>
      <w:bookmarkEnd w:id="26"/>
      <w:bookmarkEnd w:id="27"/>
      <w:r>
        <w:t xml:space="preserve">S9 </w:t>
      </w:r>
      <w:r w:rsidR="00000000">
        <w:t>Infiltration</w:t>
      </w:r>
    </w:p>
    <w:p w14:paraId="142A416D" w14:textId="77777777" w:rsidR="0019210D" w:rsidRDefault="00000000" w:rsidP="00FD13F0">
      <w:pPr>
        <w:pStyle w:val="FirstParagraph"/>
        <w:jc w:val="both"/>
      </w:pPr>
      <w:r>
        <w:t xml:space="preserve">The infiltration mechanism is a variation of the canopy mechanism. In both, canopy shading reduces herb assimilation through </w:t>
      </w:r>
      <m:oMath>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r>
          <w:rPr>
            <w:rFonts w:ascii="Cambria Math" w:hAnsi="Cambria Math"/>
          </w:rPr>
          <m:t>d</m:t>
        </m:r>
        <m:r>
          <m:rPr>
            <m:sty m:val="p"/>
          </m:rPr>
          <w:rPr>
            <w:rFonts w:ascii="Cambria Math" w:hAnsi="Cambria Math"/>
          </w:rPr>
          <m:t>)</m:t>
        </m:r>
      </m:oMath>
      <w:r>
        <w:t xml:space="preserve">; here, however, the facilitative pathway is not a reduction in evapotranspiration but an increase in effective infiltration as tree density rises. The model therefore keeps the growth-side shading term and replaces the rainfall input with an infiltrated input </w:t>
      </w:r>
      <m:oMath>
        <m:r>
          <w:rPr>
            <w:rFonts w:ascii="Cambria Math" w:hAnsi="Cambria Math"/>
          </w:rPr>
          <m:t>p </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d</m:t>
        </m:r>
        <m:r>
          <m:rPr>
            <m:sty m:val="p"/>
          </m:rPr>
          <w:rPr>
            <w:rFonts w:ascii="Cambria Math" w:hAnsi="Cambria Math"/>
          </w:rPr>
          <m:t>)</m:t>
        </m:r>
      </m:oMath>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92"/>
        <w:gridCol w:w="884"/>
      </w:tblGrid>
      <w:tr w:rsidR="00FD13F0" w14:paraId="10348D69" w14:textId="77777777" w:rsidTr="00FD13F0">
        <w:tc>
          <w:tcPr>
            <w:tcW w:w="8928" w:type="dxa"/>
          </w:tcPr>
          <w:p w14:paraId="5F0275DF" w14:textId="085A3A1C" w:rsidR="00FD13F0" w:rsidRDefault="00FD13F0" w:rsidP="00FD13F0">
            <w:pPr>
              <w:pStyle w:val="BodyText"/>
            </w:pPr>
            <m:oMathPara>
              <m:oMath>
                <m:f>
                  <m:fPr>
                    <m:ctrlPr>
                      <w:rPr>
                        <w:rFonts w:ascii="Cambria Math" w:hAnsi="Cambria Math"/>
                      </w:rPr>
                    </m:ctrlPr>
                  </m:fPr>
                  <m:num>
                    <m:r>
                      <w:rPr>
                        <w:rFonts w:ascii="Cambria Math" w:hAnsi="Cambria Math"/>
                      </w:rPr>
                      <m:t>dB</m:t>
                    </m:r>
                  </m:num>
                  <m:den>
                    <m:r>
                      <w:rPr>
                        <w:rFonts w:ascii="Cambria Math" w:hAnsi="Cambria Math"/>
                      </w:rPr>
                      <m:t>dt</m:t>
                    </m:r>
                  </m:den>
                </m:f>
                <m:r>
                  <m:rPr>
                    <m:sty m:val="p"/>
                  </m:rPr>
                  <w:rPr>
                    <w:rFonts w:ascii="Cambria Math" w:hAnsi="Cambria Math"/>
                  </w:rPr>
                  <m:t>=</m:t>
                </m:r>
                <m:r>
                  <w:rPr>
                    <w:rFonts w:ascii="Cambria Math" w:hAnsi="Cambria Math"/>
                  </w:rPr>
                  <m:t>a </m:t>
                </m:r>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k</m:t>
                        </m:r>
                      </m:den>
                    </m:f>
                  </m:e>
                </m:d>
                <m:r>
                  <w:rPr>
                    <w:rFonts w:ascii="Cambria Math" w:hAnsi="Cambria Math"/>
                  </w:rPr>
                  <m:t> B S </m:t>
                </m:r>
                <m:r>
                  <m:rPr>
                    <m:sty m:val="p"/>
                  </m:rPr>
                  <w:rPr>
                    <w:rFonts w:ascii="Cambria Math" w:hAnsi="Cambria Math"/>
                  </w:rPr>
                  <m:t>-</m:t>
                </m:r>
                <m:r>
                  <w:rPr>
                    <w:rFonts w:ascii="Cambria Math" w:hAnsi="Cambria Math"/>
                  </w:rPr>
                  <m:t> m B</m:t>
                </m:r>
              </m:oMath>
            </m:oMathPara>
          </w:p>
        </w:tc>
        <w:tc>
          <w:tcPr>
            <w:tcW w:w="648" w:type="dxa"/>
          </w:tcPr>
          <w:p w14:paraId="7C70D8A8" w14:textId="56788696" w:rsidR="00FD13F0" w:rsidRDefault="00FD13F0" w:rsidP="00FD13F0">
            <w:pPr>
              <w:pStyle w:val="BodyText"/>
              <w:jc w:val="right"/>
            </w:pPr>
            <w:r>
              <w:t>(S14a)</w:t>
            </w:r>
          </w:p>
        </w:tc>
      </w:tr>
      <w:tr w:rsidR="00FD13F0" w14:paraId="1E3A1F2F" w14:textId="77777777" w:rsidTr="00FD13F0">
        <w:tc>
          <w:tcPr>
            <w:tcW w:w="8928" w:type="dxa"/>
          </w:tcPr>
          <w:p w14:paraId="4B21A9AB" w14:textId="0873ED50" w:rsidR="00FD13F0" w:rsidRDefault="00FD13F0" w:rsidP="00FD13F0">
            <w:pPr>
              <w:pStyle w:val="BodyText"/>
            </w:pPr>
            <m:oMathPara>
              <m:oMath>
                <m:r>
                  <w:rPr>
                    <w:rFonts w:ascii="Cambria Math" w:hAnsi="Cambria Math"/>
                  </w:rPr>
                  <m:t>n</m:t>
                </m:r>
                <m:sSub>
                  <m:sSubPr>
                    <m:ctrlPr>
                      <w:rPr>
                        <w:rFonts w:ascii="Cambria Math" w:hAnsi="Cambria Math"/>
                      </w:rPr>
                    </m:ctrlPr>
                  </m:sSubPr>
                  <m:e>
                    <m:r>
                      <w:rPr>
                        <w:rFonts w:ascii="Cambria Math" w:hAnsi="Cambria Math"/>
                      </w:rPr>
                      <m:t>z</m:t>
                    </m:r>
                  </m:e>
                  <m:sub>
                    <m:r>
                      <w:rPr>
                        <w:rFonts w:ascii="Cambria Math" w:hAnsi="Cambria Math"/>
                      </w:rPr>
                      <m:t>r</m:t>
                    </m:r>
                  </m:sub>
                </m:sSub>
                <m:r>
                  <w:rPr>
                    <w:rFonts w:ascii="Cambria Math" w:hAnsi="Cambria Math"/>
                  </w:rPr>
                  <m:t> </m:t>
                </m:r>
                <m:f>
                  <m:fPr>
                    <m:ctrlPr>
                      <w:rPr>
                        <w:rFonts w:ascii="Cambria Math" w:hAnsi="Cambria Math"/>
                      </w:rPr>
                    </m:ctrlPr>
                  </m:fPr>
                  <m:num>
                    <m:r>
                      <w:rPr>
                        <w:rFonts w:ascii="Cambria Math" w:hAnsi="Cambria Math"/>
                      </w:rPr>
                      <m:t>dS</m:t>
                    </m:r>
                  </m:num>
                  <m:den>
                    <m:r>
                      <w:rPr>
                        <w:rFonts w:ascii="Cambria Math" w:hAnsi="Cambria Math"/>
                      </w:rPr>
                      <m:t>dt</m:t>
                    </m:r>
                  </m:den>
                </m:f>
                <m:r>
                  <m:rPr>
                    <m:sty m:val="p"/>
                  </m:rPr>
                  <w:rPr>
                    <w:rFonts w:ascii="Cambria Math" w:hAnsi="Cambria Math"/>
                  </w:rPr>
                  <m:t>=</m:t>
                </m:r>
                <m:r>
                  <w:rPr>
                    <w:rFonts w:ascii="Cambria Math" w:hAnsi="Cambria Math"/>
                  </w:rPr>
                  <m:t>p </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s</m:t>
                    </m:r>
                  </m:sub>
                </m:sSub>
                <m:r>
                  <w:rPr>
                    <w:rFonts w:ascii="Cambria Math" w:hAnsi="Cambria Math"/>
                  </w:rPr>
                  <m:t> </m:t>
                </m:r>
                <m:sSup>
                  <m:sSupPr>
                    <m:ctrlPr>
                      <w:rPr>
                        <w:rFonts w:ascii="Cambria Math" w:hAnsi="Cambria Math"/>
                      </w:rPr>
                    </m:ctrlPr>
                  </m:sSupPr>
                  <m:e>
                    <m:r>
                      <w:rPr>
                        <w:rFonts w:ascii="Cambria Math" w:hAnsi="Cambria Math"/>
                      </w:rPr>
                      <m:t>S</m:t>
                    </m:r>
                  </m:e>
                  <m:sup>
                    <m:r>
                      <w:rPr>
                        <w:rFonts w:ascii="Cambria Math" w:hAnsi="Cambria Math"/>
                      </w:rPr>
                      <m:t>γ</m:t>
                    </m:r>
                  </m:sup>
                </m:sSup>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 B S</m:t>
                </m:r>
              </m:oMath>
            </m:oMathPara>
          </w:p>
        </w:tc>
        <w:tc>
          <w:tcPr>
            <w:tcW w:w="648" w:type="dxa"/>
          </w:tcPr>
          <w:p w14:paraId="6576EB9F" w14:textId="0AD02962" w:rsidR="00FD13F0" w:rsidRDefault="00FD13F0" w:rsidP="00FD13F0">
            <w:pPr>
              <w:pStyle w:val="BodyText"/>
              <w:jc w:val="right"/>
            </w:pPr>
            <w:r>
              <w:t>(S14b)</w:t>
            </w:r>
          </w:p>
        </w:tc>
      </w:tr>
    </w:tbl>
    <w:p w14:paraId="341CBDE7" w14:textId="4347096D" w:rsidR="0019210D" w:rsidRDefault="0019210D">
      <w:pPr>
        <w:pStyle w:val="BodyText"/>
      </w:pPr>
    </w:p>
    <w:p w14:paraId="4DAE0F73" w14:textId="77777777" w:rsidR="0019210D" w:rsidRDefault="00000000">
      <w:pPr>
        <w:pStyle w:val="FirstParagraph"/>
      </w:pPr>
      <w:r>
        <w:t xml:space="preserve">The infiltration factor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d</m:t>
        </m:r>
        <m:r>
          <m:rPr>
            <m:sty m:val="p"/>
          </m:rPr>
          <w:rPr>
            <w:rFonts w:ascii="Cambria Math" w:hAnsi="Cambria Math"/>
          </w:rPr>
          <m:t>)</m:t>
        </m:r>
      </m:oMath>
      <w:r>
        <w:t xml:space="preserve"> follows Gilad et al.</w:t>
      </w:r>
      <w:hyperlink w:anchor="ref:2">
        <w:r>
          <w:rPr>
            <w:rStyle w:val="Hyperlink"/>
            <w:vertAlign w:val="superscript"/>
          </w:rPr>
          <w:t>2</w:t>
        </w:r>
      </w:hyperlink>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7"/>
        <w:gridCol w:w="749"/>
      </w:tblGrid>
      <w:tr w:rsidR="00FD13F0" w14:paraId="476C80A2" w14:textId="77777777" w:rsidTr="00FD13F0">
        <w:tc>
          <w:tcPr>
            <w:tcW w:w="8838" w:type="dxa"/>
          </w:tcPr>
          <w:p w14:paraId="4C4A1098" w14:textId="32882FC7" w:rsidR="00FD13F0" w:rsidRDefault="00FD13F0" w:rsidP="00FD13F0">
            <w:pPr>
              <w:pStyle w:val="BodyText"/>
            </w:pPr>
            <m:oMathPara>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r>
                      <w:rPr>
                        <w:rFonts w:ascii="Cambria Math" w:hAnsi="Cambria Math"/>
                      </w:rPr>
                      <m:t> δ</m:t>
                    </m:r>
                  </m:num>
                  <m:den>
                    <m:r>
                      <w:rPr>
                        <w:rFonts w:ascii="Cambria Math" w:hAnsi="Cambria Math"/>
                      </w:rPr>
                      <m:t>d</m:t>
                    </m:r>
                    <m:r>
                      <m:rPr>
                        <m:sty m:val="p"/>
                      </m:rPr>
                      <w:rPr>
                        <w:rFonts w:ascii="Cambria Math" w:hAnsi="Cambria Math"/>
                      </w:rPr>
                      <m:t>+</m:t>
                    </m:r>
                    <m:r>
                      <w:rPr>
                        <w:rFonts w:ascii="Cambria Math" w:hAnsi="Cambria Math"/>
                      </w:rPr>
                      <m:t>δ</m:t>
                    </m:r>
                  </m:den>
                </m:f>
              </m:oMath>
            </m:oMathPara>
          </w:p>
        </w:tc>
        <w:tc>
          <w:tcPr>
            <w:tcW w:w="738" w:type="dxa"/>
          </w:tcPr>
          <w:p w14:paraId="506B8224" w14:textId="429321C2" w:rsidR="00FD13F0" w:rsidRDefault="00FD13F0" w:rsidP="00FD13F0">
            <w:pPr>
              <w:pStyle w:val="BodyText"/>
              <w:jc w:val="right"/>
            </w:pPr>
            <w:r>
              <w:t>(S15)</w:t>
            </w:r>
          </w:p>
        </w:tc>
      </w:tr>
    </w:tbl>
    <w:p w14:paraId="1AEFF274" w14:textId="258E7E9A" w:rsidR="0019210D" w:rsidRDefault="00000000" w:rsidP="00FD13F0">
      <w:pPr>
        <w:pStyle w:val="FirstParagraph"/>
        <w:jc w:val="both"/>
      </w:pPr>
      <w:r>
        <w:t xml:space="preserve">so that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oMath>
      <w:r>
        <w:t xml:space="preserve"> (minimum infiltration without trees) and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oMath>
      <w:r>
        <w:t xml:space="preserve"> as </w:t>
      </w:r>
      <m:oMath>
        <m:r>
          <w:rPr>
            <w:rFonts w:ascii="Cambria Math" w:hAnsi="Cambria Math"/>
          </w:rPr>
          <m:t>d</m:t>
        </m:r>
      </m:oMath>
      <w:r>
        <w:t xml:space="preserve"> increases; see </w:t>
      </w:r>
      <w:hyperlink w:anchor="fig:SI_infiltration">
        <w:r w:rsidR="00FD13F0">
          <w:rPr>
            <w:rStyle w:val="Hyperlink"/>
          </w:rPr>
          <w:t>Fig. S8a</w:t>
        </w:r>
      </w:hyperlink>
      <w:r>
        <w:t xml:space="preserve">. The parameter </w:t>
      </w:r>
      <m:oMath>
        <m:r>
          <w:rPr>
            <w:rFonts w:ascii="Cambria Math" w:hAnsi="Cambria Math"/>
          </w:rPr>
          <m:t>δ</m:t>
        </m:r>
      </m:oMath>
      <w:r>
        <w:t xml:space="preserve"> sets the density scale at which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is midway between </w:t>
      </w:r>
      <m:oMath>
        <m:sSub>
          <m:sSubPr>
            <m:ctrlPr>
              <w:rPr>
                <w:rFonts w:ascii="Cambria Math" w:hAnsi="Cambria Math"/>
              </w:rPr>
            </m:ctrlPr>
          </m:sSubPr>
          <m:e>
            <m:r>
              <w:rPr>
                <w:rFonts w:ascii="Cambria Math" w:hAnsi="Cambria Math"/>
              </w:rPr>
              <m:t>i</m:t>
            </m:r>
          </m:e>
          <m:sub>
            <m:r>
              <w:rPr>
                <w:rFonts w:ascii="Cambria Math" w:hAnsi="Cambria Math"/>
              </w:rPr>
              <m:t>0</m:t>
            </m:r>
          </m:sub>
        </m:sSub>
      </m:oMath>
      <w:r>
        <w:t xml:space="preserve"> and 1. </w:t>
      </w:r>
      <w:hyperlink w:anchor="fig:SI_infiltration">
        <w:r w:rsidR="00FD13F0">
          <w:rPr>
            <w:rStyle w:val="Hyperlink"/>
          </w:rPr>
          <w:t>Fig. S8b</w:t>
        </w:r>
      </w:hyperlink>
      <w:r>
        <w:t xml:space="preserve"> shows the SGH transition for the infiltration mechanism.</w:t>
      </w:r>
    </w:p>
    <w:p w14:paraId="0235108E" w14:textId="77777777" w:rsidR="0019210D" w:rsidRDefault="00000000" w:rsidP="00FD13F0">
      <w:pPr>
        <w:pStyle w:val="BodyText"/>
        <w:jc w:val="both"/>
      </w:pPr>
      <w:r>
        <w:t>This relationship captures the idea that canopy shading can suppress biological soil crusts (biocrusts), which often form a hardened surface layer that reduces infiltration. As tree density increases, shading limits biocrust activity and allows more water to infiltrate into the soil, thereby increasing the effective water supply to herbs.</w:t>
      </w:r>
    </w:p>
    <w:p w14:paraId="48C8C4D8" w14:textId="77777777" w:rsidR="0019210D" w:rsidRDefault="00000000" w:rsidP="00FD13F0">
      <w:pPr>
        <w:pStyle w:val="CaptionedFigure"/>
        <w:jc w:val="center"/>
      </w:pPr>
      <w:bookmarkStart w:id="29" w:name="fig:SI_infiltration"/>
      <w:r>
        <w:rPr>
          <w:noProof/>
        </w:rPr>
        <w:drawing>
          <wp:inline distT="0" distB="0" distL="0" distR="0" wp14:anchorId="03AD2EB6" wp14:editId="25E5B1B1">
            <wp:extent cx="4800600" cy="240030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Figs/infiltration_mechanism2.pdf"/>
                    <pic:cNvPicPr>
                      <a:picLocks noChangeAspect="1" noChangeArrowheads="1"/>
                    </pic:cNvPicPr>
                  </pic:nvPicPr>
                  <pic:blipFill>
                    <a:blip r:embed="rId15"/>
                    <a:stretch>
                      <a:fillRect/>
                    </a:stretch>
                  </pic:blipFill>
                  <pic:spPr bwMode="auto">
                    <a:xfrm>
                      <a:off x="0" y="0"/>
                      <a:ext cx="4800600" cy="2400300"/>
                    </a:xfrm>
                    <a:prstGeom prst="rect">
                      <a:avLst/>
                    </a:prstGeom>
                    <a:noFill/>
                    <a:ln w="9525">
                      <a:noFill/>
                      <a:headEnd/>
                      <a:tailEnd/>
                    </a:ln>
                  </pic:spPr>
                </pic:pic>
              </a:graphicData>
            </a:graphic>
          </wp:inline>
        </w:drawing>
      </w:r>
    </w:p>
    <w:p w14:paraId="59346138" w14:textId="73F89298" w:rsidR="0019210D" w:rsidRDefault="00FD13F0" w:rsidP="00FD13F0">
      <w:pPr>
        <w:pStyle w:val="ImageCaption"/>
        <w:jc w:val="both"/>
      </w:pPr>
      <w:r>
        <w:rPr>
          <w:b/>
          <w:bCs/>
          <w:i w:val="0"/>
          <w:iCs/>
        </w:rPr>
        <w:t xml:space="preserve">Figure S8: </w:t>
      </w:r>
      <w:r w:rsidR="00000000">
        <w:rPr>
          <w:b/>
          <w:bCs/>
        </w:rPr>
        <w:t>Infiltration mechanism as a canopy variant.</w:t>
      </w:r>
      <w:r w:rsidR="00000000">
        <w:t xml:space="preserve"> (a) The infiltration factor </w:t>
      </w:r>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(d)</m:t>
        </m:r>
      </m:oMath>
      <w:r w:rsidR="00000000">
        <w:t xml:space="preserve"> increases from </w:t>
      </w:r>
      <m:oMath>
        <m:sSub>
          <m:sSubPr>
            <m:ctrlPr>
              <w:rPr>
                <w:rFonts w:ascii="Cambria Math" w:hAnsi="Cambria Math"/>
              </w:rPr>
            </m:ctrlPr>
          </m:sSubPr>
          <m:e>
            <m:r>
              <w:rPr>
                <w:rFonts w:ascii="Cambria Math" w:hAnsi="Cambria Math"/>
              </w:rPr>
              <m:t>i</m:t>
            </m:r>
          </m:e>
          <m:sub>
            <m:r>
              <w:rPr>
                <w:rFonts w:ascii="Cambria Math" w:hAnsi="Cambria Math"/>
              </w:rPr>
              <m:t>0</m:t>
            </m:r>
          </m:sub>
        </m:sSub>
      </m:oMath>
      <w:r w:rsidR="00000000">
        <w:t xml:space="preserve"> at </w:t>
      </w:r>
      <m:oMath>
        <m:r>
          <w:rPr>
            <w:rFonts w:ascii="Cambria Math" w:hAnsi="Cambria Math"/>
          </w:rPr>
          <m:t>d=0</m:t>
        </m:r>
      </m:oMath>
      <w:r w:rsidR="00000000">
        <w:t xml:space="preserve"> toward 1 as tree density rises (</w:t>
      </w:r>
      <m:oMath>
        <m:r>
          <w:rPr>
            <w:rFonts w:ascii="Cambria Math" w:hAnsi="Cambria Math"/>
          </w:rPr>
          <m:t>δ</m:t>
        </m:r>
      </m:oMath>
      <w:r w:rsidR="00000000">
        <w:t xml:space="preserve"> controls the transition scale). (b) The transition from facilitation to competition can be obtained from the infiltration mechanism.</w:t>
      </w:r>
    </w:p>
    <w:p w14:paraId="7DC5DDC4" w14:textId="77777777" w:rsidR="00FD13F0" w:rsidRDefault="00FD13F0">
      <w:pPr>
        <w:rPr>
          <w:rFonts w:asciiTheme="majorHAnsi" w:eastAsiaTheme="majorEastAsia" w:hAnsiTheme="majorHAnsi" w:cstheme="majorBidi"/>
          <w:color w:val="0F4761" w:themeColor="accent1" w:themeShade="BF"/>
          <w:sz w:val="40"/>
          <w:szCs w:val="40"/>
        </w:rPr>
      </w:pPr>
      <w:bookmarkStart w:id="30" w:name="references"/>
      <w:bookmarkEnd w:id="28"/>
      <w:bookmarkEnd w:id="29"/>
      <w:r>
        <w:br w:type="page"/>
      </w:r>
    </w:p>
    <w:p w14:paraId="49828E84" w14:textId="669BB043" w:rsidR="0019210D" w:rsidRDefault="00000000">
      <w:pPr>
        <w:pStyle w:val="Heading1"/>
      </w:pPr>
      <w:r>
        <w:lastRenderedPageBreak/>
        <w:t>References</w:t>
      </w:r>
    </w:p>
    <w:p w14:paraId="30A22A62" w14:textId="77777777" w:rsidR="0019210D" w:rsidRDefault="00000000">
      <w:pPr>
        <w:numPr>
          <w:ilvl w:val="0"/>
          <w:numId w:val="6"/>
        </w:numPr>
      </w:pPr>
      <w:bookmarkStart w:id="31" w:name="ref:1"/>
      <w:bookmarkEnd w:id="31"/>
      <w:r>
        <w:t xml:space="preserve">Tilman, D. (1982). </w:t>
      </w:r>
      <w:r>
        <w:rPr>
          <w:i/>
          <w:iCs/>
        </w:rPr>
        <w:t>Resource Competition and Community Structure</w:t>
      </w:r>
      <w:r>
        <w:t>. Princeton University Press, Princeton, NJ. https://doi.org/10.2307/j.ctvx5wb72</w:t>
      </w:r>
    </w:p>
    <w:p w14:paraId="5840AF91" w14:textId="77777777" w:rsidR="0019210D" w:rsidRDefault="00000000">
      <w:pPr>
        <w:numPr>
          <w:ilvl w:val="0"/>
          <w:numId w:val="6"/>
        </w:numPr>
      </w:pPr>
      <w:bookmarkStart w:id="32" w:name="ref:2"/>
      <w:bookmarkEnd w:id="32"/>
      <w:r>
        <w:t xml:space="preserve">Gilad, E., von Hardenberg, J., Provenzale, A., Shachak, M., &amp; Meron, E. (2004). Ecosystem engineers: from pattern formation to habitat creation. </w:t>
      </w:r>
      <w:r>
        <w:rPr>
          <w:i/>
          <w:iCs/>
        </w:rPr>
        <w:t>Physical Review Letters</w:t>
      </w:r>
      <w:r>
        <w:t>, 93(9), 098105. https://doi.org/10.1103/PhysRevLett.93.098105</w:t>
      </w:r>
      <w:bookmarkEnd w:id="30"/>
    </w:p>
    <w:sectPr w:rsidR="0019210D">
      <w:footnotePr>
        <w:numStart w:val="2"/>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7A4E0B" w14:textId="77777777" w:rsidR="00960952" w:rsidRDefault="00960952">
      <w:pPr>
        <w:spacing w:after="0"/>
      </w:pPr>
      <w:r>
        <w:separator/>
      </w:r>
    </w:p>
  </w:endnote>
  <w:endnote w:type="continuationSeparator" w:id="0">
    <w:p w14:paraId="49A62763" w14:textId="77777777" w:rsidR="00960952" w:rsidRDefault="0096095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6AC489" w14:textId="77777777" w:rsidR="00960952" w:rsidRDefault="00960952">
      <w:pPr>
        <w:spacing w:after="0"/>
      </w:pPr>
      <w:r>
        <w:separator/>
      </w:r>
    </w:p>
  </w:footnote>
  <w:footnote w:type="continuationSeparator" w:id="0">
    <w:p w14:paraId="0B1EE24B" w14:textId="77777777" w:rsidR="00960952" w:rsidRDefault="00960952">
      <w:pPr>
        <w:spacing w:after="0"/>
      </w:pPr>
      <w:r>
        <w:continuationSeparator/>
      </w:r>
    </w:p>
  </w:footnote>
  <w:footnote w:id="1">
    <w:p w14:paraId="6CDB0175" w14:textId="1D6A767D" w:rsidR="00185B6A" w:rsidRDefault="00185B6A" w:rsidP="00600718">
      <w:pPr>
        <w:pStyle w:val="FootnoteText"/>
        <w:jc w:val="both"/>
      </w:pPr>
      <w:r>
        <w:rPr>
          <w:rStyle w:val="FootnoteReference"/>
        </w:rPr>
        <w:footnoteRef/>
      </w:r>
      <w:r>
        <w:t xml:space="preserve">Slope </w:t>
      </w:r>
      <m:oMath>
        <m:r>
          <w:rPr>
            <w:rFonts w:ascii="Cambria Math" w:hAnsi="Cambria Math"/>
          </w:rPr>
          <m:t>σ</m:t>
        </m:r>
      </m:oMath>
      <w:r>
        <w:t xml:space="preserve">: for </w:t>
      </w:r>
      <m:oMath>
        <m:r>
          <w:rPr>
            <w:rFonts w:ascii="Cambria Math" w:hAnsi="Cambria Math"/>
          </w:rPr>
          <m:t>d</m:t>
        </m:r>
        <m:r>
          <m:rPr>
            <m:sty m:val="p"/>
          </m:rPr>
          <w:rPr>
            <w:rFonts w:ascii="Cambria Math" w:hAnsi="Cambria Math"/>
          </w:rPr>
          <m:t>=</m:t>
        </m:r>
        <m:r>
          <w:rPr>
            <w:rFonts w:ascii="Cambria Math" w:hAnsi="Cambria Math"/>
          </w:rPr>
          <m:t>0</m:t>
        </m:r>
      </m:oMath>
      <w:r>
        <w:t xml:space="preserve"> the slope is </w:t>
      </w:r>
      <m:oMath>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m</m:t>
        </m:r>
        <m:r>
          <m:rPr>
            <m:sty m:val="p"/>
          </m:rPr>
          <w:rPr>
            <w:rFonts w:ascii="Cambria Math" w:hAnsi="Cambria Math"/>
          </w:rPr>
          <m:t>)</m:t>
        </m:r>
      </m:oMath>
      <w:r>
        <w:t xml:space="preserve">, whereas for </w:t>
      </w:r>
      <m:oMath>
        <m:r>
          <w:rPr>
            <w:rFonts w:ascii="Cambria Math" w:hAnsi="Cambria Math"/>
          </w:rPr>
          <m:t>d</m:t>
        </m:r>
        <m:r>
          <m:rPr>
            <m:sty m:val="p"/>
          </m:rPr>
          <w:rPr>
            <w:rFonts w:ascii="Cambria Math" w:hAnsi="Cambria Math"/>
          </w:rPr>
          <m:t>&gt;</m:t>
        </m:r>
        <m:r>
          <w:rPr>
            <w:rFonts w:ascii="Cambria Math" w:hAnsi="Cambria Math"/>
          </w:rPr>
          <m:t>0</m:t>
        </m:r>
      </m:oMath>
      <w:r>
        <w:t xml:space="preserve"> it is </w:t>
      </w:r>
      <m:oMath>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r>
              <w:rPr>
                <w:rFonts w:ascii="Cambria Math" w:hAnsi="Cambria Math"/>
              </w:rPr>
              <m:t>d</m:t>
            </m:r>
            <m:r>
              <m:rPr>
                <m:sty m:val="p"/>
              </m:rPr>
              <w:rPr>
                <w:rFonts w:ascii="Cambria Math" w:hAnsi="Cambria Math"/>
              </w:rPr>
              <m:t>)</m:t>
            </m:r>
          </m:e>
        </m:d>
      </m:oMath>
      <w:r>
        <w:t xml:space="preserve">. Since </w:t>
      </w:r>
      <m:oMath>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r>
          <w:rPr>
            <w:rFonts w:ascii="Cambria Math" w:hAnsi="Cambria Math"/>
          </w:rPr>
          <m:t>d</m:t>
        </m:r>
        <m:r>
          <m:rPr>
            <m:sty m:val="p"/>
          </m:rPr>
          <w:rPr>
            <w:rFonts w:ascii="Cambria Math" w:hAnsi="Cambria Math"/>
          </w:rPr>
          <m:t>)&gt;</m:t>
        </m:r>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r>
          <w:rPr>
            <w:rFonts w:ascii="Cambria Math" w:hAnsi="Cambria Math"/>
          </w:rPr>
          <m:t>d</m:t>
        </m:r>
        <m:r>
          <m:rPr>
            <m:sty m:val="p"/>
          </m:rPr>
          <w:rPr>
            <w:rFonts w:ascii="Cambria Math" w:hAnsi="Cambria Math"/>
          </w:rPr>
          <m:t>)</m:t>
        </m:r>
      </m:oMath>
      <w:r>
        <w:t xml:space="preserve">, we have that </w:t>
      </w:r>
      <m:oMath>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&gt;</m:t>
        </m:r>
        <m:sSub>
          <m:sSubPr>
            <m:ctrlPr>
              <w:rPr>
                <w:rFonts w:ascii="Cambria Math" w:hAnsi="Cambria Math"/>
              </w:rPr>
            </m:ctrlPr>
          </m:sSubPr>
          <m:e>
            <m:r>
              <w:rPr>
                <w:rFonts w:ascii="Cambria Math" w:hAnsi="Cambria Math"/>
              </w:rPr>
              <m:t>σ</m:t>
            </m:r>
          </m:e>
          <m:sub>
            <m:r>
              <w:rPr>
                <w:rFonts w:ascii="Cambria Math" w:hAnsi="Cambria Math"/>
              </w:rPr>
              <m:t>0</m:t>
            </m:r>
          </m:sub>
        </m:sSub>
      </m:oMath>
      <w:r>
        <w:t>.</w:t>
      </w:r>
      <w:r>
        <w:br/>
        <w:t xml:space="preserve">Intercept </w:t>
      </w:r>
      <m:oMath>
        <m:r>
          <w:rPr>
            <w:rFonts w:ascii="Cambria Math" w:hAnsi="Cambria Math"/>
          </w:rPr>
          <m:t>ω</m:t>
        </m:r>
      </m:oMath>
      <w:r>
        <w:t xml:space="preserve">: for </w:t>
      </w:r>
      <m:oMath>
        <m:r>
          <w:rPr>
            <w:rFonts w:ascii="Cambria Math" w:hAnsi="Cambria Math"/>
          </w:rPr>
          <m:t>d</m:t>
        </m:r>
        <m:r>
          <m:rPr>
            <m:sty m:val="p"/>
          </m:rPr>
          <w:rPr>
            <w:rFonts w:ascii="Cambria Math" w:hAnsi="Cambria Math"/>
          </w:rPr>
          <m:t>=</m:t>
        </m:r>
        <m:r>
          <w:rPr>
            <w:rFonts w:ascii="Cambria Math" w:hAnsi="Cambria Math"/>
          </w:rPr>
          <m:t>0</m:t>
        </m:r>
      </m:oMath>
      <w:r>
        <w:t xml:space="preserve"> the intercept is </w:t>
      </w:r>
      <m:oMath>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w:rPr>
                <w:rFonts w:ascii="Cambria Math" w:hAnsi="Cambria Math"/>
              </w:rPr>
              <m:t>γ</m:t>
            </m:r>
            <m:r>
              <m:rPr>
                <m:sty m:val="p"/>
              </m:rPr>
              <w:rPr>
                <w:rFonts w:ascii="Cambria Math" w:hAnsi="Cambria Math"/>
              </w:rPr>
              <m:t>-</m:t>
            </m:r>
            <m:r>
              <w:rPr>
                <w:rFonts w:ascii="Cambria Math" w:hAnsi="Cambria Math"/>
              </w:rPr>
              <m:t>1</m:t>
            </m:r>
          </m:sup>
        </m:sSup>
      </m:oMath>
      <w:r>
        <w:t xml:space="preserve">, whereas for </w:t>
      </w:r>
      <m:oMath>
        <m:r>
          <w:rPr>
            <w:rFonts w:ascii="Cambria Math" w:hAnsi="Cambria Math"/>
          </w:rPr>
          <m:t>d</m:t>
        </m:r>
        <m:r>
          <m:rPr>
            <m:sty m:val="p"/>
          </m:rPr>
          <w:rPr>
            <w:rFonts w:ascii="Cambria Math" w:hAnsi="Cambria Math"/>
          </w:rPr>
          <m:t>&gt;</m:t>
        </m:r>
        <m:r>
          <w:rPr>
            <w:rFonts w:ascii="Cambria Math" w:hAnsi="Cambria Math"/>
          </w:rPr>
          <m:t>0</m:t>
        </m:r>
      </m:oMath>
      <w:r>
        <w:t xml:space="preserve"> it is </w:t>
      </w:r>
      <m:oMath>
        <m:sSub>
          <m:sSubPr>
            <m:ctrlPr>
              <w:rPr>
                <w:rFonts w:ascii="Cambria Math" w:hAnsi="Cambria Math"/>
              </w:rPr>
            </m:ctrlPr>
          </m:sSubPr>
          <m:e>
            <m:r>
              <w:rPr>
                <w:rFonts w:ascii="Cambria Math" w:hAnsi="Cambria Math"/>
              </w:rPr>
              <m:t>ω</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a</m:t>
            </m:r>
          </m:sub>
          <m:sup>
            <m:r>
              <w:rPr>
                <w:rFonts w:ascii="Cambria Math" w:hAnsi="Cambria Math"/>
              </w:rPr>
              <m:t>γ</m:t>
            </m:r>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d</m:t>
        </m:r>
        <m:r>
          <m:rPr>
            <m:sty m:val="p"/>
          </m:rPr>
          <w:rPr>
            <w:rFonts w:ascii="Cambria Math" w:hAnsi="Cambria Math"/>
          </w:rPr>
          <m:t>))</m:t>
        </m:r>
      </m:oMath>
      <w:r>
        <w:t xml:space="preserve">. Since </w:t>
      </w:r>
      <m:oMath>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r>
          <m:rPr>
            <m:sty m:val="p"/>
          </m:rPr>
          <w:rPr>
            <w:rFonts w:ascii="Cambria Math" w:hAnsi="Cambria Math"/>
          </w:rPr>
          <m:t>(</m:t>
        </m:r>
        <m:r>
          <w:rPr>
            <w:rFonts w:ascii="Cambria Math" w:hAnsi="Cambria Math"/>
          </w:rPr>
          <m:t>d</m:t>
        </m:r>
        <m:r>
          <m:rPr>
            <m:sty m:val="p"/>
          </m:rPr>
          <w:rPr>
            <w:rFonts w:ascii="Cambria Math" w:hAnsi="Cambria Math"/>
          </w:rPr>
          <m:t>)&lt;</m:t>
        </m:r>
        <m:r>
          <w:rPr>
            <w:rFonts w:ascii="Cambria Math" w:hAnsi="Cambria Math"/>
          </w:rPr>
          <m:t>1</m:t>
        </m:r>
      </m:oMath>
      <w:r>
        <w:t xml:space="preserve"> and </w:t>
      </w:r>
      <m:oMath>
        <m:r>
          <w:rPr>
            <w:rFonts w:ascii="Cambria Math" w:hAnsi="Cambria Math"/>
          </w:rPr>
          <m:t>γ</m:t>
        </m:r>
        <m:r>
          <m:rPr>
            <m:sty m:val="p"/>
          </m:rPr>
          <w:rPr>
            <w:rFonts w:ascii="Cambria Math" w:hAnsi="Cambria Math"/>
          </w:rPr>
          <m:t>&gt;</m:t>
        </m:r>
        <m:r>
          <w:rPr>
            <w:rFonts w:ascii="Cambria Math" w:hAnsi="Cambria Math"/>
          </w:rPr>
          <m:t>2</m:t>
        </m:r>
      </m:oMath>
      <w:r>
        <w:t xml:space="preserve">, each parenthesis is greater than 1, and therefore </w:t>
      </w:r>
      <m:oMath>
        <m:sSub>
          <m:sSubPr>
            <m:ctrlPr>
              <w:rPr>
                <w:rFonts w:ascii="Cambria Math" w:hAnsi="Cambria Math"/>
              </w:rPr>
            </m:ctrlPr>
          </m:sSubPr>
          <m:e>
            <m:r>
              <w:rPr>
                <w:rFonts w:ascii="Cambria Math" w:hAnsi="Cambria Math"/>
              </w:rPr>
              <m:t>ω</m:t>
            </m:r>
          </m:e>
          <m:sub>
            <m:r>
              <w:rPr>
                <w:rFonts w:ascii="Cambria Math" w:hAnsi="Cambria Math"/>
              </w:rPr>
              <m:t>d</m:t>
            </m:r>
          </m:sub>
        </m:sSub>
        <m:r>
          <m:rPr>
            <m:sty m:val="p"/>
          </m:rPr>
          <w:rPr>
            <w:rFonts w:ascii="Cambria Math" w:hAnsi="Cambria Math"/>
          </w:rPr>
          <m:t>&lt;</m:t>
        </m:r>
        <m:sSub>
          <m:sSubPr>
            <m:ctrlPr>
              <w:rPr>
                <w:rFonts w:ascii="Cambria Math" w:hAnsi="Cambria Math"/>
              </w:rPr>
            </m:ctrlPr>
          </m:sSubPr>
          <m:e>
            <m:r>
              <w:rPr>
                <w:rFonts w:ascii="Cambria Math" w:hAnsi="Cambria Math"/>
              </w:rPr>
              <m:t>ω</m:t>
            </m:r>
          </m:e>
          <m:sub>
            <m:r>
              <w:rPr>
                <w:rFonts w:ascii="Cambria Math" w:hAnsi="Cambria Math"/>
              </w:rPr>
              <m:t>0</m:t>
            </m:r>
          </m:sub>
        </m:sSub>
      </m:oMath>
      <w:r>
        <w:t xml:space="preserve"> (note the minus sign in </w:t>
      </w:r>
      <m:oMath>
        <m:sSub>
          <m:sSubPr>
            <m:ctrlPr>
              <w:rPr>
                <w:rFonts w:ascii="Cambria Math" w:hAnsi="Cambria Math"/>
              </w:rPr>
            </m:ctrlPr>
          </m:sSubPr>
          <m:e>
            <m:r>
              <w:rPr>
                <w:rFonts w:ascii="Cambria Math" w:hAnsi="Cambria Math"/>
              </w:rPr>
              <m:t>ω</m:t>
            </m:r>
          </m:e>
          <m:sub>
            <m:r>
              <w:rPr>
                <w:rFonts w:ascii="Cambria Math" w:hAnsi="Cambria Math"/>
              </w:rPr>
              <m:t>0</m:t>
            </m:r>
          </m:sub>
        </m:sSub>
      </m:oMath>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578F6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618F3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0B5AE8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00491757">
    <w:abstractNumId w:val="0"/>
  </w:num>
  <w:num w:numId="2" w16cid:durableId="15485662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0797905">
    <w:abstractNumId w:val="1"/>
  </w:num>
  <w:num w:numId="4" w16cid:durableId="769592100">
    <w:abstractNumId w:val="1"/>
  </w:num>
  <w:num w:numId="5" w16cid:durableId="1195117717">
    <w:abstractNumId w:val="1"/>
  </w:num>
  <w:num w:numId="6" w16cid:durableId="1022049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Start w:val="2"/>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9210D"/>
    <w:rsid w:val="00017CEC"/>
    <w:rsid w:val="00116E16"/>
    <w:rsid w:val="00185B6A"/>
    <w:rsid w:val="0019210D"/>
    <w:rsid w:val="001F0FC5"/>
    <w:rsid w:val="00600718"/>
    <w:rsid w:val="00794C95"/>
    <w:rsid w:val="00960952"/>
    <w:rsid w:val="00C57343"/>
    <w:rsid w:val="00DC2973"/>
    <w:rsid w:val="00E07C97"/>
    <w:rsid w:val="00E44CD3"/>
    <w:rsid w:val="00FD13F0"/>
    <w:rsid w:val="00FD612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7220D301"/>
  <w15:docId w15:val="{D364DD9D-6652-DB43-B2CE-4977DDC3A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DC297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DC2973"/>
    <w:rPr>
      <w:color w:val="96607D" w:themeColor="followedHyperlink"/>
      <w:u w:val="single"/>
    </w:rPr>
  </w:style>
  <w:style w:type="character" w:styleId="UnresolvedMention">
    <w:name w:val="Unresolved Mention"/>
    <w:basedOn w:val="DefaultParagraphFont"/>
    <w:uiPriority w:val="99"/>
    <w:semiHidden/>
    <w:unhideWhenUsed/>
    <w:rsid w:val="00DC29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90F2FD-3E7B-8241-9118-2A7C30A51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3813</Words>
  <Characters>21737</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Oded Hollander</dc:creator>
  <cp:keywords/>
  <cp:lastModifiedBy>Oded Hollander</cp:lastModifiedBy>
  <cp:revision>2</cp:revision>
  <dcterms:created xsi:type="dcterms:W3CDTF">2025-11-12T11:20:00Z</dcterms:created>
  <dcterms:modified xsi:type="dcterms:W3CDTF">2025-11-12T11:20:00Z</dcterms:modified>
</cp:coreProperties>
</file>