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rFonts w:ascii="Calibri" w:cs="Calibri" w:eastAsia="Calibri" w:hAnsi="Calibri"/>
          <w:b/>
          <w:bCs/>
          <w:color w:val="1F7A8C"/>
          <w:sz w:val="22"/>
          <w:szCs w:val="22"/>
        </w:rPr>
        <w:t xml:space="preserve">ODESOCAN · Canarias en Datos</w:t>
      </w:r>
    </w:p>
    <w:p>
      <w:pPr>
        <w:spacing w:before="80"/>
      </w:pPr>
      <w:r>
        <w:rPr>
          <w:rFonts w:ascii="Calibri" w:cs="Calibri" w:eastAsia="Calibri" w:hAnsi="Calibri"/>
          <w:color w:val="5C6770"/>
          <w:sz w:val="18"/>
          <w:szCs w:val="18"/>
        </w:rPr>
        <w:t xml:space="preserve">Línea de investigación: Presupuestos autonómicos</w:t>
      </w:r>
    </w:p>
    <w:p>
      <w:pPr>
        <w:spacing w:before="800"/>
      </w:pPr>
      <w:r>
        <w:rPr>
          <w:rFonts w:ascii="Calibri" w:cs="Calibri" w:eastAsia="Calibri" w:hAnsi="Calibri"/>
          <w:color w:val="5C6770"/>
          <w:sz w:val="30"/>
          <w:szCs w:val="30"/>
        </w:rPr>
        <w:t xml:space="preserve">Cuaderno metodológico</w:t>
      </w:r>
    </w:p>
    <w:p>
      <w:pPr>
        <w:spacing w:before="0"/>
      </w:pPr>
      <w:r>
        <w:rPr>
          <w:rFonts w:ascii="Calibri" w:cs="Calibri" w:eastAsia="Calibri" w:hAnsi="Calibri"/>
          <w:b/>
          <w:bCs/>
          <w:color w:val="0E3A53"/>
          <w:sz w:val="56"/>
          <w:szCs w:val="56"/>
        </w:rPr>
        <w:t xml:space="preserve">Pipeline Presupuestos</w:t>
      </w:r>
    </w:p>
    <w:p>
      <w:pPr>
        <w:spacing w:before="120"/>
      </w:pPr>
      <w:r>
        <w:rPr>
          <w:rFonts w:ascii="Calibri" w:cs="Calibri" w:eastAsia="Calibri" w:hAnsi="Calibri"/>
          <w:i/>
          <w:iCs/>
          <w:color w:val="1F7A8C"/>
          <w:sz w:val="24"/>
          <w:szCs w:val="24"/>
        </w:rPr>
        <w:t xml:space="preserve">Marco metodológico · Arquitectura · Modelo de datos · Automatización · Anexos de código</w:t>
      </w:r>
    </w:p>
    <w:p>
      <w:pPr>
        <w:spacing w:before="2200"/>
      </w:pPr>
      <w:r>
        <w:rPr>
          <w:rFonts w:ascii="Calibri" w:cs="Calibri" w:eastAsia="Calibri" w:hAnsi="Calibri"/>
          <w:color w:val="1B1F23"/>
          <w:sz w:val="22"/>
          <w:szCs w:val="22"/>
        </w:rPr>
        <w:t xml:space="preserve">Versión del documento: 11/05/2026</w:t>
      </w:r>
    </w:p>
    <w:p>
      <w:pPr>
        <w:spacing w:before="40"/>
      </w:pPr>
      <w:r>
        <w:rPr>
          <w:rFonts w:ascii="Calibri" w:cs="Calibri" w:eastAsia="Calibri" w:hAnsi="Calibri"/>
          <w:i/>
          <w:iCs/>
          <w:color w:val="5C6770"/>
          <w:sz w:val="18"/>
          <w:szCs w:val="18"/>
        </w:rPr>
        <w:t xml:space="preserve">Sustituye a la versión 06/05/2026</w:t>
      </w:r>
    </w:p>
    <w:p>
      <w:pPr>
        <w:spacing w:before="200"/>
      </w:pPr>
      <w:r>
        <w:rPr>
          <w:rFonts w:ascii="Calibri" w:cs="Calibri" w:eastAsia="Calibri" w:hAnsi="Calibri"/>
          <w:color w:val="1B1F23"/>
          <w:sz w:val="20"/>
          <w:szCs w:val="20"/>
        </w:rPr>
        <w:t xml:space="preserve">Investigación: Cristian C. P. V. · investigacion@odesocan.org</w:t>
      </w:r>
    </w:p>
    <w:p>
      <w:pPr>
        <w:pStyle w:val="Heading1"/>
        <w:pageBreakBefore/>
        <w:spacing w:after="200" w:before="0"/>
      </w:pPr>
      <w:r>
        <w:rPr>
          <w:rFonts w:ascii="Calibri" w:cs="Calibri" w:eastAsia="Calibri" w:hAnsi="Calibri"/>
          <w:b/>
          <w:bCs/>
          <w:color w:val="0E3A53"/>
          <w:sz w:val="40"/>
          <w:szCs w:val="40"/>
        </w:rPr>
        <w:t xml:space="preserve">Índice</w:t>
      </w:r>
    </w:p>
    <w:p>
      <w:pPr>
        <w:tabs>
          <w:tab w:val="right" w:pos="9200"/>
        </w:tabs>
        <w:spacing w:after="80" w:before="80"/>
      </w:pPr>
      <w:r>
        <w:rPr>
          <w:rFonts w:ascii="Calibri" w:cs="Calibri" w:eastAsia="Calibri" w:hAnsi="Calibri"/>
          <w:color w:val="5C6770"/>
          <w:sz w:val="22"/>
          <w:szCs w:val="22"/>
        </w:rPr>
        <w:t xml:space="preserve">01  </w:t>
      </w:r>
      <w:hyperlink w:history="1" w:anchor="bm_parte1">
        <w:r>
          <w:rPr>
            <w:rFonts w:ascii="Calibri" w:cs="Calibri" w:eastAsia="Calibri" w:hAnsi="Calibri"/>
            <w:color w:val="1F7A8C"/>
            <w:sz w:val="22"/>
            <w:szCs w:val="22"/>
          </w:rPr>
          <w:t xml:space="preserve">Parte I · Marco metodológico</w:t>
        </w:r>
      </w:hyperlink>
    </w:p>
    <w:p>
      <w:pPr>
        <w:tabs>
          <w:tab w:val="right" w:pos="9200"/>
        </w:tabs>
        <w:spacing w:after="80" w:before="80"/>
      </w:pPr>
      <w:r>
        <w:rPr>
          <w:rFonts w:ascii="Calibri" w:cs="Calibri" w:eastAsia="Calibri" w:hAnsi="Calibri"/>
          <w:color w:val="5C6770"/>
          <w:sz w:val="22"/>
          <w:szCs w:val="22"/>
        </w:rPr>
        <w:t xml:space="preserve">02  </w:t>
      </w:r>
      <w:hyperlink w:history="1" w:anchor="bm_parte2">
        <w:r>
          <w:rPr>
            <w:rFonts w:ascii="Calibri" w:cs="Calibri" w:eastAsia="Calibri" w:hAnsi="Calibri"/>
            <w:color w:val="1F7A8C"/>
            <w:sz w:val="22"/>
            <w:szCs w:val="22"/>
          </w:rPr>
          <w:t xml:space="preserve">Parte II · Arquitectura del pipeline</w:t>
        </w:r>
      </w:hyperlink>
    </w:p>
    <w:p>
      <w:pPr>
        <w:tabs>
          <w:tab w:val="right" w:pos="9200"/>
        </w:tabs>
        <w:spacing w:after="80" w:before="80"/>
      </w:pPr>
      <w:r>
        <w:rPr>
          <w:rFonts w:ascii="Calibri" w:cs="Calibri" w:eastAsia="Calibri" w:hAnsi="Calibri"/>
          <w:color w:val="5C6770"/>
          <w:sz w:val="22"/>
          <w:szCs w:val="22"/>
        </w:rPr>
        <w:t xml:space="preserve">03  </w:t>
      </w:r>
      <w:hyperlink w:history="1" w:anchor="bm_parte3">
        <w:r>
          <w:rPr>
            <w:rFonts w:ascii="Calibri" w:cs="Calibri" w:eastAsia="Calibri" w:hAnsi="Calibri"/>
            <w:color w:val="1F7A8C"/>
            <w:sz w:val="22"/>
            <w:szCs w:val="22"/>
          </w:rPr>
          <w:t xml:space="preserve">Parte III · Modelo de datos</w:t>
        </w:r>
      </w:hyperlink>
    </w:p>
    <w:p>
      <w:pPr>
        <w:tabs>
          <w:tab w:val="right" w:pos="9200"/>
        </w:tabs>
        <w:spacing w:after="80" w:before="80"/>
      </w:pPr>
      <w:r>
        <w:rPr>
          <w:rFonts w:ascii="Calibri" w:cs="Calibri" w:eastAsia="Calibri" w:hAnsi="Calibri"/>
          <w:color w:val="5C6770"/>
          <w:sz w:val="22"/>
          <w:szCs w:val="22"/>
        </w:rPr>
        <w:t xml:space="preserve">04  </w:t>
      </w:r>
      <w:hyperlink w:history="1" w:anchor="bm_parte4">
        <w:r>
          <w:rPr>
            <w:rFonts w:ascii="Calibri" w:cs="Calibri" w:eastAsia="Calibri" w:hAnsi="Calibri"/>
            <w:color w:val="1F7A8C"/>
            <w:sz w:val="22"/>
            <w:szCs w:val="22"/>
          </w:rPr>
          <w:t xml:space="preserve">Parte IV · Automatización con GitHub Actions</w:t>
        </w:r>
      </w:hyperlink>
    </w:p>
    <w:p>
      <w:pPr>
        <w:tabs>
          <w:tab w:val="right" w:pos="9200"/>
        </w:tabs>
        <w:spacing w:after="80" w:before="80"/>
      </w:pPr>
      <w:r>
        <w:rPr>
          <w:rFonts w:ascii="Calibri" w:cs="Calibri" w:eastAsia="Calibri" w:hAnsi="Calibri"/>
          <w:color w:val="5C6770"/>
          <w:sz w:val="22"/>
          <w:szCs w:val="22"/>
        </w:rPr>
        <w:t xml:space="preserve">05  </w:t>
      </w:r>
      <w:hyperlink w:history="1" w:anchor="bm_parte5">
        <w:r>
          <w:rPr>
            <w:rFonts w:ascii="Calibri" w:cs="Calibri" w:eastAsia="Calibri" w:hAnsi="Calibri"/>
            <w:color w:val="1F7A8C"/>
            <w:sz w:val="22"/>
            <w:szCs w:val="22"/>
          </w:rPr>
          <w:t xml:space="preserve">Parte V · Zonas sensibles y producción futura</w:t>
        </w:r>
      </w:hyperlink>
    </w:p>
    <w:p>
      <w:pPr>
        <w:tabs>
          <w:tab w:val="right" w:pos="9200"/>
        </w:tabs>
        <w:spacing w:after="80" w:before="80"/>
      </w:pPr>
      <w:r>
        <w:rPr>
          <w:rFonts w:ascii="Calibri" w:cs="Calibri" w:eastAsia="Calibri" w:hAnsi="Calibri"/>
          <w:color w:val="5C6770"/>
          <w:sz w:val="22"/>
          <w:szCs w:val="22"/>
        </w:rPr>
        <w:t xml:space="preserve">06  </w:t>
      </w:r>
      <w:hyperlink w:history="1" w:anchor="bm_anexo_a">
        <w:r>
          <w:rPr>
            <w:rFonts w:ascii="Calibri" w:cs="Calibri" w:eastAsia="Calibri" w:hAnsi="Calibri"/>
            <w:color w:val="1F7A8C"/>
            <w:sz w:val="22"/>
            <w:szCs w:val="22"/>
          </w:rPr>
          <w:t xml:space="preserve">Anexo A · Tabla de correspondencias (resumen)</w:t>
        </w:r>
      </w:hyperlink>
    </w:p>
    <w:p>
      <w:pPr>
        <w:tabs>
          <w:tab w:val="right" w:pos="9200"/>
        </w:tabs>
        <w:spacing w:after="80" w:before="80"/>
      </w:pPr>
      <w:r>
        <w:rPr>
          <w:rFonts w:ascii="Calibri" w:cs="Calibri" w:eastAsia="Calibri" w:hAnsi="Calibri"/>
          <w:color w:val="5C6770"/>
          <w:sz w:val="22"/>
          <w:szCs w:val="22"/>
        </w:rPr>
        <w:t xml:space="preserve">07  </w:t>
      </w:r>
      <w:hyperlink w:history="1" w:anchor="bm_anexo_b">
        <w:r>
          <w:rPr>
            <w:rFonts w:ascii="Calibri" w:cs="Calibri" w:eastAsia="Calibri" w:hAnsi="Calibri"/>
            <w:color w:val="1F7A8C"/>
            <w:sz w:val="22"/>
            <w:szCs w:val="22"/>
          </w:rPr>
          <w:t xml:space="preserve">Anexo B · fuentes.yml</w:t>
        </w:r>
      </w:hyperlink>
    </w:p>
    <w:p>
      <w:pPr>
        <w:tabs>
          <w:tab w:val="right" w:pos="9200"/>
        </w:tabs>
        <w:spacing w:after="80" w:before="80"/>
      </w:pPr>
      <w:r>
        <w:rPr>
          <w:rFonts w:ascii="Calibri" w:cs="Calibri" w:eastAsia="Calibri" w:hAnsi="Calibri"/>
          <w:color w:val="5C6770"/>
          <w:sz w:val="22"/>
          <w:szCs w:val="22"/>
        </w:rPr>
        <w:t xml:space="preserve">08  </w:t>
      </w:r>
      <w:hyperlink w:history="1" w:anchor="bm_anexo_c">
        <w:r>
          <w:rPr>
            <w:rFonts w:ascii="Calibri" w:cs="Calibri" w:eastAsia="Calibri" w:hAnsi="Calibri"/>
            <w:color w:val="1F7A8C"/>
            <w:sz w:val="22"/>
            <w:szCs w:val="22"/>
          </w:rPr>
          <w:t xml:space="preserve">Anexo C · correspondencias.yml</w:t>
        </w:r>
      </w:hyperlink>
    </w:p>
    <w:p>
      <w:pPr>
        <w:tabs>
          <w:tab w:val="right" w:pos="9200"/>
        </w:tabs>
        <w:spacing w:after="80" w:before="80"/>
      </w:pPr>
      <w:r>
        <w:rPr>
          <w:rFonts w:ascii="Calibri" w:cs="Calibri" w:eastAsia="Calibri" w:hAnsi="Calibri"/>
          <w:color w:val="5C6770"/>
          <w:sz w:val="22"/>
          <w:szCs w:val="22"/>
        </w:rPr>
        <w:t xml:space="preserve">09  </w:t>
      </w:r>
      <w:hyperlink w:history="1" w:anchor="bm_anexo_d">
        <w:r>
          <w:rPr>
            <w:rFonts w:ascii="Calibri" w:cs="Calibri" w:eastAsia="Calibri" w:hAnsi="Calibri"/>
            <w:color w:val="1F7A8C"/>
            <w:sz w:val="22"/>
            <w:szCs w:val="22"/>
          </w:rPr>
          <w:t xml:space="preserve">Anexo D · db/schema.sql</w:t>
        </w:r>
      </w:hyperlink>
    </w:p>
    <w:p>
      <w:pPr>
        <w:tabs>
          <w:tab w:val="right" w:pos="9200"/>
        </w:tabs>
        <w:spacing w:after="80" w:before="80"/>
      </w:pPr>
      <w:r>
        <w:rPr>
          <w:rFonts w:ascii="Calibri" w:cs="Calibri" w:eastAsia="Calibri" w:hAnsi="Calibri"/>
          <w:color w:val="5C6770"/>
          <w:sz w:val="22"/>
          <w:szCs w:val="22"/>
        </w:rPr>
        <w:t xml:space="preserve">10  </w:t>
      </w:r>
      <w:hyperlink w:history="1" w:anchor="bm_anexo_e">
        <w:r>
          <w:rPr>
            <w:rFonts w:ascii="Calibri" w:cs="Calibri" w:eastAsia="Calibri" w:hAnsi="Calibri"/>
            <w:color w:val="1F7A8C"/>
            <w:sz w:val="22"/>
            <w:szCs w:val="22"/>
          </w:rPr>
          <w:t xml:space="preserve">Anexo E · 00_maestro.R</w:t>
        </w:r>
      </w:hyperlink>
    </w:p>
    <w:p>
      <w:pPr>
        <w:tabs>
          <w:tab w:val="right" w:pos="9200"/>
        </w:tabs>
        <w:spacing w:after="80" w:before="80"/>
      </w:pPr>
      <w:r>
        <w:rPr>
          <w:rFonts w:ascii="Calibri" w:cs="Calibri" w:eastAsia="Calibri" w:hAnsi="Calibri"/>
          <w:color w:val="5C6770"/>
          <w:sz w:val="22"/>
          <w:szCs w:val="22"/>
        </w:rPr>
        <w:t xml:space="preserve">11  </w:t>
      </w:r>
      <w:hyperlink w:history="1" w:anchor="bm_anexo_f">
        <w:r>
          <w:rPr>
            <w:rFonts w:ascii="Calibri" w:cs="Calibri" w:eastAsia="Calibri" w:hAnsi="Calibri"/>
            <w:color w:val="1F7A8C"/>
            <w:sz w:val="22"/>
            <w:szCs w:val="22"/>
          </w:rPr>
          <w:t xml:space="preserve">Anexo F · R/correspondencias.R</w:t>
        </w:r>
      </w:hyperlink>
    </w:p>
    <w:p>
      <w:pPr>
        <w:tabs>
          <w:tab w:val="right" w:pos="9200"/>
        </w:tabs>
        <w:spacing w:after="80" w:before="80"/>
      </w:pPr>
      <w:r>
        <w:rPr>
          <w:rFonts w:ascii="Calibri" w:cs="Calibri" w:eastAsia="Calibri" w:hAnsi="Calibri"/>
          <w:color w:val="5C6770"/>
          <w:sz w:val="22"/>
          <w:szCs w:val="22"/>
        </w:rPr>
        <w:t xml:space="preserve">12  </w:t>
      </w:r>
      <w:hyperlink w:history="1" w:anchor="bm_anexo_g">
        <w:r>
          <w:rPr>
            <w:rFonts w:ascii="Calibri" w:cs="Calibri" w:eastAsia="Calibri" w:hAnsi="Calibri"/>
            <w:color w:val="1F7A8C"/>
            <w:sz w:val="22"/>
            <w:szCs w:val="22"/>
          </w:rPr>
          <w:t xml:space="preserve">Anexo G · 1_extraccion/extraccion.R</w:t>
        </w:r>
      </w:hyperlink>
    </w:p>
    <w:p>
      <w:pPr>
        <w:tabs>
          <w:tab w:val="right" w:pos="9200"/>
        </w:tabs>
        <w:spacing w:after="80" w:before="80"/>
      </w:pPr>
      <w:r>
        <w:rPr>
          <w:rFonts w:ascii="Calibri" w:cs="Calibri" w:eastAsia="Calibri" w:hAnsi="Calibri"/>
          <w:color w:val="5C6770"/>
          <w:sz w:val="22"/>
          <w:szCs w:val="22"/>
        </w:rPr>
        <w:t xml:space="preserve">13  </w:t>
      </w:r>
      <w:hyperlink w:history="1" w:anchor="bm_anexo_h">
        <w:r>
          <w:rPr>
            <w:rFonts w:ascii="Calibri" w:cs="Calibri" w:eastAsia="Calibri" w:hAnsi="Calibri"/>
            <w:color w:val="1F7A8C"/>
            <w:sz w:val="22"/>
            <w:szCs w:val="22"/>
          </w:rPr>
          <w:t xml:space="preserve">Anexo H · 1_extraccion/extract_pdf.py</w:t>
        </w:r>
      </w:hyperlink>
    </w:p>
    <w:p>
      <w:pPr>
        <w:tabs>
          <w:tab w:val="right" w:pos="9200"/>
        </w:tabs>
        <w:spacing w:after="80" w:before="80"/>
      </w:pPr>
      <w:r>
        <w:rPr>
          <w:rFonts w:ascii="Calibri" w:cs="Calibri" w:eastAsia="Calibri" w:hAnsi="Calibri"/>
          <w:color w:val="5C6770"/>
          <w:sz w:val="22"/>
          <w:szCs w:val="22"/>
        </w:rPr>
        <w:t xml:space="preserve">14  </w:t>
      </w:r>
      <w:hyperlink w:history="1" w:anchor="bm_anexo_i">
        <w:r>
          <w:rPr>
            <w:rFonts w:ascii="Calibri" w:cs="Calibri" w:eastAsia="Calibri" w:hAnsi="Calibri"/>
            <w:color w:val="1F7A8C"/>
            <w:sz w:val="22"/>
            <w:szCs w:val="22"/>
          </w:rPr>
          <w:t xml:space="preserve">Anexo I · .github/workflows/extract.yml</w:t>
        </w:r>
      </w:hyperlink>
    </w:p>
    <w:p>
      <w:pPr>
        <w:tabs>
          <w:tab w:val="right" w:pos="9200"/>
        </w:tabs>
        <w:spacing w:after="80" w:before="80"/>
      </w:pPr>
      <w:r>
        <w:rPr>
          <w:rFonts w:ascii="Calibri" w:cs="Calibri" w:eastAsia="Calibri" w:hAnsi="Calibri"/>
          <w:color w:val="5C6770"/>
          <w:sz w:val="22"/>
          <w:szCs w:val="22"/>
        </w:rPr>
        <w:t xml:space="preserve">15  </w:t>
      </w:r>
      <w:hyperlink w:history="1" w:anchor="bm_anexo_j">
        <w:r>
          <w:rPr>
            <w:rFonts w:ascii="Calibri" w:cs="Calibri" w:eastAsia="Calibri" w:hAnsi="Calibri"/>
            <w:color w:val="1F7A8C"/>
            <w:sz w:val="22"/>
            <w:szCs w:val="22"/>
          </w:rPr>
          <w:t xml:space="preserve">Anexo J · .github/workflows/validate.yml</w:t>
        </w:r>
      </w:hyperlink>
    </w:p>
    <w:p>
      <w:pPr>
        <w:tabs>
          <w:tab w:val="right" w:pos="9200"/>
        </w:tabs>
        <w:spacing w:after="80" w:before="80"/>
      </w:pPr>
      <w:r>
        <w:rPr>
          <w:rFonts w:ascii="Calibri" w:cs="Calibri" w:eastAsia="Calibri" w:hAnsi="Calibri"/>
          <w:color w:val="5C6770"/>
          <w:sz w:val="22"/>
          <w:szCs w:val="22"/>
        </w:rPr>
        <w:t xml:space="preserve">16  </w:t>
      </w:r>
      <w:hyperlink w:history="1" w:anchor="bm_anexo_k">
        <w:r>
          <w:rPr>
            <w:rFonts w:ascii="Calibri" w:cs="Calibri" w:eastAsia="Calibri" w:hAnsi="Calibri"/>
            <w:color w:val="1F7A8C"/>
            <w:sz w:val="22"/>
            <w:szCs w:val="22"/>
          </w:rPr>
          <w:t xml:space="preserve">Anexo K · .github/workflows/deploy.yml</w:t>
        </w:r>
      </w:hyperlink>
    </w:p>
    <w:p>
      <w:pPr>
        <w:tabs>
          <w:tab w:val="right" w:pos="9200"/>
        </w:tabs>
        <w:spacing w:after="80" w:before="80"/>
      </w:pPr>
      <w:r>
        <w:rPr>
          <w:rFonts w:ascii="Calibri" w:cs="Calibri" w:eastAsia="Calibri" w:hAnsi="Calibri"/>
          <w:color w:val="5C6770"/>
          <w:sz w:val="22"/>
          <w:szCs w:val="22"/>
        </w:rPr>
        <w:t xml:space="preserve">17  </w:t>
      </w:r>
      <w:hyperlink w:history="1" w:anchor="bm_glosario">
        <w:r>
          <w:rPr>
            <w:rFonts w:ascii="Calibri" w:cs="Calibri" w:eastAsia="Calibri" w:hAnsi="Calibri"/>
            <w:color w:val="1F7A8C"/>
            <w:sz w:val="22"/>
            <w:szCs w:val="22"/>
          </w:rPr>
          <w:t xml:space="preserve">Anexo L · Glosario operativo</w:t>
        </w:r>
      </w:hyperlink>
    </w:p>
    <w:p>
      <w:pPr>
        <w:pStyle w:val="Heading1"/>
        <w:pageBreakBefore/>
        <w:spacing w:after="200" w:before="0"/>
      </w:pPr>
      <w:bookmarkStart w:name="bm_cambios" w:id="100"/>
      <w:r>
        <w:rPr>
          <w:rFonts w:ascii="Calibri" w:cs="Calibri" w:eastAsia="Calibri" w:hAnsi="Calibri"/>
          <w:b/>
          <w:bCs/>
          <w:color w:val="0E3A53"/>
          <w:sz w:val="40"/>
          <w:szCs w:val="40"/>
        </w:rPr>
        <w:t xml:space="preserve">Control de cambios</w:t>
      </w:r>
      <w:bookmarkEnd w:id="100"/>
    </w:p>
    <w:p>
      <w:pPr>
        <w:spacing w:after="80" w:before="80" w:line="300"/>
        <w:jc w:val="both"/>
      </w:pPr>
      <w:r>
        <w:rPr>
          <w:rFonts w:ascii="Calibri" w:cs="Calibri" w:eastAsia="Calibri" w:hAnsi="Calibri"/>
          <w:color w:val="1B1F23"/>
          <w:sz w:val="22"/>
          <w:szCs w:val="22"/>
        </w:rPr>
        <w:t xml:space="preserve">Esta versión refunde la antigua Guía metodológica de presupuestos autonómicos (conceptos y fuentes) y el antiguo Cuaderno metodológico de presupuestos (que aún heredaba estructura del pipeline Vivienda). Incorpora además la Tabla de correspondencias por CCAA y los esqueletos de código listos para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Versión</w:t>
            </w:r>
          </w:p>
        </w:tc>
        <w:tc>
          <w:tcPr>
            <w:tcW w:type="dxa" w:w="16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Fecha</w:t>
            </w:r>
          </w:p>
        </w:tc>
        <w:tc>
          <w:tcPr>
            <w:tcW w:type="dxa" w:w="636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Cambios principales</w:t>
            </w:r>
          </w:p>
        </w:tc>
      </w:tr>
      <w:tr>
        <w:tc>
          <w:tcPr>
            <w:tcW w:type="dxa" w:w="14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1.0</w:t>
            </w:r>
          </w:p>
        </w:tc>
        <w:tc>
          <w:tcPr>
            <w:tcW w:type="dxa" w:w="16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06/05/2026</w:t>
            </w:r>
          </w:p>
        </w:tc>
        <w:tc>
          <w:tcPr>
            <w:tcW w:type="dxa" w:w="63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Plantilla heredada del pipeline Vivienda con marcadores para Presupuestos.</w:t>
            </w:r>
          </w:p>
        </w:tc>
      </w:tr>
      <w:tr>
        <w:tc>
          <w:tcPr>
            <w:tcW w:type="dxa" w:w="14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2.0</w:t>
            </w:r>
          </w:p>
        </w:tc>
        <w:tc>
          <w:tcPr>
            <w:tcW w:type="dxa" w:w="16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11/05/2026</w:t>
            </w:r>
          </w:p>
        </w:tc>
        <w:tc>
          <w:tcPr>
            <w:tcW w:type="dxa" w:w="63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Refundición completa: incorpora marco metodológico, arquitectura R+Python, esquema PostgreSQL, workflows GH Actions y anexos de código.</w:t>
            </w:r>
          </w:p>
        </w:tc>
      </w:tr>
    </w:tbl>
    <w:p>
      <w:pPr>
        <w:pStyle w:val="Heading1"/>
        <w:pageBreakBefore/>
        <w:spacing w:after="200" w:before="0"/>
      </w:pPr>
      <w:bookmarkStart w:name="bm_parte1" w:id="101"/>
      <w:r>
        <w:rPr>
          <w:rFonts w:ascii="Calibri" w:cs="Calibri" w:eastAsia="Calibri" w:hAnsi="Calibri"/>
          <w:b/>
          <w:bCs/>
          <w:color w:val="0E3A53"/>
          <w:sz w:val="40"/>
          <w:szCs w:val="40"/>
        </w:rPr>
        <w:t xml:space="preserve">Parte I · Marco metodológico</w:t>
      </w:r>
      <w:bookmarkEnd w:id="10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2"/>
              <w:left w:val="single" w:color="1F7A8C" w:sz="12"/>
              <w:bottom w:val="single" w:color="1F7A8C" w:sz="4"/>
              <w:right w:val="single" w:color="1F7A8C" w:sz="4"/>
            </w:tcBorders>
            <w:shd w:fill="D4E4EA" w:color="auto" w:val="clear"/>
            <w:tcMar>
              <w:top w:type="dxa" w:w="160"/>
              <w:left w:type="dxa" w:w="200"/>
              <w:bottom w:type="dxa" w:w="160"/>
              <w:right w:type="dxa" w:w="200"/>
            </w:tcMar>
          </w:tcPr>
          <w:p>
            <w:pPr>
              <w:spacing w:after="60" w:before="0"/>
            </w:pPr>
            <w:r>
              <w:rPr>
                <w:rFonts w:ascii="Calibri" w:cs="Calibri" w:eastAsia="Calibri" w:hAnsi="Calibri"/>
                <w:b/>
                <w:bCs/>
                <w:color w:val="0E3A53"/>
                <w:sz w:val="22"/>
                <w:szCs w:val="22"/>
              </w:rPr>
              <w:t xml:space="preserve">Recomendación central</w:t>
            </w:r>
          </w:p>
          <w:p>
            <w:pPr>
              <w:spacing w:after="0" w:before="0"/>
              <w:jc w:val="both"/>
            </w:pPr>
            <w:r>
              <w:rPr>
                <w:rFonts w:ascii="Calibri" w:cs="Calibri" w:eastAsia="Calibri" w:hAnsi="Calibri"/>
                <w:color w:val="1B1F23"/>
                <w:sz w:val="22"/>
                <w:szCs w:val="22"/>
              </w:rPr>
              <w:t xml:space="preserve">Construir la sección presupuestaria con dos capas: una capa estatal homogénea, basada en Hacienda, para comparar todas las comunidades; y una capa autonómica granular, basada en portales de cada comunidad, para llegar a sección, programa, concepto y subconcepto cuando la fuente lo permita.</w:t>
            </w:r>
          </w:p>
        </w:tc>
      </w:tr>
    </w:tbl>
    <w:p>
      <w:pPr>
        <w:pStyle w:val="Heading2"/>
        <w:spacing w:after="120" w:before="280"/>
      </w:pPr>
      <w:r>
        <w:rPr>
          <w:rFonts w:ascii="Calibri" w:cs="Calibri" w:eastAsia="Calibri" w:hAnsi="Calibri"/>
          <w:b/>
          <w:bCs/>
          <w:color w:val="1F7A8C"/>
          <w:sz w:val="30"/>
          <w:szCs w:val="30"/>
        </w:rPr>
        <w:t xml:space="preserve">1.1 Objeto y alcance</w:t>
      </w:r>
    </w:p>
    <w:p>
      <w:pPr>
        <w:spacing w:after="80" w:before="80" w:line="300"/>
        <w:jc w:val="both"/>
      </w:pPr>
      <w:r>
        <w:rPr>
          <w:rFonts w:ascii="Calibri" w:cs="Calibri" w:eastAsia="Calibri" w:hAnsi="Calibri"/>
          <w:color w:val="1B1F23"/>
          <w:sz w:val="22"/>
          <w:szCs w:val="22"/>
        </w:rPr>
        <w:t xml:space="preserve">El pipeline de Presupuestos identifica, extrae, normaliza e integra el resumen presupuestario aprobado de las 17 comunidades autónomas y, opcionalmente, de las ciudades autónomas, para alimentar la sección de Presupuestos de Canarias en Datos. Se centra en presupuestos iniciales aprobados. Ejecución, modificaciones y liquidaciones pueden integrarse como capas adicionales sin mezclarlas con el presupuesto inicial.</w:t>
      </w:r>
    </w:p>
    <w:p>
      <w:pPr>
        <w:pStyle w:val="Heading2"/>
        <w:spacing w:after="120" w:before="280"/>
      </w:pPr>
      <w:r>
        <w:rPr>
          <w:rFonts w:ascii="Calibri" w:cs="Calibri" w:eastAsia="Calibri" w:hAnsi="Calibri"/>
          <w:b/>
          <w:bCs/>
          <w:color w:val="1F7A8C"/>
          <w:sz w:val="30"/>
          <w:szCs w:val="30"/>
        </w:rPr>
        <w:t xml:space="preserve">1.2 Definiciones operativas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Concepto</w:t>
            </w:r>
          </w:p>
        </w:tc>
        <w:tc>
          <w:tcPr>
            <w:tcW w:type="dxa" w:w="48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Definición metodológica</w:t>
            </w:r>
          </w:p>
        </w:tc>
        <w:tc>
          <w:tcPr>
            <w:tcW w:type="dxa" w:w="276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Uso</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Presupuesto aprobado</w:t>
            </w:r>
          </w:p>
        </w:tc>
        <w:tc>
          <w:tcPr>
            <w:tcW w:type="dxa" w:w="48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Créditos iniciales de gasto y previsiones iniciales de ingreso aprobados por ley o prórroga.</w:t>
            </w:r>
          </w:p>
        </w:tc>
        <w:tc>
          <w:tcPr>
            <w:tcW w:type="dxa" w:w="27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Base para comparar prioridades políticas antes de la ejecución.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Consolidado</w:t>
            </w:r>
          </w:p>
        </w:tc>
        <w:tc>
          <w:tcPr>
            <w:tcW w:type="dxa" w:w="4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Presupuesto agregado eliminando transferencias internas entre entidades del perímetro.</w:t>
            </w:r>
          </w:p>
        </w:tc>
        <w:tc>
          <w:tcPr>
            <w:tcW w:type="dxa" w:w="27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Capa recomendada para comparar entre CCAA.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Sin consolidar</w:t>
            </w:r>
          </w:p>
        </w:tc>
        <w:tc>
          <w:tcPr>
            <w:tcW w:type="dxa" w:w="48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Detalle individual de Administración General, organismos y entes con presupuesto limitativo.</w:t>
            </w:r>
          </w:p>
        </w:tc>
        <w:tc>
          <w:tcPr>
            <w:tcW w:type="dxa" w:w="27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Útil para análisis institucional.</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Clasificación orgánica</w:t>
            </w:r>
          </w:p>
        </w:tc>
        <w:tc>
          <w:tcPr>
            <w:tcW w:type="dxa" w:w="4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Quién gestiona el crédito: sección, servicio, centro gestor o ente.</w:t>
            </w:r>
          </w:p>
        </w:tc>
        <w:tc>
          <w:tcPr>
            <w:tcW w:type="dxa" w:w="27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Identifica consejerías y unidades gestoras.</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Clasificación funcional/programas</w:t>
            </w:r>
          </w:p>
        </w:tc>
        <w:tc>
          <w:tcPr>
            <w:tcW w:type="dxa" w:w="48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Finalidad del gasto: áreas, políticas, programas o subprogramas.</w:t>
            </w:r>
          </w:p>
        </w:tc>
        <w:tc>
          <w:tcPr>
            <w:tcW w:type="dxa" w:w="27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Análisis por políticas públicas.</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Clasificación económica</w:t>
            </w:r>
          </w:p>
        </w:tc>
        <w:tc>
          <w:tcPr>
            <w:tcW w:type="dxa" w:w="4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Naturaleza del gasto/ingreso: capítulo, artículo, concepto, subconcepto.</w:t>
            </w:r>
          </w:p>
        </w:tc>
        <w:tc>
          <w:tcPr>
            <w:tcW w:type="dxa" w:w="27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Explica en qué se gasta.</w:t>
            </w:r>
          </w:p>
        </w:tc>
      </w:tr>
    </w:tbl>
    <w:p>
      <w:pPr>
        <w:pStyle w:val="Heading2"/>
        <w:spacing w:after="120" w:before="280"/>
      </w:pPr>
      <w:r>
        <w:rPr>
          <w:rFonts w:ascii="Calibri" w:cs="Calibri" w:eastAsia="Calibri" w:hAnsi="Calibri"/>
          <w:b/>
          <w:bCs/>
          <w:color w:val="1F7A8C"/>
          <w:sz w:val="30"/>
          <w:szCs w:val="30"/>
        </w:rPr>
        <w:t xml:space="preserve">1.3 Principio metodológico: comparabilidad vs. granularidad</w:t>
      </w:r>
    </w:p>
    <w:p>
      <w:pPr>
        <w:pStyle w:val="ListParagraph"/>
        <w:numPr>
          <w:ilvl w:val="0"/>
          <w:numId w:val="2"/>
        </w:numPr>
        <w:spacing w:after="40" w:before="40" w:line="280"/>
      </w:pPr>
      <w:r>
        <w:rPr>
          <w:rFonts w:ascii="Calibri" w:cs="Calibri" w:eastAsia="Calibri" w:hAnsi="Calibri"/>
          <w:color w:val="1B1F23"/>
          <w:sz w:val="22"/>
          <w:szCs w:val="22"/>
        </w:rPr>
        <w:t xml:space="preserve">Comparabilidad: capa estatal de Hacienda homogeneiza presupuestos autonómicos.</w:t>
      </w:r>
    </w:p>
    <w:p>
      <w:pPr>
        <w:pStyle w:val="ListParagraph"/>
        <w:numPr>
          <w:ilvl w:val="0"/>
          <w:numId w:val="2"/>
        </w:numPr>
        <w:spacing w:after="40" w:before="40" w:line="280"/>
      </w:pPr>
      <w:r>
        <w:rPr>
          <w:rFonts w:ascii="Calibri" w:cs="Calibri" w:eastAsia="Calibri" w:hAnsi="Calibri"/>
          <w:color w:val="1B1F23"/>
          <w:sz w:val="22"/>
          <w:szCs w:val="22"/>
        </w:rPr>
        <w:t xml:space="preserve">Granularidad: fuentes autonómicas originales, para llegar a sección, programa, concepto o subconcepto.</w:t>
      </w:r>
    </w:p>
    <w:p>
      <w:pPr>
        <w:pStyle w:val="ListParagraph"/>
        <w:numPr>
          <w:ilvl w:val="0"/>
          <w:numId w:val="2"/>
        </w:numPr>
        <w:spacing w:after="40" w:before="40" w:line="280"/>
      </w:pPr>
      <w:r>
        <w:rPr>
          <w:rFonts w:ascii="Calibri" w:cs="Calibri" w:eastAsia="Calibri" w:hAnsi="Calibri"/>
          <w:color w:val="1B1F23"/>
          <w:sz w:val="22"/>
          <w:szCs w:val="22"/>
        </w:rPr>
        <w:t xml:space="preserve">Trazabilidad: conservar siempre URL, fecha de extracción, fase presupuestaria, ejercicio, formato y notas.</w:t>
      </w:r>
    </w:p>
    <w:p>
      <w:pPr>
        <w:pStyle w:val="ListParagraph"/>
        <w:numPr>
          <w:ilvl w:val="0"/>
          <w:numId w:val="2"/>
        </w:numPr>
        <w:spacing w:after="40" w:before="40" w:line="280"/>
      </w:pPr>
      <w:r>
        <w:rPr>
          <w:rFonts w:ascii="Calibri" w:cs="Calibri" w:eastAsia="Calibri" w:hAnsi="Calibri"/>
          <w:color w:val="1B1F23"/>
          <w:sz w:val="22"/>
          <w:szCs w:val="22"/>
        </w:rPr>
        <w:t xml:space="preserve">No equivalencia automática: los programas autonómicos no son comparables entre CCAA sin tabla de correspondencias.</w:t>
      </w:r>
    </w:p>
    <w:p>
      <w:pPr>
        <w:pStyle w:val="Heading2"/>
        <w:spacing w:after="120" w:before="280"/>
      </w:pPr>
      <w:r>
        <w:rPr>
          <w:rFonts w:ascii="Calibri" w:cs="Calibri" w:eastAsia="Calibri" w:hAnsi="Calibri"/>
          <w:b/>
          <w:bCs/>
          <w:color w:val="1F7A8C"/>
          <w:sz w:val="30"/>
          <w:szCs w:val="30"/>
        </w:rPr>
        <w:t xml:space="preserve">1.4 Fuente estatal común</w:t>
      </w:r>
    </w:p>
    <w:p>
      <w:pPr>
        <w:spacing w:after="80" w:before="80" w:line="300"/>
        <w:jc w:val="both"/>
      </w:pPr>
      <w:r>
        <w:rPr>
          <w:rFonts w:ascii="Calibri" w:cs="Calibri" w:eastAsia="Calibri" w:hAnsi="Calibri"/>
          <w:color w:val="1B1F23"/>
          <w:sz w:val="22"/>
          <w:szCs w:val="22"/>
        </w:rPr>
        <w:t xml:space="preserve">La aplicación de datos presupuestarios de la Secretaría General de Financiación Autonómica y Local del Ministerio de Hacienda ofrece series desde 2002 con clasificación económica por capítulos y clasificación funcional por áreas y políticas de gasto desde 2006. Su limitación es que no proporciona el cruce sección-programa-subconcepto para todas las CCAA: por eso debe combinarse con las fuentes autonómicas para detalle fino.</w:t>
      </w:r>
    </w:p>
    <w:p>
      <w:pPr>
        <w:pStyle w:val="Heading2"/>
        <w:spacing w:after="120" w:before="280"/>
      </w:pPr>
      <w:r>
        <w:rPr>
          <w:rFonts w:ascii="Calibri" w:cs="Calibri" w:eastAsia="Calibri" w:hAnsi="Calibri"/>
          <w:b/>
          <w:bCs/>
          <w:color w:val="1F7A8C"/>
          <w:sz w:val="30"/>
          <w:szCs w:val="30"/>
        </w:rPr>
        <w:t xml:space="preserve">1.5 Fuentes autonómicas (resumen)</w:t>
      </w:r>
    </w:p>
    <w:p>
      <w:pPr>
        <w:spacing w:after="80" w:before="80" w:line="300"/>
        <w:jc w:val="both"/>
      </w:pPr>
      <w:r>
        <w:rPr>
          <w:rFonts w:ascii="Calibri" w:cs="Calibri" w:eastAsia="Calibri" w:hAnsi="Calibri"/>
          <w:color w:val="1B1F23"/>
          <w:sz w:val="22"/>
          <w:szCs w:val="22"/>
        </w:rPr>
        <w:t xml:space="preserve">Las comunidades publican con niveles muy distintos de apertura. El catálogo operativo vive en fuentes.yml (ver Anexo A). Resumen sintético: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200"/>
        <w:gridCol w:w="2360"/>
      </w:tblGrid>
      <w:tr>
        <w:trPr>
          <w:tblHeader/>
        </w:trPr>
        <w:tc>
          <w:tcPr>
            <w:tcW w:type="dxa" w:w="19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Grupo</w:t>
            </w:r>
          </w:p>
        </w:tc>
        <w:tc>
          <w:tcPr>
            <w:tcW w:type="dxa" w:w="29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CCAA</w:t>
            </w:r>
          </w:p>
        </w:tc>
        <w:tc>
          <w:tcPr>
            <w:tcW w:type="dxa" w:w="22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Formato preferente</w:t>
            </w:r>
          </w:p>
        </w:tc>
        <w:tc>
          <w:tcPr>
            <w:tcW w:type="dxa" w:w="236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Observación</w:t>
            </w:r>
          </w:p>
        </w:tc>
      </w:tr>
      <w:tr>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Datos abiertos maduros</w:t>
            </w:r>
          </w:p>
        </w:tc>
        <w:tc>
          <w:tcPr>
            <w:tcW w:type="dxa" w:w="29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Castilla y León, Navarra, Euskadi, Madrid, Andalucía (≥2015)</w:t>
            </w:r>
          </w:p>
        </w:tc>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CSV/XLSX/ODS</w:t>
            </w:r>
          </w:p>
        </w:tc>
        <w:tc>
          <w:tcPr>
            <w:tcW w:type="dxa" w:w="23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Integración directa, baja fricción.</w:t>
            </w:r>
          </w:p>
        </w:tc>
      </w:tr>
      <w:tr>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PDF + portal estructurado</w:t>
            </w:r>
          </w:p>
        </w:tc>
        <w:tc>
          <w:tcPr>
            <w:tcW w:type="dxa" w:w="2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Asturias, Cantabria, Castilla-La Mancha, Cataluña, Extremadura, Galicia, La Rioja, Aragón, Murcia, Valencia, Baleares</w:t>
            </w:r>
          </w:p>
        </w:tc>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PDF (memoria de programas)</w:t>
            </w:r>
          </w:p>
        </w:tc>
        <w:tc>
          <w:tcPr>
            <w:tcW w:type="dxa" w:w="23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Requiere parseo con pdfplumber/camelot.</w:t>
            </w:r>
          </w:p>
        </w:tc>
      </w:tr>
      <w:tr>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PDF con Liferay/JS</w:t>
            </w:r>
          </w:p>
        </w:tc>
        <w:tc>
          <w:tcPr>
            <w:tcW w:type="dxa" w:w="29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Aragón (biblioteca documental), Madrid (libros)</w:t>
            </w:r>
          </w:p>
        </w:tc>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PDF con canonical_url volátil</w:t>
            </w:r>
          </w:p>
        </w:tc>
        <w:tc>
          <w:tcPr>
            <w:tcW w:type="dxa" w:w="23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Mantener canonical_url por ejercicio.</w:t>
            </w:r>
          </w:p>
        </w:tc>
      </w:tr>
      <w:tr>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Canarias</w:t>
            </w:r>
          </w:p>
        </w:tc>
        <w:tc>
          <w:tcPr>
            <w:tcW w:type="dxa" w:w="2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Datos abiertos + Hacienda CAC</w:t>
            </w:r>
          </w:p>
        </w:tc>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CSV (SEFLogiC) + PDF tomos</w:t>
            </w:r>
          </w:p>
        </w:tc>
        <w:tc>
          <w:tcPr>
            <w:tcW w:type="dxa" w:w="23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Prioridad de integración granular.</w:t>
            </w:r>
          </w:p>
        </w:tc>
      </w:tr>
    </w:tbl>
    <w:p>
      <w:pPr>
        <w:pStyle w:val="Heading2"/>
        <w:spacing w:after="120" w:before="280"/>
      </w:pPr>
      <w:r>
        <w:rPr>
          <w:rFonts w:ascii="Calibri" w:cs="Calibri" w:eastAsia="Calibri" w:hAnsi="Calibri"/>
          <w:b/>
          <w:bCs/>
          <w:color w:val="1F7A8C"/>
          <w:sz w:val="30"/>
          <w:szCs w:val="30"/>
        </w:rPr>
        <w:t xml:space="preserve">1.6 Matriz de variables (13 conceptos prioritarios)</w:t>
      </w:r>
    </w:p>
    <w:p>
      <w:pPr>
        <w:spacing w:after="80" w:before="80" w:line="300"/>
        <w:jc w:val="both"/>
      </w:pPr>
      <w:r>
        <w:rPr>
          <w:rFonts w:ascii="Calibri" w:cs="Calibri" w:eastAsia="Calibri" w:hAnsi="Calibri"/>
          <w:color w:val="1B1F23"/>
          <w:sz w:val="22"/>
          <w:szCs w:val="22"/>
        </w:rPr>
        <w:t xml:space="preserve">La sección de Presupuestos calcula indicadores derivados (% PIB, € por habitante, variación interanual) sobre 13 conceptos. La fuente del localizador depende de la naturaleza del concepto: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rPr>
          <w:tblHeader/>
        </w:trPr>
        <w:tc>
          <w:tcPr>
            <w:tcW w:type="dxa" w:w="38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Concepto</w:t>
            </w:r>
          </w:p>
        </w:tc>
        <w:tc>
          <w:tcPr>
            <w:tcW w:type="dxa" w:w="22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Procedencia</w:t>
            </w:r>
          </w:p>
        </w:tc>
        <w:tc>
          <w:tcPr>
            <w:tcW w:type="dxa" w:w="336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Fuente nominal</w:t>
            </w:r>
          </w:p>
        </w:tc>
      </w:tr>
      <w:tr>
        <w:tc>
          <w:tcPr>
            <w:tcW w:type="dxa" w:w="38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Sanidad</w:t>
            </w:r>
          </w:p>
        </w:tc>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Función</w:t>
            </w:r>
          </w:p>
        </w:tc>
        <w:tc>
          <w:tcPr>
            <w:tcW w:type="dxa" w:w="33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Capa Hacienda + memoria de programas</w:t>
            </w:r>
          </w:p>
        </w:tc>
      </w:tr>
      <w:tr>
        <w:tc>
          <w:tcPr>
            <w:tcW w:type="dxa" w:w="3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Educación</w:t>
            </w:r>
          </w:p>
        </w:tc>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Función</w:t>
            </w:r>
          </w:p>
        </w:tc>
        <w:tc>
          <w:tcPr>
            <w:tcW w:type="dxa" w:w="33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Capa Hacienda + memoria de programas</w:t>
            </w:r>
          </w:p>
        </w:tc>
      </w:tr>
      <w:tr>
        <w:tc>
          <w:tcPr>
            <w:tcW w:type="dxa" w:w="38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Soberanía alimentaria (agricultura, ganadería y pesca)</w:t>
            </w:r>
          </w:p>
        </w:tc>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Función</w:t>
            </w:r>
          </w:p>
        </w:tc>
        <w:tc>
          <w:tcPr>
            <w:tcW w:type="dxa" w:w="33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Capa Hacienda + memoria</w:t>
            </w:r>
          </w:p>
        </w:tc>
      </w:tr>
      <w:tr>
        <w:tc>
          <w:tcPr>
            <w:tcW w:type="dxa" w:w="3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Dirección política (alta dirección)</w:t>
            </w:r>
          </w:p>
        </w:tc>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Función</w:t>
            </w:r>
          </w:p>
        </w:tc>
        <w:tc>
          <w:tcPr>
            <w:tcW w:type="dxa" w:w="33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Capa Hacienda + memoria</w:t>
            </w:r>
          </w:p>
        </w:tc>
      </w:tr>
      <w:tr>
        <w:tc>
          <w:tcPr>
            <w:tcW w:type="dxa" w:w="38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Vivienda</w:t>
            </w:r>
          </w:p>
        </w:tc>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Función</w:t>
            </w:r>
          </w:p>
        </w:tc>
        <w:tc>
          <w:tcPr>
            <w:tcW w:type="dxa" w:w="33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Capa Hacienda + memoria</w:t>
            </w:r>
          </w:p>
        </w:tc>
      </w:tr>
      <w:tr>
        <w:tc>
          <w:tcPr>
            <w:tcW w:type="dxa" w:w="3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Empleo</w:t>
            </w:r>
          </w:p>
        </w:tc>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Función</w:t>
            </w:r>
          </w:p>
        </w:tc>
        <w:tc>
          <w:tcPr>
            <w:tcW w:type="dxa" w:w="33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Capa Hacienda + memoria + ente (SCE, SEPE autonómico…)</w:t>
            </w:r>
          </w:p>
        </w:tc>
      </w:tr>
      <w:tr>
        <w:tc>
          <w:tcPr>
            <w:tcW w:type="dxa" w:w="38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I+D+i</w:t>
            </w:r>
          </w:p>
        </w:tc>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Función</w:t>
            </w:r>
          </w:p>
        </w:tc>
        <w:tc>
          <w:tcPr>
            <w:tcW w:type="dxa" w:w="33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Capa Hacienda + ente (GAIN, ACIISI…)</w:t>
            </w:r>
          </w:p>
        </w:tc>
      </w:tr>
      <w:tr>
        <w:tc>
          <w:tcPr>
            <w:tcW w:type="dxa" w:w="3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Dependencia</w:t>
            </w:r>
          </w:p>
        </w:tc>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Sección / DG</w:t>
            </w:r>
          </w:p>
        </w:tc>
        <w:tc>
          <w:tcPr>
            <w:tcW w:type="dxa" w:w="33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Memoria autonómica · tabla de correspondencias</w:t>
            </w:r>
          </w:p>
        </w:tc>
      </w:tr>
      <w:tr>
        <w:tc>
          <w:tcPr>
            <w:tcW w:type="dxa" w:w="38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Discapacidad</w:t>
            </w:r>
          </w:p>
        </w:tc>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Sección / DG</w:t>
            </w:r>
          </w:p>
        </w:tc>
        <w:tc>
          <w:tcPr>
            <w:tcW w:type="dxa" w:w="33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Memoria autonómica · tabla de correspondencias</w:t>
            </w:r>
          </w:p>
        </w:tc>
      </w:tr>
      <w:tr>
        <w:tc>
          <w:tcPr>
            <w:tcW w:type="dxa" w:w="3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Salud mental</w:t>
            </w:r>
          </w:p>
        </w:tc>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Programa</w:t>
            </w:r>
          </w:p>
        </w:tc>
        <w:tc>
          <w:tcPr>
            <w:tcW w:type="dxa" w:w="33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Subprograma del servicio de salud · tabla de correspondencias</w:t>
            </w:r>
          </w:p>
        </w:tc>
      </w:tr>
      <w:tr>
        <w:tc>
          <w:tcPr>
            <w:tcW w:type="dxa" w:w="38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Diversidad (LGTBI, migraciones, etnias)</w:t>
            </w:r>
          </w:p>
        </w:tc>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Programa</w:t>
            </w:r>
          </w:p>
        </w:tc>
        <w:tc>
          <w:tcPr>
            <w:tcW w:type="dxa" w:w="33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Programas específicos · tabla de correspondencias</w:t>
            </w:r>
          </w:p>
        </w:tc>
      </w:tr>
      <w:tr>
        <w:tc>
          <w:tcPr>
            <w:tcW w:type="dxa" w:w="3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Turismo</w:t>
            </w:r>
          </w:p>
        </w:tc>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Programa</w:t>
            </w:r>
          </w:p>
        </w:tc>
        <w:tc>
          <w:tcPr>
            <w:tcW w:type="dxa" w:w="33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Programa 432X/751X + ente turismo</w:t>
            </w:r>
          </w:p>
        </w:tc>
      </w:tr>
      <w:tr>
        <w:tc>
          <w:tcPr>
            <w:tcW w:type="dxa" w:w="38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Igualdad</w:t>
            </w:r>
          </w:p>
        </w:tc>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Ente / Programa</w:t>
            </w:r>
          </w:p>
        </w:tc>
        <w:tc>
          <w:tcPr>
            <w:tcW w:type="dxa" w:w="33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Instituto de la Mujer (ente) o programa Igualdad/VG</w:t>
            </w:r>
          </w:p>
        </w:tc>
      </w:tr>
    </w:tbl>
    <w:p>
      <w:pPr>
        <w:pStyle w:val="Heading2"/>
        <w:spacing w:after="120" w:before="280"/>
      </w:pPr>
      <w:r>
        <w:rPr>
          <w:rFonts w:ascii="Calibri" w:cs="Calibri" w:eastAsia="Calibri" w:hAnsi="Calibri"/>
          <w:b/>
          <w:bCs/>
          <w:color w:val="1F7A8C"/>
          <w:sz w:val="30"/>
          <w:szCs w:val="30"/>
        </w:rPr>
        <w:t xml:space="preserve">1.7 Reglas de normalización</w:t>
      </w:r>
    </w:p>
    <w:p>
      <w:pPr>
        <w:pStyle w:val="ListParagraph"/>
        <w:numPr>
          <w:ilvl w:val="0"/>
          <w:numId w:val="2"/>
        </w:numPr>
        <w:spacing w:after="40" w:before="40" w:line="280"/>
      </w:pPr>
      <w:r>
        <w:rPr>
          <w:rFonts w:ascii="Calibri" w:cs="Calibri" w:eastAsia="Calibri" w:hAnsi="Calibri"/>
          <w:color w:val="1B1F23"/>
          <w:sz w:val="22"/>
          <w:szCs w:val="22"/>
        </w:rPr>
        <w:t xml:space="preserve">Importes siempre en euros. Crear `unidad_origen` cuando la fuente publique en miles.</w:t>
      </w:r>
    </w:p>
    <w:p>
      <w:pPr>
        <w:pStyle w:val="ListParagraph"/>
        <w:numPr>
          <w:ilvl w:val="0"/>
          <w:numId w:val="2"/>
        </w:numPr>
        <w:spacing w:after="40" w:before="40" w:line="280"/>
      </w:pPr>
      <w:r>
        <w:rPr>
          <w:rFonts w:ascii="Calibri" w:cs="Calibri" w:eastAsia="Calibri" w:hAnsi="Calibri"/>
          <w:color w:val="1B1F23"/>
          <w:sz w:val="22"/>
          <w:szCs w:val="22"/>
        </w:rPr>
        <w:t xml:space="preserve">Códigos como texto para no perder ceros a la izquierda.</w:t>
      </w:r>
    </w:p>
    <w:p>
      <w:pPr>
        <w:pStyle w:val="ListParagraph"/>
        <w:numPr>
          <w:ilvl w:val="0"/>
          <w:numId w:val="2"/>
        </w:numPr>
        <w:spacing w:after="40" w:before="40" w:line="280"/>
      </w:pPr>
      <w:r>
        <w:rPr>
          <w:rFonts w:ascii="Calibri" w:cs="Calibri" w:eastAsia="Calibri" w:hAnsi="Calibri"/>
          <w:color w:val="1B1F23"/>
          <w:sz w:val="22"/>
          <w:szCs w:val="22"/>
        </w:rPr>
        <w:t xml:space="preserve">Denominación literal original + denominación normalizada (lower, sin acentos) como campo adicional.</w:t>
      </w:r>
    </w:p>
    <w:p>
      <w:pPr>
        <w:pStyle w:val="ListParagraph"/>
        <w:numPr>
          <w:ilvl w:val="0"/>
          <w:numId w:val="2"/>
        </w:numPr>
        <w:spacing w:after="40" w:before="40" w:line="280"/>
      </w:pPr>
      <w:r>
        <w:rPr>
          <w:rFonts w:ascii="Calibri" w:cs="Calibri" w:eastAsia="Calibri" w:hAnsi="Calibri"/>
          <w:color w:val="1B1F23"/>
          <w:sz w:val="22"/>
          <w:szCs w:val="22"/>
        </w:rPr>
        <w:t xml:space="preserve">Marcar `es_prorroga = TRUE` si el ejercicio está prorrogado; no presentar como nuevo presupuesto ordinario.</w:t>
      </w:r>
    </w:p>
    <w:p>
      <w:pPr>
        <w:pStyle w:val="ListParagraph"/>
        <w:numPr>
          <w:ilvl w:val="0"/>
          <w:numId w:val="2"/>
        </w:numPr>
        <w:spacing w:after="40" w:before="40" w:line="280"/>
      </w:pPr>
      <w:r>
        <w:rPr>
          <w:rFonts w:ascii="Calibri" w:cs="Calibri" w:eastAsia="Calibri" w:hAnsi="Calibri"/>
          <w:color w:val="1B1F23"/>
          <w:sz w:val="22"/>
          <w:szCs w:val="22"/>
        </w:rPr>
        <w:t xml:space="preserve">No sumar datos consolidados y sin consolidar en la misma métrica.</w:t>
      </w:r>
    </w:p>
    <w:p>
      <w:pPr>
        <w:pStyle w:val="ListParagraph"/>
        <w:numPr>
          <w:ilvl w:val="0"/>
          <w:numId w:val="2"/>
        </w:numPr>
        <w:spacing w:after="40" w:before="40" w:line="280"/>
      </w:pPr>
      <w:r>
        <w:rPr>
          <w:rFonts w:ascii="Calibri" w:cs="Calibri" w:eastAsia="Calibri" w:hAnsi="Calibri"/>
          <w:color w:val="1B1F23"/>
          <w:sz w:val="22"/>
          <w:szCs w:val="22"/>
        </w:rPr>
        <w:t xml:space="preserve">No comparar códigos de programa entre CCAA sin tabla de correspondencias validada.</w:t>
      </w:r>
    </w:p>
    <w:p>
      <w:pPr>
        <w:pStyle w:val="ListParagraph"/>
        <w:numPr>
          <w:ilvl w:val="0"/>
          <w:numId w:val="2"/>
        </w:numPr>
        <w:spacing w:after="40" w:before="40" w:line="280"/>
      </w:pPr>
      <w:r>
        <w:rPr>
          <w:rFonts w:ascii="Calibri" w:cs="Calibri" w:eastAsia="Calibri" w:hAnsi="Calibri"/>
          <w:color w:val="1B1F23"/>
          <w:sz w:val="22"/>
          <w:szCs w:val="22"/>
        </w:rPr>
        <w:t xml:space="preserve">Registrar notas de ruptura cuando cambie el perímetro institucional o una clasificación.</w:t>
      </w:r>
    </w:p>
    <w:p>
      <w:pPr>
        <w:pStyle w:val="Heading2"/>
        <w:spacing w:after="120" w:before="280"/>
      </w:pPr>
      <w:r>
        <w:rPr>
          <w:rFonts w:ascii="Calibri" w:cs="Calibri" w:eastAsia="Calibri" w:hAnsi="Calibri"/>
          <w:b/>
          <w:bCs/>
          <w:color w:val="1F7A8C"/>
          <w:sz w:val="30"/>
          <w:szCs w:val="30"/>
        </w:rPr>
        <w:t xml:space="preserve">1.8 Calidad y controles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2960"/>
      </w:tblGrid>
      <w:tr>
        <w:trPr>
          <w:tblHeader/>
        </w:trPr>
        <w:tc>
          <w:tcPr>
            <w:tcW w:type="dxa" w:w="19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Control</w:t>
            </w:r>
          </w:p>
        </w:tc>
        <w:tc>
          <w:tcPr>
            <w:tcW w:type="dxa" w:w="45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Cómo se comprueba</w:t>
            </w:r>
          </w:p>
        </w:tc>
        <w:tc>
          <w:tcPr>
            <w:tcW w:type="dxa" w:w="296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Criterio</w:t>
            </w:r>
          </w:p>
        </w:tc>
      </w:tr>
      <w:tr>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Cobertura</w:t>
            </w:r>
          </w:p>
        </w:tc>
        <w:tc>
          <w:tcPr>
            <w:tcW w:type="dxa" w:w="45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Conteo de CCAA, ejercicios y fuentes.</w:t>
            </w:r>
          </w:p>
        </w:tc>
        <w:tc>
          <w:tcPr>
            <w:tcW w:type="dxa" w:w="29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Todas las CCAA con al menos capa Hacienda.</w:t>
            </w:r>
          </w:p>
        </w:tc>
      </w:tr>
      <w:tr>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Totales</w:t>
            </w:r>
          </w:p>
        </w:tc>
        <w:tc>
          <w:tcPr>
            <w:tcW w:type="dxa" w:w="45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Suma de fact_gasto frente a totales Hacienda.</w:t>
            </w:r>
          </w:p>
        </w:tc>
        <w:tc>
          <w:tcPr>
            <w:tcW w:type="dxa" w:w="29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Diferencia ≤ 0,5 %.</w:t>
            </w:r>
          </w:p>
        </w:tc>
      </w:tr>
      <w:tr>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Jerarquías</w:t>
            </w:r>
          </w:p>
        </w:tc>
        <w:tc>
          <w:tcPr>
            <w:tcW w:type="dxa" w:w="45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Subconceptos agregan a concepto, artículo y capítulo.</w:t>
            </w:r>
          </w:p>
        </w:tc>
        <w:tc>
          <w:tcPr>
            <w:tcW w:type="dxa" w:w="29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Sin códigos huérfanos.</w:t>
            </w:r>
          </w:p>
        </w:tc>
      </w:tr>
      <w:tr>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Unidades</w:t>
            </w:r>
          </w:p>
        </w:tc>
        <w:tc>
          <w:tcPr>
            <w:tcW w:type="dxa" w:w="45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Euros vs. miles de euros.</w:t>
            </w:r>
          </w:p>
        </w:tc>
        <w:tc>
          <w:tcPr>
            <w:tcW w:type="dxa" w:w="29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Unidad final común en euros.</w:t>
            </w:r>
          </w:p>
        </w:tc>
      </w:tr>
      <w:tr>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Trazabilidad</w:t>
            </w:r>
          </w:p>
        </w:tc>
        <w:tc>
          <w:tcPr>
            <w:tcW w:type="dxa" w:w="45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Cada fila apunta a fuente_id y fecha de extracción.</w:t>
            </w:r>
          </w:p>
        </w:tc>
        <w:tc>
          <w:tcPr>
            <w:tcW w:type="dxa" w:w="29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Sin registros sin fuente.</w:t>
            </w:r>
          </w:p>
        </w:tc>
      </w:tr>
      <w:tr>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Comparabilidad</w:t>
            </w:r>
          </w:p>
        </w:tc>
        <w:tc>
          <w:tcPr>
            <w:tcW w:type="dxa" w:w="45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Dimensión homogénea separada de la original.</w:t>
            </w:r>
          </w:p>
        </w:tc>
        <w:tc>
          <w:tcPr>
            <w:tcW w:type="dxa" w:w="29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Dashboards nacionales usan homogénea.</w:t>
            </w:r>
          </w:p>
        </w:tc>
      </w:tr>
      <w:tr>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Benford</w:t>
            </w:r>
          </w:p>
        </w:tc>
        <w:tc>
          <w:tcPr>
            <w:tcW w:type="dxa" w:w="45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Primera cifra significativa de fact_gasto.</w:t>
            </w:r>
          </w:p>
        </w:tc>
        <w:tc>
          <w:tcPr>
            <w:tcW w:type="dxa" w:w="29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p &gt; 0,01 en chi-cuadrado.</w:t>
            </w:r>
          </w:p>
        </w:tc>
      </w:tr>
    </w:tbl>
    <w:p>
      <w:pPr>
        <w:pStyle w:val="Heading2"/>
        <w:spacing w:after="120" w:before="280"/>
      </w:pPr>
      <w:r>
        <w:rPr>
          <w:rFonts w:ascii="Calibri" w:cs="Calibri" w:eastAsia="Calibri" w:hAnsi="Calibri"/>
          <w:b/>
          <w:bCs/>
          <w:color w:val="1F7A8C"/>
          <w:sz w:val="30"/>
          <w:szCs w:val="30"/>
        </w:rPr>
        <w:t xml:space="preserve">1.9 Tratamiento específico de Canarias</w:t>
      </w:r>
    </w:p>
    <w:p>
      <w:pPr>
        <w:pStyle w:val="ListParagraph"/>
        <w:numPr>
          <w:ilvl w:val="0"/>
          <w:numId w:val="2"/>
        </w:numPr>
        <w:spacing w:after="40" w:before="40" w:line="280"/>
      </w:pPr>
      <w:r>
        <w:rPr>
          <w:rFonts w:ascii="Calibri" w:cs="Calibri" w:eastAsia="Calibri" w:hAnsi="Calibri"/>
          <w:color w:val="1B1F23"/>
          <w:sz w:val="22"/>
          <w:szCs w:val="22"/>
        </w:rPr>
        <w:t xml:space="preserve">Hacienda para situar a Canarias frente al resto en capítulos y políticas.</w:t>
      </w:r>
    </w:p>
    <w:p>
      <w:pPr>
        <w:pStyle w:val="ListParagraph"/>
        <w:numPr>
          <w:ilvl w:val="0"/>
          <w:numId w:val="2"/>
        </w:numPr>
        <w:spacing w:after="40" w:before="40" w:line="280"/>
      </w:pPr>
      <w:r>
        <w:rPr>
          <w:rFonts w:ascii="Calibri" w:cs="Calibri" w:eastAsia="Calibri" w:hAnsi="Calibri"/>
          <w:color w:val="1B1F23"/>
          <w:sz w:val="22"/>
          <w:szCs w:val="22"/>
        </w:rPr>
        <w:t xml:space="preserve">datos.canarias.es para ejercicios publicados en CSV/ODS, conservando la fuente SEFLogiC.</w:t>
      </w:r>
    </w:p>
    <w:p>
      <w:pPr>
        <w:pStyle w:val="ListParagraph"/>
        <w:numPr>
          <w:ilvl w:val="0"/>
          <w:numId w:val="2"/>
        </w:numPr>
        <w:spacing w:after="40" w:before="40" w:line="280"/>
      </w:pPr>
      <w:r>
        <w:rPr>
          <w:rFonts w:ascii="Calibri" w:cs="Calibri" w:eastAsia="Calibri" w:hAnsi="Calibri"/>
          <w:color w:val="1B1F23"/>
          <w:sz w:val="22"/>
          <w:szCs w:val="22"/>
        </w:rPr>
        <w:t xml:space="preserve">Para 2025/2026, primero datos abiertos; si no, extracción de los tomos PDF de Planificación y Presupuesto.</w:t>
      </w:r>
    </w:p>
    <w:p>
      <w:pPr>
        <w:pStyle w:val="ListParagraph"/>
        <w:numPr>
          <w:ilvl w:val="0"/>
          <w:numId w:val="2"/>
        </w:numPr>
        <w:spacing w:after="40" w:before="40" w:line="280"/>
      </w:pPr>
      <w:r>
        <w:rPr>
          <w:rFonts w:ascii="Calibri" w:cs="Calibri" w:eastAsia="Calibri" w:hAnsi="Calibri"/>
          <w:color w:val="1B1F23"/>
          <w:sz w:val="22"/>
          <w:szCs w:val="22"/>
        </w:rPr>
        <w:t xml:space="preserve">Tabla de correspondencia entre estructura canaria de programas y políticas homogéneas de Hacienda (ver Anexo del Word Tablas_Correspondencias_CCAA.docx).</w:t>
      </w:r>
    </w:p>
    <w:p>
      <w:pPr>
        <w:pStyle w:val="ListParagraph"/>
        <w:numPr>
          <w:ilvl w:val="0"/>
          <w:numId w:val="2"/>
        </w:numPr>
        <w:spacing w:after="40" w:before="40" w:line="280"/>
      </w:pPr>
      <w:r>
        <w:rPr>
          <w:rFonts w:ascii="Calibri" w:cs="Calibri" w:eastAsia="Calibri" w:hAnsi="Calibri"/>
          <w:color w:val="1B1F23"/>
          <w:sz w:val="22"/>
          <w:szCs w:val="22"/>
        </w:rPr>
        <w:t xml:space="preserve">Distinguir Administración General, organismos autónomos y otros entes cuando el análisis entre en detalle institucional.</w:t>
      </w:r>
    </w:p>
    <w:p>
      <w:pPr>
        <w:pStyle w:val="Heading1"/>
        <w:pageBreakBefore/>
        <w:spacing w:after="200" w:before="0"/>
      </w:pPr>
      <w:bookmarkStart w:name="bm_parte2" w:id="102"/>
      <w:r>
        <w:rPr>
          <w:rFonts w:ascii="Calibri" w:cs="Calibri" w:eastAsia="Calibri" w:hAnsi="Calibri"/>
          <w:b/>
          <w:bCs/>
          <w:color w:val="0E3A53"/>
          <w:sz w:val="40"/>
          <w:szCs w:val="40"/>
        </w:rPr>
        <w:t xml:space="preserve">Parte II · Arquitectura del pipeline</w:t>
      </w:r>
      <w:bookmarkEnd w:id="102"/>
    </w:p>
    <w:p>
      <w:pPr>
        <w:spacing w:after="80" w:before="80" w:line="300"/>
        <w:jc w:val="both"/>
      </w:pPr>
      <w:r>
        <w:rPr>
          <w:rFonts w:ascii="Calibri" w:cs="Calibri" w:eastAsia="Calibri" w:hAnsi="Calibri"/>
          <w:color w:val="1B1F23"/>
          <w:sz w:val="22"/>
          <w:szCs w:val="22"/>
        </w:rPr>
        <w:t xml:space="preserve">La arquitectura sigue el patrón modular ya utilizado en Vivienda, Salud mental y Dependencia: un orquestador en R con CLI, utilidades comunes, cinco subcarpetas numeradas por fase y una capa Python específica para parseo PDF. Es ejecutable en local y replicado en GitHub Actions.</w:t>
      </w:r>
    </w:p>
    <w:p>
      <w:pPr>
        <w:pStyle w:val="Heading2"/>
        <w:spacing w:after="120" w:before="280"/>
      </w:pPr>
      <w:r>
        <w:rPr>
          <w:rFonts w:ascii="Calibri" w:cs="Calibri" w:eastAsia="Calibri" w:hAnsi="Calibri"/>
          <w:b/>
          <w:bCs/>
          <w:color w:val="1F7A8C"/>
          <w:sz w:val="30"/>
          <w:szCs w:val="30"/>
        </w:rPr>
        <w:t xml:space="preserve">2.1 Organización modular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2200"/>
        <w:gridCol w:w="1760"/>
      </w:tblGrid>
      <w:tr>
        <w:trPr>
          <w:tblHeader/>
        </w:trPr>
        <w:tc>
          <w:tcPr>
            <w:tcW w:type="dxa" w:w="19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Módulo</w:t>
            </w:r>
          </w:p>
        </w:tc>
        <w:tc>
          <w:tcPr>
            <w:tcW w:type="dxa" w:w="35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Función principal</w:t>
            </w:r>
          </w:p>
        </w:tc>
        <w:tc>
          <w:tcPr>
            <w:tcW w:type="dxa" w:w="22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Entradas</w:t>
            </w:r>
          </w:p>
        </w:tc>
        <w:tc>
          <w:tcPr>
            <w:tcW w:type="dxa" w:w="176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Salidas</w:t>
            </w:r>
          </w:p>
        </w:tc>
      </w:tr>
      <w:tr>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00_maestro.R</w:t>
            </w:r>
          </w:p>
        </w:tc>
        <w:tc>
          <w:tcPr>
            <w:tcW w:type="dxa" w:w="35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Orquesta scraping, extracción, transformación, modelado y carga mediante CLI.</w:t>
            </w:r>
          </w:p>
        </w:tc>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Parámetros --steps, --ccaa, --year, --with-db, --run-scraping</w:t>
            </w:r>
          </w:p>
        </w:tc>
        <w:tc>
          <w:tcPr>
            <w:tcW w:type="dxa" w:w="17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Ejecución secuencial y verificación de artefactos finales</w:t>
            </w:r>
          </w:p>
        </w:tc>
      </w:tr>
      <w:tr>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R/ccaa_dictionary.R</w:t>
            </w:r>
          </w:p>
        </w:tc>
        <w:tc>
          <w:tcPr>
            <w:tcW w:type="dxa" w:w="35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Diccionario canónico de las 17 CCAA y normalización de variantes textuales.</w:t>
            </w:r>
          </w:p>
        </w:tc>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Nombres heterogéneos</w:t>
            </w:r>
          </w:p>
        </w:tc>
        <w:tc>
          <w:tcPr>
            <w:tcW w:type="dxa" w:w="17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id_ccaa de 3 letras (and, ara, ast, ...)</w:t>
            </w:r>
          </w:p>
        </w:tc>
      </w:tr>
      <w:tr>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R/correspondencias.R</w:t>
            </w:r>
          </w:p>
        </w:tc>
        <w:tc>
          <w:tcPr>
            <w:tcW w:type="dxa" w:w="35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Carga correspondencias.yml y asigna concepto por código + fuzzy keyword.</w:t>
            </w:r>
          </w:p>
        </w:tc>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Filas (codigo, denominacion)</w:t>
            </w:r>
          </w:p>
        </w:tc>
        <w:tc>
          <w:tcPr>
            <w:tcW w:type="dxa" w:w="17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concepto + score de confianza</w:t>
            </w:r>
          </w:p>
        </w:tc>
      </w:tr>
      <w:tr>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R/pipeline_utils.R</w:t>
            </w:r>
          </w:p>
        </w:tc>
        <w:tc>
          <w:tcPr>
            <w:tcW w:type="dxa" w:w="35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Parseo de números es-ES, SHA-256, conciliación con totales Hacienda, outliers, Benford.</w:t>
            </w:r>
          </w:p>
        </w:tc>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RDS/Parquet intermedios</w:t>
            </w:r>
          </w:p>
        </w:tc>
        <w:tc>
          <w:tcPr>
            <w:tcW w:type="dxa" w:w="17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Validaciones reutilizables por todas las fases</w:t>
            </w:r>
          </w:p>
        </w:tc>
      </w:tr>
      <w:tr>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1_extraccion/extraccion.R</w:t>
            </w:r>
          </w:p>
        </w:tc>
        <w:tc>
          <w:tcPr>
            <w:tcW w:type="dxa" w:w="35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Descarga fuentes según fuentes.yml. Para PDFs delega en extract_pdf.py.</w:t>
            </w:r>
          </w:p>
        </w:tc>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fuentes.yml + manifest.jsonl</w:t>
            </w:r>
          </w:p>
        </w:tc>
        <w:tc>
          <w:tcPr>
            <w:tcW w:type="dxa" w:w="17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Crudos en fuentes/raw/{ccaa}/{anio}/ y Parquet en 1_extraccion/staging/</w:t>
            </w:r>
          </w:p>
        </w:tc>
      </w:tr>
      <w:tr>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1_extraccion/extract_pdf.py</w:t>
            </w:r>
          </w:p>
        </w:tc>
        <w:tc>
          <w:tcPr>
            <w:tcW w:type="dxa" w:w="35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Helper Python con pdfplumber/camelot para extraer tablas de PDFs presupuestarios.</w:t>
            </w:r>
          </w:p>
        </w:tc>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PDF + argumentos CLI</w:t>
            </w:r>
          </w:p>
        </w:tc>
        <w:tc>
          <w:tcPr>
            <w:tcW w:type="dxa" w:w="17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Parquet con (pagina, codigo, denominacion, importe_eur)</w:t>
            </w:r>
          </w:p>
        </w:tc>
      </w:tr>
      <w:tr>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2_transformacion/transformacion.R</w:t>
            </w:r>
          </w:p>
        </w:tc>
        <w:tc>
          <w:tcPr>
            <w:tcW w:type="dxa" w:w="35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Aplica correspondencias.yml, marca pendientes de revisión humana.</w:t>
            </w:r>
          </w:p>
        </w:tc>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Parquet de staging</w:t>
            </w:r>
          </w:p>
        </w:tc>
        <w:tc>
          <w:tcPr>
            <w:tcW w:type="dxa" w:w="17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gasto_normalizado.parquet + pendientes_revision.parquet</w:t>
            </w:r>
          </w:p>
        </w:tc>
      </w:tr>
      <w:tr>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3_modelado/modelado.R</w:t>
            </w:r>
          </w:p>
        </w:tc>
        <w:tc>
          <w:tcPr>
            <w:tcW w:type="dxa" w:w="35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Agrega por concepto-CCAA-ejercicio, calcula % PIB y € per cápita; Prophet cuando hay ≥ 5 puntos.</w:t>
            </w:r>
          </w:p>
        </w:tc>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Normalizado + PIB/población</w:t>
            </w:r>
          </w:p>
        </w:tc>
        <w:tc>
          <w:tcPr>
            <w:tcW w:type="dxa" w:w="17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gasto_proyectado.parquet</w:t>
            </w:r>
          </w:p>
        </w:tc>
      </w:tr>
      <w:tr>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4_carga/carga.R</w:t>
            </w:r>
          </w:p>
        </w:tc>
        <w:tc>
          <w:tcPr>
            <w:tcW w:type="dxa" w:w="35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Carga PostgreSQL con patrón staging + swap. Refresca vistas materializadas.</w:t>
            </w:r>
          </w:p>
        </w:tc>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Proyectado + DDL en db/</w:t>
            </w:r>
          </w:p>
        </w:tc>
        <w:tc>
          <w:tcPr>
            <w:tcW w:type="dxa" w:w="17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Esquema 'presupuestos' poblado</w:t>
            </w:r>
          </w:p>
        </w:tc>
      </w:tr>
      <w:tr>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5_visualizacion/</w:t>
            </w:r>
          </w:p>
        </w:tc>
        <w:tc>
          <w:tcPr>
            <w:tcW w:type="dxa" w:w="35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Storytelling D3 alineado con el patrón ya usado en Vivienda, Dependencia y Salud mental.</w:t>
            </w:r>
          </w:p>
        </w:tc>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API REST sobre vistas materializadas</w:t>
            </w:r>
          </w:p>
        </w:tc>
        <w:tc>
          <w:tcPr>
            <w:tcW w:type="dxa" w:w="17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HTML interactivo embebible en canariasendatos.es</w:t>
            </w:r>
          </w:p>
        </w:tc>
      </w:tr>
    </w:tbl>
    <w:p>
      <w:pPr>
        <w:pStyle w:val="Heading2"/>
        <w:spacing w:after="120" w:before="280"/>
      </w:pPr>
      <w:r>
        <w:rPr>
          <w:rFonts w:ascii="Calibri" w:cs="Calibri" w:eastAsia="Calibri" w:hAnsi="Calibri"/>
          <w:b/>
          <w:bCs/>
          <w:color w:val="1F7A8C"/>
          <w:sz w:val="30"/>
          <w:szCs w:val="30"/>
        </w:rPr>
        <w:t xml:space="preserve">2.2 Flujo lógico</w:t>
      </w:r>
    </w:p>
    <w:p>
      <w:pPr>
        <w:spacing w:after="80" w:before="80" w:line="300"/>
        <w:jc w:val="both"/>
      </w:pPr>
      <w:r>
        <w:rPr>
          <w:rFonts w:ascii="Calibri" w:cs="Calibri" w:eastAsia="Calibri" w:hAnsi="Calibri"/>
          <w:color w:val="1B1F23"/>
          <w:sz w:val="22"/>
          <w:szCs w:val="22"/>
        </w:rPr>
        <w:t xml:space="preserve">El pipeline orquesta siete fases encadenables. Cada fase es idempotente, cachea resultados intermedios y registra logs estructurados en JSON. La idempotencia se consigue calculando un SHA-256 por cada descarga: si el hash coincide con la captura anterior, la fase posterior se omite con `skip=TRUE`.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500"/>
        <w:gridCol w:w="2160"/>
      </w:tblGrid>
      <w:tr>
        <w:trPr>
          <w:tblHeader/>
        </w:trPr>
        <w:tc>
          <w:tcPr>
            <w:tcW w:type="dxa" w:w="17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Fase</w:t>
            </w:r>
          </w:p>
        </w:tc>
        <w:tc>
          <w:tcPr>
            <w:tcW w:type="dxa" w:w="30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Función</w:t>
            </w:r>
          </w:p>
        </w:tc>
        <w:tc>
          <w:tcPr>
            <w:tcW w:type="dxa" w:w="25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Entrada</w:t>
            </w:r>
          </w:p>
        </w:tc>
        <w:tc>
          <w:tcPr>
            <w:tcW w:type="dxa" w:w="216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Salida</w:t>
            </w:r>
          </w:p>
        </w:tc>
      </w:tr>
      <w:tr>
        <w:tc>
          <w:tcPr>
            <w:tcW w:type="dxa" w:w="17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1 · Extracción</w:t>
            </w:r>
          </w:p>
        </w:tc>
        <w:tc>
          <w:tcPr>
            <w:tcW w:type="dxa" w:w="30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Descarga fuentes y persiste manifiesto.</w:t>
            </w:r>
          </w:p>
        </w:tc>
        <w:tc>
          <w:tcPr>
            <w:tcW w:type="dxa" w:w="25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fuentes.yml</w:t>
            </w:r>
          </w:p>
        </w:tc>
        <w:tc>
          <w:tcPr>
            <w:tcW w:type="dxa" w:w="21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fuentes/raw/* + manifest.jsonl</w:t>
            </w:r>
          </w:p>
        </w:tc>
      </w:tr>
      <w:tr>
        <w:tc>
          <w:tcPr>
            <w:tcW w:type="dxa" w:w="1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2 · Parseo</w:t>
            </w:r>
          </w:p>
        </w:tc>
        <w:tc>
          <w:tcPr>
            <w:tcW w:type="dxa" w:w="3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Convierte PDFs/CSVs a Parquet limpio.</w:t>
            </w:r>
          </w:p>
        </w:tc>
        <w:tc>
          <w:tcPr>
            <w:tcW w:type="dxa" w:w="25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fuentes/raw/*</w:t>
            </w:r>
          </w:p>
        </w:tc>
        <w:tc>
          <w:tcPr>
            <w:tcW w:type="dxa" w:w="21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1_extraccion/staging/*.parquet</w:t>
            </w:r>
          </w:p>
        </w:tc>
      </w:tr>
      <w:tr>
        <w:tc>
          <w:tcPr>
            <w:tcW w:type="dxa" w:w="17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3 · Normalización</w:t>
            </w:r>
          </w:p>
        </w:tc>
        <w:tc>
          <w:tcPr>
            <w:tcW w:type="dxa" w:w="30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Aplica tabla de correspondencias.</w:t>
            </w:r>
          </w:p>
        </w:tc>
        <w:tc>
          <w:tcPr>
            <w:tcW w:type="dxa" w:w="25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staging + correspondencias.yml</w:t>
            </w:r>
          </w:p>
        </w:tc>
        <w:tc>
          <w:tcPr>
            <w:tcW w:type="dxa" w:w="21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2_transformacion/output/*.parquet</w:t>
            </w:r>
          </w:p>
        </w:tc>
      </w:tr>
      <w:tr>
        <w:tc>
          <w:tcPr>
            <w:tcW w:type="dxa" w:w="1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4 · Modelado</w:t>
            </w:r>
          </w:p>
        </w:tc>
        <w:tc>
          <w:tcPr>
            <w:tcW w:type="dxa" w:w="3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Agrega + indicadores derivados.</w:t>
            </w:r>
          </w:p>
        </w:tc>
        <w:tc>
          <w:tcPr>
            <w:tcW w:type="dxa" w:w="25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normalizado + INE PIB/pop</w:t>
            </w:r>
          </w:p>
        </w:tc>
        <w:tc>
          <w:tcPr>
            <w:tcW w:type="dxa" w:w="21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3_modelado/output/*.parquet</w:t>
            </w:r>
          </w:p>
        </w:tc>
      </w:tr>
      <w:tr>
        <w:tc>
          <w:tcPr>
            <w:tcW w:type="dxa" w:w="17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5 · Carga</w:t>
            </w:r>
          </w:p>
        </w:tc>
        <w:tc>
          <w:tcPr>
            <w:tcW w:type="dxa" w:w="30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Inserta en PostgreSQL con staging + swap.</w:t>
            </w:r>
          </w:p>
        </w:tc>
        <w:tc>
          <w:tcPr>
            <w:tcW w:type="dxa" w:w="25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modelado + db/schema.sql</w:t>
            </w:r>
          </w:p>
        </w:tc>
        <w:tc>
          <w:tcPr>
            <w:tcW w:type="dxa" w:w="21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Tablas y vistas en esquema 'presupuestos'</w:t>
            </w:r>
          </w:p>
        </w:tc>
      </w:tr>
      <w:tr>
        <w:tc>
          <w:tcPr>
            <w:tcW w:type="dxa" w:w="1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6 · Visualización</w:t>
            </w:r>
          </w:p>
        </w:tc>
        <w:tc>
          <w:tcPr>
            <w:tcW w:type="dxa" w:w="3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Sirve dashboards en R/Shiny/Quarto y D3.</w:t>
            </w:r>
          </w:p>
        </w:tc>
        <w:tc>
          <w:tcPr>
            <w:tcW w:type="dxa" w:w="25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Vistas materializadas</w:t>
            </w:r>
          </w:p>
        </w:tc>
        <w:tc>
          <w:tcPr>
            <w:tcW w:type="dxa" w:w="21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presupuestos_storytelling_d3.html</w:t>
            </w:r>
          </w:p>
        </w:tc>
      </w:tr>
      <w:tr>
        <w:tc>
          <w:tcPr>
            <w:tcW w:type="dxa" w:w="17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7 · Validación</w:t>
            </w:r>
          </w:p>
        </w:tc>
        <w:tc>
          <w:tcPr>
            <w:tcW w:type="dxa" w:w="30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Conciliación, cobertura, outliers, Benford.</w:t>
            </w:r>
          </w:p>
        </w:tc>
        <w:tc>
          <w:tcPr>
            <w:tcW w:type="dxa" w:w="25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Normalizado + datos Hacienda</w:t>
            </w:r>
          </w:p>
        </w:tc>
        <w:tc>
          <w:tcPr>
            <w:tcW w:type="dxa" w:w="21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Informe + alertas CI</w:t>
            </w:r>
          </w:p>
        </w:tc>
      </w:tr>
    </w:tbl>
    <w:p>
      <w:pPr>
        <w:pStyle w:val="Heading2"/>
        <w:spacing w:after="120" w:before="280"/>
      </w:pPr>
      <w:r>
        <w:rPr>
          <w:rFonts w:ascii="Calibri" w:cs="Calibri" w:eastAsia="Calibri" w:hAnsi="Calibri"/>
          <w:b/>
          <w:bCs/>
          <w:color w:val="1F7A8C"/>
          <w:sz w:val="30"/>
          <w:szCs w:val="30"/>
        </w:rPr>
        <w:t xml:space="preserve">2.3 Variables tratadas en la fase de normalización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900"/>
        <w:gridCol w:w="2200"/>
        <w:gridCol w:w="1260"/>
      </w:tblGrid>
      <w:tr>
        <w:trPr>
          <w:tblHeader/>
        </w:trPr>
        <w:tc>
          <w:tcPr>
            <w:tcW w:type="dxa" w:w="17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Variable final</w:t>
            </w:r>
          </w:p>
        </w:tc>
        <w:tc>
          <w:tcPr>
            <w:tcW w:type="dxa" w:w="23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Origen primario</w:t>
            </w:r>
          </w:p>
        </w:tc>
        <w:tc>
          <w:tcPr>
            <w:tcW w:type="dxa" w:w="19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Nivel</w:t>
            </w:r>
          </w:p>
        </w:tc>
        <w:tc>
          <w:tcPr>
            <w:tcW w:type="dxa" w:w="22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Tratamiento</w:t>
            </w:r>
          </w:p>
        </w:tc>
        <w:tc>
          <w:tcPr>
            <w:tcW w:type="dxa" w:w="126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Notas metodológicas</w:t>
            </w:r>
          </w:p>
        </w:tc>
      </w:tr>
      <w:tr>
        <w:tc>
          <w:tcPr>
            <w:tcW w:type="dxa" w:w="17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importe_eur</w:t>
            </w:r>
          </w:p>
        </w:tc>
        <w:tc>
          <w:tcPr>
            <w:tcW w:type="dxa" w:w="23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Memoria de programas (PDF) o CSV oficial</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Concepto × CCAA × ejercicio</w:t>
            </w:r>
          </w:p>
        </w:tc>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Asignación de concepto por correspondencia + suma por programa.</w:t>
            </w:r>
          </w:p>
        </w:tc>
        <w:tc>
          <w:tcPr>
            <w:tcW w:type="dxa" w:w="12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Unidad de origen registrada como metadato.</w:t>
            </w:r>
          </w:p>
        </w:tc>
      </w:tr>
      <w:tr>
        <w:tc>
          <w:tcPr>
            <w:tcW w:type="dxa" w:w="1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pct_pib_nacional</w:t>
            </w:r>
          </w:p>
        </w:tc>
        <w:tc>
          <w:tcPr>
            <w:tcW w:type="dxa" w:w="23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fact_gasto × INE Contabilidad Regional</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Concepto × CCAA × ejercicio</w:t>
            </w:r>
          </w:p>
        </w:tc>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importe_eur / PIB nacional nominal × 100.</w:t>
            </w:r>
          </w:p>
        </w:tc>
        <w:tc>
          <w:tcPr>
            <w:tcW w:type="dxa" w:w="12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Comparación inter-CCAA con denominador común.</w:t>
            </w:r>
          </w:p>
        </w:tc>
      </w:tr>
      <w:tr>
        <w:tc>
          <w:tcPr>
            <w:tcW w:type="dxa" w:w="17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eur_per_capita</w:t>
            </w:r>
          </w:p>
        </w:tc>
        <w:tc>
          <w:tcPr>
            <w:tcW w:type="dxa" w:w="23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fact_gasto × INE Cifras de población</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Concepto × CCAA × ejercicio</w:t>
            </w:r>
          </w:p>
        </w:tc>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importe_eur / población a 1 enero.</w:t>
            </w:r>
          </w:p>
        </w:tc>
        <w:tc>
          <w:tcPr>
            <w:tcW w:type="dxa" w:w="12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Sensible a cambios poblacionales bruscos (migración).</w:t>
            </w:r>
          </w:p>
        </w:tc>
      </w:tr>
      <w:tr>
        <w:tc>
          <w:tcPr>
            <w:tcW w:type="dxa" w:w="1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var_nominal_pct</w:t>
            </w:r>
          </w:p>
        </w:tc>
        <w:tc>
          <w:tcPr>
            <w:tcW w:type="dxa" w:w="23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fact_gasto autorreferenciada</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Concepto × CCAA × ejercicio</w:t>
            </w:r>
          </w:p>
        </w:tc>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(t - t-1) / t-1 × 100.</w:t>
            </w:r>
          </w:p>
        </w:tc>
        <w:tc>
          <w:tcPr>
            <w:tcW w:type="dxa" w:w="12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No deflactada; ver var_real_pct cuando el IPC esté disponible.</w:t>
            </w:r>
          </w:p>
        </w:tc>
      </w:tr>
      <w:tr>
        <w:tc>
          <w:tcPr>
            <w:tcW w:type="dxa" w:w="17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es_prorroga</w:t>
            </w:r>
          </w:p>
        </w:tc>
        <w:tc>
          <w:tcPr>
            <w:tcW w:type="dxa" w:w="23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Ley anual de presupuestos / norma de prórroga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CCAA × ejercicio</w:t>
            </w:r>
          </w:p>
        </w:tc>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Bandera booleana cuando la ley no se aprueba.</w:t>
            </w:r>
          </w:p>
        </w:tc>
        <w:tc>
          <w:tcPr>
            <w:tcW w:type="dxa" w:w="12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Marca visual en dashboards.</w:t>
            </w:r>
          </w:p>
        </w:tc>
      </w:tr>
      <w:tr>
        <w:tc>
          <w:tcPr>
            <w:tcW w:type="dxa" w:w="1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origen</w:t>
            </w:r>
          </w:p>
        </w:tc>
        <w:tc>
          <w:tcPr>
            <w:tcW w:type="dxa" w:w="23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Capa de modelado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Fila de fact_gasto</w:t>
            </w:r>
          </w:p>
        </w:tc>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real | proyeccion | imputado.</w:t>
            </w:r>
          </w:p>
        </w:tc>
        <w:tc>
          <w:tcPr>
            <w:tcW w:type="dxa" w:w="12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Solo se proyecta cuando hay ≥ 5 observaciones por serie.</w:t>
            </w:r>
          </w:p>
        </w:tc>
      </w:tr>
    </w:tbl>
    <w:p>
      <w:pPr>
        <w:pStyle w:val="Heading2"/>
        <w:spacing w:after="120" w:before="280"/>
      </w:pPr>
      <w:r>
        <w:rPr>
          <w:rFonts w:ascii="Calibri" w:cs="Calibri" w:eastAsia="Calibri" w:hAnsi="Calibri"/>
          <w:b/>
          <w:bCs/>
          <w:color w:val="1F7A8C"/>
          <w:sz w:val="30"/>
          <w:szCs w:val="30"/>
        </w:rPr>
        <w:t xml:space="preserve">2.4 Depuración y estandarización</w:t>
      </w:r>
    </w:p>
    <w:p>
      <w:pPr>
        <w:pStyle w:val="ListParagraph"/>
        <w:numPr>
          <w:ilvl w:val="0"/>
          <w:numId w:val="2"/>
        </w:numPr>
        <w:spacing w:after="40" w:before="40" w:line="280"/>
      </w:pPr>
      <w:r>
        <w:rPr>
          <w:rFonts w:ascii="Calibri" w:cs="Calibri" w:eastAsia="Calibri" w:hAnsi="Calibri"/>
          <w:color w:val="1B1F23"/>
          <w:sz w:val="22"/>
          <w:szCs w:val="22"/>
        </w:rPr>
        <w:t xml:space="preserve">Validación temprana de descargas (status HTTP, content-type, tamaño &gt; 1 KB, SHA-256).</w:t>
      </w:r>
    </w:p>
    <w:p>
      <w:pPr>
        <w:pStyle w:val="ListParagraph"/>
        <w:numPr>
          <w:ilvl w:val="0"/>
          <w:numId w:val="2"/>
        </w:numPr>
        <w:spacing w:after="40" w:before="40" w:line="280"/>
      </w:pPr>
      <w:r>
        <w:rPr>
          <w:rFonts w:ascii="Calibri" w:cs="Calibri" w:eastAsia="Calibri" w:hAnsi="Calibri"/>
          <w:color w:val="1B1F23"/>
          <w:sz w:val="22"/>
          <w:szCs w:val="22"/>
        </w:rPr>
        <w:t xml:space="preserve">Conversión robusta de números en formato es-ES (parse_eur en pipeline_utils.R).</w:t>
      </w:r>
    </w:p>
    <w:p>
      <w:pPr>
        <w:pStyle w:val="ListParagraph"/>
        <w:numPr>
          <w:ilvl w:val="0"/>
          <w:numId w:val="2"/>
        </w:numPr>
        <w:spacing w:after="40" w:before="40" w:line="280"/>
      </w:pPr>
      <w:r>
        <w:rPr>
          <w:rFonts w:ascii="Calibri" w:cs="Calibri" w:eastAsia="Calibri" w:hAnsi="Calibri"/>
          <w:color w:val="1B1F23"/>
          <w:sz w:val="22"/>
          <w:szCs w:val="22"/>
        </w:rPr>
        <w:t xml:space="preserve">Estandarización territorial con diccionario canónico (R/ccaa_dictionary.R).</w:t>
      </w:r>
    </w:p>
    <w:p>
      <w:pPr>
        <w:pStyle w:val="ListParagraph"/>
        <w:numPr>
          <w:ilvl w:val="0"/>
          <w:numId w:val="2"/>
        </w:numPr>
        <w:spacing w:after="40" w:before="40" w:line="280"/>
      </w:pPr>
      <w:r>
        <w:rPr>
          <w:rFonts w:ascii="Calibri" w:cs="Calibri" w:eastAsia="Calibri" w:hAnsi="Calibri"/>
          <w:color w:val="1B1F23"/>
          <w:sz w:val="22"/>
          <w:szCs w:val="22"/>
        </w:rPr>
        <w:t xml:space="preserve">Asignación de concepto en dos pasadas: lookup exacto por código y, si falla, fuzzy por keyword con stringdist (umbral 0,92).</w:t>
      </w:r>
    </w:p>
    <w:p>
      <w:pPr>
        <w:pStyle w:val="ListParagraph"/>
        <w:numPr>
          <w:ilvl w:val="0"/>
          <w:numId w:val="2"/>
        </w:numPr>
        <w:spacing w:after="40" w:before="40" w:line="280"/>
      </w:pPr>
      <w:r>
        <w:rPr>
          <w:rFonts w:ascii="Calibri" w:cs="Calibri" w:eastAsia="Calibri" w:hAnsi="Calibri"/>
          <w:color w:val="1B1F23"/>
          <w:sz w:val="22"/>
          <w:szCs w:val="22"/>
        </w:rPr>
        <w:t xml:space="preserve">Filas no asignadas se aparcan en pendientes_revision.parquet para validación humana semanal.</w:t>
      </w:r>
    </w:p>
    <w:p>
      <w:pPr>
        <w:pStyle w:val="ListParagraph"/>
        <w:numPr>
          <w:ilvl w:val="0"/>
          <w:numId w:val="2"/>
        </w:numPr>
        <w:spacing w:after="40" w:before="40" w:line="280"/>
      </w:pPr>
      <w:r>
        <w:rPr>
          <w:rFonts w:ascii="Calibri" w:cs="Calibri" w:eastAsia="Calibri" w:hAnsi="Calibri"/>
          <w:color w:val="1B1F23"/>
          <w:sz w:val="22"/>
          <w:szCs w:val="22"/>
        </w:rPr>
        <w:t xml:space="preserve">Filtrado de Administración General + organismos autónomos + entes según ámbito subjetivo de cada CCAA.</w:t>
      </w:r>
    </w:p>
    <w:p>
      <w:pPr>
        <w:pStyle w:val="ListParagraph"/>
        <w:numPr>
          <w:ilvl w:val="0"/>
          <w:numId w:val="2"/>
        </w:numPr>
        <w:spacing w:after="40" w:before="40" w:line="280"/>
      </w:pPr>
      <w:r>
        <w:rPr>
          <w:rFonts w:ascii="Calibri" w:cs="Calibri" w:eastAsia="Calibri" w:hAnsi="Calibri"/>
          <w:color w:val="1B1F23"/>
          <w:sz w:val="22"/>
          <w:szCs w:val="22"/>
        </w:rPr>
        <w:t xml:space="preserve">Mantenimiento de 17 CCAA oficiales en las salidas finales; ciudades autónomas en dataset aparte.</w:t>
      </w:r>
    </w:p>
    <w:p>
      <w:pPr>
        <w:pStyle w:val="Heading2"/>
        <w:spacing w:after="120" w:before="280"/>
      </w:pPr>
      <w:r>
        <w:rPr>
          <w:rFonts w:ascii="Calibri" w:cs="Calibri" w:eastAsia="Calibri" w:hAnsi="Calibri"/>
          <w:b/>
          <w:bCs/>
          <w:color w:val="1F7A8C"/>
          <w:sz w:val="30"/>
          <w:szCs w:val="30"/>
        </w:rPr>
        <w:t xml:space="preserve">2.5 Modelado y reglas de proyección</w:t>
      </w:r>
    </w:p>
    <w:p>
      <w:pPr>
        <w:pStyle w:val="ListParagraph"/>
        <w:numPr>
          <w:ilvl w:val="0"/>
          <w:numId w:val="2"/>
        </w:numPr>
        <w:spacing w:after="40" w:before="40" w:line="280"/>
      </w:pPr>
      <w:r>
        <w:rPr>
          <w:rFonts w:ascii="Calibri" w:cs="Calibri" w:eastAsia="Calibri" w:hAnsi="Calibri"/>
          <w:color w:val="1B1F23"/>
          <w:sz w:val="22"/>
          <w:szCs w:val="22"/>
        </w:rPr>
        <w:t xml:space="preserve">Series de gasto por concepto-CCAA con ≥ 5 puntos: Prophet (yearly, sin estacionalidad semanal/diaria).</w:t>
      </w:r>
    </w:p>
    <w:p>
      <w:pPr>
        <w:pStyle w:val="ListParagraph"/>
        <w:numPr>
          <w:ilvl w:val="0"/>
          <w:numId w:val="2"/>
        </w:numPr>
        <w:spacing w:after="40" w:before="40" w:line="280"/>
      </w:pPr>
      <w:r>
        <w:rPr>
          <w:rFonts w:ascii="Calibri" w:cs="Calibri" w:eastAsia="Calibri" w:hAnsi="Calibri"/>
          <w:color w:val="1B1F23"/>
          <w:sz w:val="22"/>
          <w:szCs w:val="22"/>
        </w:rPr>
        <w:t xml:space="preserve">Series con &lt; 5 puntos: sólo se exportan como reales, no se proyectan.</w:t>
      </w:r>
    </w:p>
    <w:p>
      <w:pPr>
        <w:pStyle w:val="ListParagraph"/>
        <w:numPr>
          <w:ilvl w:val="0"/>
          <w:numId w:val="2"/>
        </w:numPr>
        <w:spacing w:after="40" w:before="40" w:line="280"/>
      </w:pPr>
      <w:r>
        <w:rPr>
          <w:rFonts w:ascii="Calibri" w:cs="Calibri" w:eastAsia="Calibri" w:hAnsi="Calibri"/>
          <w:color w:val="1B1F23"/>
          <w:sz w:val="22"/>
          <w:szCs w:val="22"/>
        </w:rPr>
        <w:t xml:space="preserve">Indicadores derivados (% PIB, € per cápita) se calculan sobre la serie real + proyectada con flag origen.</w:t>
      </w:r>
    </w:p>
    <w:p>
      <w:pPr>
        <w:pStyle w:val="ListParagraph"/>
        <w:numPr>
          <w:ilvl w:val="0"/>
          <w:numId w:val="2"/>
        </w:numPr>
        <w:spacing w:after="40" w:before="40" w:line="280"/>
      </w:pPr>
      <w:r>
        <w:rPr>
          <w:rFonts w:ascii="Calibri" w:cs="Calibri" w:eastAsia="Calibri" w:hAnsi="Calibri"/>
          <w:color w:val="1B1F23"/>
          <w:sz w:val="22"/>
          <w:szCs w:val="22"/>
        </w:rPr>
        <w:t xml:space="preserve">La bandera origen toma valor real cuando todos los inputs son reales; proyeccion en caso contrario.</w:t>
      </w:r>
    </w:p>
    <w:p>
      <w:pPr>
        <w:pStyle w:val="Heading2"/>
        <w:spacing w:after="120" w:before="280"/>
      </w:pPr>
      <w:r>
        <w:rPr>
          <w:rFonts w:ascii="Calibri" w:cs="Calibri" w:eastAsia="Calibri" w:hAnsi="Calibri"/>
          <w:b/>
          <w:bCs/>
          <w:color w:val="1F7A8C"/>
          <w:sz w:val="30"/>
          <w:szCs w:val="30"/>
        </w:rPr>
        <w:t xml:space="preserve">2.6 Validación final</w:t>
      </w:r>
    </w:p>
    <w:p>
      <w:pPr>
        <w:spacing w:after="80" w:before="80" w:line="300"/>
        <w:jc w:val="both"/>
      </w:pPr>
      <w:r>
        <w:rPr>
          <w:rFonts w:ascii="Calibri" w:cs="Calibri" w:eastAsia="Calibri" w:hAnsi="Calibri"/>
          <w:color w:val="1B1F23"/>
          <w:sz w:val="22"/>
          <w:szCs w:val="22"/>
        </w:rPr>
        <w:t xml:space="preserve">Cada carga ejecuta cuatro batidas de controles en CI/CD antes de publicar:</w:t>
      </w:r>
    </w:p>
    <w:p>
      <w:pPr>
        <w:pStyle w:val="ListParagraph"/>
        <w:numPr>
          <w:ilvl w:val="0"/>
          <w:numId w:val="2"/>
        </w:numPr>
        <w:spacing w:after="40" w:before="40" w:line="280"/>
      </w:pPr>
      <w:r>
        <w:rPr>
          <w:rFonts w:ascii="Calibri" w:cs="Calibri" w:eastAsia="Calibri" w:hAnsi="Calibri"/>
          <w:color w:val="1B1F23"/>
          <w:sz w:val="22"/>
          <w:szCs w:val="22"/>
        </w:rPr>
        <w:t xml:space="preserve">Conciliación: suma fact_gasto por CCAA/ejercicio vs. Ministerio de Hacienda con tolerancia ≤ 0,5 %.</w:t>
      </w:r>
    </w:p>
    <w:p>
      <w:pPr>
        <w:pStyle w:val="ListParagraph"/>
        <w:numPr>
          <w:ilvl w:val="0"/>
          <w:numId w:val="2"/>
        </w:numPr>
        <w:spacing w:after="40" w:before="40" w:line="280"/>
      </w:pPr>
      <w:r>
        <w:rPr>
          <w:rFonts w:ascii="Calibri" w:cs="Calibri" w:eastAsia="Calibri" w:hAnsi="Calibri"/>
          <w:color w:val="1B1F23"/>
          <w:sz w:val="22"/>
          <w:szCs w:val="22"/>
        </w:rPr>
        <w:t xml:space="preserve">Cobertura: 13 conceptos × 17 CCAA × ejercicios disponibles, sin huecos no documentados.</w:t>
      </w:r>
    </w:p>
    <w:p>
      <w:pPr>
        <w:pStyle w:val="ListParagraph"/>
        <w:numPr>
          <w:ilvl w:val="0"/>
          <w:numId w:val="2"/>
        </w:numPr>
        <w:spacing w:after="40" w:before="40" w:line="280"/>
      </w:pPr>
      <w:r>
        <w:rPr>
          <w:rFonts w:ascii="Calibri" w:cs="Calibri" w:eastAsia="Calibri" w:hAnsi="Calibri"/>
          <w:color w:val="1B1F23"/>
          <w:sz w:val="22"/>
          <w:szCs w:val="22"/>
        </w:rPr>
        <w:t xml:space="preserve">Outliers: z-score &gt; 3 sobre media histórica del concepto-CCAA.</w:t>
      </w:r>
    </w:p>
    <w:p>
      <w:pPr>
        <w:pStyle w:val="ListParagraph"/>
        <w:numPr>
          <w:ilvl w:val="0"/>
          <w:numId w:val="2"/>
        </w:numPr>
        <w:spacing w:after="40" w:before="40" w:line="280"/>
      </w:pPr>
      <w:r>
        <w:rPr>
          <w:rFonts w:ascii="Calibri" w:cs="Calibri" w:eastAsia="Calibri" w:hAnsi="Calibri"/>
          <w:color w:val="1B1F23"/>
          <w:sz w:val="22"/>
          <w:szCs w:val="22"/>
        </w:rPr>
        <w:t xml:space="preserve">Ley de Benford: primera cifra significativa, chi-cuadrado con p &gt; 0,01.</w:t>
      </w:r>
    </w:p>
    <w:p>
      <w:pPr>
        <w:pStyle w:val="Heading1"/>
        <w:pageBreakBefore/>
        <w:spacing w:after="200" w:before="0"/>
      </w:pPr>
      <w:bookmarkStart w:name="bm_parte3" w:id="103"/>
      <w:r>
        <w:rPr>
          <w:rFonts w:ascii="Calibri" w:cs="Calibri" w:eastAsia="Calibri" w:hAnsi="Calibri"/>
          <w:b/>
          <w:bCs/>
          <w:color w:val="0E3A53"/>
          <w:sz w:val="40"/>
          <w:szCs w:val="40"/>
        </w:rPr>
        <w:t xml:space="preserve">Parte III · Modelo de datos</w:t>
      </w:r>
      <w:bookmarkEnd w:id="103"/>
    </w:p>
    <w:p>
      <w:pPr>
        <w:spacing w:after="80" w:before="80" w:line="300"/>
        <w:jc w:val="both"/>
      </w:pPr>
      <w:r>
        <w:rPr>
          <w:rFonts w:ascii="Calibri" w:cs="Calibri" w:eastAsia="Calibri" w:hAnsi="Calibri"/>
          <w:color w:val="1B1F23"/>
          <w:sz w:val="22"/>
          <w:szCs w:val="22"/>
        </w:rPr>
        <w:t xml:space="preserve">El esquema PostgreSQL se diseña para soportar dos usos simultáneos: comparar entre comunidades (capa homogénea de Hacienda) y explorar el detalle propio de cada presupuesto (capa autonómica). Tres dimensiones (CCAA, concepto, ejercicio), un hecho (fact_gasto) y dos vistas materializadas (indicadores y variación interanual).</w:t>
      </w:r>
    </w:p>
    <w:p>
      <w:pPr>
        <w:pStyle w:val="Heading2"/>
        <w:spacing w:after="120" w:before="280"/>
      </w:pPr>
      <w:r>
        <w:rPr>
          <w:rFonts w:ascii="Calibri" w:cs="Calibri" w:eastAsia="Calibri" w:hAnsi="Calibri"/>
          <w:b/>
          <w:bCs/>
          <w:color w:val="1F7A8C"/>
          <w:sz w:val="30"/>
          <w:szCs w:val="30"/>
        </w:rPr>
        <w:t xml:space="preserve">3.1 Vista relacional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300"/>
        <w:gridCol w:w="3260"/>
      </w:tblGrid>
      <w:tr>
        <w:trPr>
          <w:tblHeader/>
        </w:trPr>
        <w:tc>
          <w:tcPr>
            <w:tcW w:type="dxa" w:w="21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Tabla</w:t>
            </w:r>
          </w:p>
        </w:tc>
        <w:tc>
          <w:tcPr>
            <w:tcW w:type="dxa" w:w="17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Tipo</w:t>
            </w:r>
          </w:p>
        </w:tc>
        <w:tc>
          <w:tcPr>
            <w:tcW w:type="dxa" w:w="23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Cardinalidad esperada</w:t>
            </w:r>
          </w:p>
        </w:tc>
        <w:tc>
          <w:tcPr>
            <w:tcW w:type="dxa" w:w="326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Función</w:t>
            </w:r>
          </w:p>
        </w:tc>
      </w:tr>
      <w:tr>
        <w:tc>
          <w:tcPr>
            <w:tcW w:type="dxa" w:w="21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dim_ccaa</w:t>
            </w:r>
          </w:p>
        </w:tc>
        <w:tc>
          <w:tcPr>
            <w:tcW w:type="dxa" w:w="17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Dimensión</w:t>
            </w:r>
          </w:p>
        </w:tc>
        <w:tc>
          <w:tcPr>
            <w:tcW w:type="dxa" w:w="23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19</w:t>
            </w:r>
          </w:p>
        </w:tc>
        <w:tc>
          <w:tcPr>
            <w:tcW w:type="dxa" w:w="32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Catálogo territorial (17 CCAA + 2 ciudades autónomas)</w:t>
            </w:r>
          </w:p>
        </w:tc>
      </w:tr>
      <w:tr>
        <w:tc>
          <w:tcPr>
            <w:tcW w:type="dxa" w:w="21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dim_concepto</w:t>
            </w:r>
          </w:p>
        </w:tc>
        <w:tc>
          <w:tcPr>
            <w:tcW w:type="dxa" w:w="1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Dimensión</w:t>
            </w:r>
          </w:p>
        </w:tc>
        <w:tc>
          <w:tcPr>
            <w:tcW w:type="dxa" w:w="23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13</w:t>
            </w:r>
          </w:p>
        </w:tc>
        <w:tc>
          <w:tcPr>
            <w:tcW w:type="dxa" w:w="32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Conceptos prioritarios de la matriz de variables</w:t>
            </w:r>
          </w:p>
        </w:tc>
      </w:tr>
      <w:tr>
        <w:tc>
          <w:tcPr>
            <w:tcW w:type="dxa" w:w="21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dim_ejercicio</w:t>
            </w:r>
          </w:p>
        </w:tc>
        <w:tc>
          <w:tcPr>
            <w:tcW w:type="dxa" w:w="17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Dimensión</w:t>
            </w:r>
          </w:p>
        </w:tc>
        <w:tc>
          <w:tcPr>
            <w:tcW w:type="dxa" w:w="23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~25</w:t>
            </w:r>
          </w:p>
        </w:tc>
        <w:tc>
          <w:tcPr>
            <w:tcW w:type="dxa" w:w="32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Ejercicios disponibles, con PIB nominal e IPC</w:t>
            </w:r>
          </w:p>
        </w:tc>
      </w:tr>
      <w:tr>
        <w:tc>
          <w:tcPr>
            <w:tcW w:type="dxa" w:w="21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dim_capitulo</w:t>
            </w:r>
          </w:p>
        </w:tc>
        <w:tc>
          <w:tcPr>
            <w:tcW w:type="dxa" w:w="1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Dimensión</w:t>
            </w:r>
          </w:p>
        </w:tc>
        <w:tc>
          <w:tcPr>
            <w:tcW w:type="dxa" w:w="23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9</w:t>
            </w:r>
          </w:p>
        </w:tc>
        <w:tc>
          <w:tcPr>
            <w:tcW w:type="dxa" w:w="32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Clasificación económica (capítulos)</w:t>
            </w:r>
          </w:p>
        </w:tc>
      </w:tr>
      <w:tr>
        <w:tc>
          <w:tcPr>
            <w:tcW w:type="dxa" w:w="21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manifest</w:t>
            </w:r>
          </w:p>
        </w:tc>
        <w:tc>
          <w:tcPr>
            <w:tcW w:type="dxa" w:w="17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Operativa</w:t>
            </w:r>
          </w:p>
        </w:tc>
        <w:tc>
          <w:tcPr>
            <w:tcW w:type="dxa" w:w="23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~250/anio</w:t>
            </w:r>
          </w:p>
        </w:tc>
        <w:tc>
          <w:tcPr>
            <w:tcW w:type="dxa" w:w="32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Una fila por descarga, con SHA-256</w:t>
            </w:r>
          </w:p>
        </w:tc>
      </w:tr>
      <w:tr>
        <w:tc>
          <w:tcPr>
            <w:tcW w:type="dxa" w:w="21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fact_gasto</w:t>
            </w:r>
          </w:p>
        </w:tc>
        <w:tc>
          <w:tcPr>
            <w:tcW w:type="dxa" w:w="1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Hecho</w:t>
            </w:r>
          </w:p>
        </w:tc>
        <w:tc>
          <w:tcPr>
            <w:tcW w:type="dxa" w:w="23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~25 000/anio</w:t>
            </w:r>
          </w:p>
        </w:tc>
        <w:tc>
          <w:tcPr>
            <w:tcW w:type="dxa" w:w="32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Importes por concepto-CCAA-ejercicio-capítulo</w:t>
            </w:r>
          </w:p>
        </w:tc>
      </w:tr>
      <w:tr>
        <w:tc>
          <w:tcPr>
            <w:tcW w:type="dxa" w:w="21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mv_indicadores</w:t>
            </w:r>
          </w:p>
        </w:tc>
        <w:tc>
          <w:tcPr>
            <w:tcW w:type="dxa" w:w="17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Vista materializada</w:t>
            </w:r>
          </w:p>
        </w:tc>
        <w:tc>
          <w:tcPr>
            <w:tcW w:type="dxa" w:w="23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13 × 17 × ejercicios</w:t>
            </w:r>
          </w:p>
        </w:tc>
        <w:tc>
          <w:tcPr>
            <w:tcW w:type="dxa" w:w="32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Indicadores derivados refrescados tras cada carga</w:t>
            </w:r>
          </w:p>
        </w:tc>
      </w:tr>
      <w:tr>
        <w:tc>
          <w:tcPr>
            <w:tcW w:type="dxa" w:w="21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mv_variacion</w:t>
            </w:r>
          </w:p>
        </w:tc>
        <w:tc>
          <w:tcPr>
            <w:tcW w:type="dxa" w:w="1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Vista materializada</w:t>
            </w:r>
          </w:p>
        </w:tc>
        <w:tc>
          <w:tcPr>
            <w:tcW w:type="dxa" w:w="23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Idéntica a mv_indicadores</w:t>
            </w:r>
          </w:p>
        </w:tc>
        <w:tc>
          <w:tcPr>
            <w:tcW w:type="dxa" w:w="32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Variación interanual nominal</w:t>
            </w:r>
          </w:p>
        </w:tc>
      </w:tr>
    </w:tbl>
    <w:p>
      <w:pPr>
        <w:pStyle w:val="Heading2"/>
        <w:spacing w:after="120" w:before="280"/>
      </w:pPr>
      <w:r>
        <w:rPr>
          <w:rFonts w:ascii="Calibri" w:cs="Calibri" w:eastAsia="Calibri" w:hAnsi="Calibri"/>
          <w:b/>
          <w:bCs/>
          <w:color w:val="1F7A8C"/>
          <w:sz w:val="30"/>
          <w:szCs w:val="30"/>
        </w:rPr>
        <w:t xml:space="preserve">3.2 Diccionario de campos críticos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tblHeader/>
        </w:trPr>
        <w:tc>
          <w:tcPr>
            <w:tcW w:type="dxa" w:w="21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Campo</w:t>
            </w:r>
          </w:p>
        </w:tc>
        <w:tc>
          <w:tcPr>
            <w:tcW w:type="dxa" w:w="21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Tipo</w:t>
            </w:r>
          </w:p>
        </w:tc>
        <w:tc>
          <w:tcPr>
            <w:tcW w:type="dxa" w:w="516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Significado</w:t>
            </w:r>
          </w:p>
        </w:tc>
      </w:tr>
      <w:tr>
        <w:tc>
          <w:tcPr>
            <w:tcW w:type="dxa" w:w="21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fase</w:t>
            </w:r>
          </w:p>
        </w:tc>
        <w:tc>
          <w:tcPr>
            <w:tcW w:type="dxa" w:w="21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TEXT (CHECK)</w:t>
            </w:r>
          </w:p>
        </w:tc>
        <w:tc>
          <w:tcPr>
            <w:tcW w:type="dxa" w:w="51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aprobado | prorrogado | proyecto | liquidacion | ejecucion</w:t>
            </w:r>
          </w:p>
        </w:tc>
      </w:tr>
      <w:tr>
        <w:tc>
          <w:tcPr>
            <w:tcW w:type="dxa" w:w="21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consolidacion</w:t>
            </w:r>
          </w:p>
        </w:tc>
        <w:tc>
          <w:tcPr>
            <w:tcW w:type="dxa" w:w="21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TEXT (CHECK)</w:t>
            </w:r>
          </w:p>
        </w:tc>
        <w:tc>
          <w:tcPr>
            <w:tcW w:type="dxa" w:w="51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consolidado | sin_consolidar | no_aplica</w:t>
            </w:r>
          </w:p>
        </w:tc>
      </w:tr>
      <w:tr>
        <w:tc>
          <w:tcPr>
            <w:tcW w:type="dxa" w:w="21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es_prorroga</w:t>
            </w:r>
          </w:p>
        </w:tc>
        <w:tc>
          <w:tcPr>
            <w:tcW w:type="dxa" w:w="21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BOOLEAN</w:t>
            </w:r>
          </w:p>
        </w:tc>
        <w:tc>
          <w:tcPr>
            <w:tcW w:type="dxa" w:w="51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TRUE cuando el ejercicio se aprueba por prórroga</w:t>
            </w:r>
          </w:p>
        </w:tc>
      </w:tr>
      <w:tr>
        <w:tc>
          <w:tcPr>
            <w:tcW w:type="dxa" w:w="21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origen</w:t>
            </w:r>
          </w:p>
        </w:tc>
        <w:tc>
          <w:tcPr>
            <w:tcW w:type="dxa" w:w="21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TEXT (CHECK)</w:t>
            </w:r>
          </w:p>
        </w:tc>
        <w:tc>
          <w:tcPr>
            <w:tcW w:type="dxa" w:w="51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real | imputado | proyeccion</w:t>
            </w:r>
          </w:p>
        </w:tc>
      </w:tr>
      <w:tr>
        <w:tc>
          <w:tcPr>
            <w:tcW w:type="dxa" w:w="21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sha256</w:t>
            </w:r>
          </w:p>
        </w:tc>
        <w:tc>
          <w:tcPr>
            <w:tcW w:type="dxa" w:w="21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CHAR(64)</w:t>
            </w:r>
          </w:p>
        </w:tc>
        <w:tc>
          <w:tcPr>
            <w:tcW w:type="dxa" w:w="51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Hash del fichero original — clave de idempotencia</w:t>
            </w:r>
          </w:p>
        </w:tc>
      </w:tr>
      <w:tr>
        <w:tc>
          <w:tcPr>
            <w:tcW w:type="dxa" w:w="21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pct_pib_nacional</w:t>
            </w:r>
          </w:p>
        </w:tc>
        <w:tc>
          <w:tcPr>
            <w:tcW w:type="dxa" w:w="21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NUMERIC</w:t>
            </w:r>
          </w:p>
        </w:tc>
        <w:tc>
          <w:tcPr>
            <w:tcW w:type="dxa" w:w="51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importe_eur / PIB nominal nacional × 100</w:t>
            </w:r>
          </w:p>
        </w:tc>
      </w:tr>
      <w:tr>
        <w:tc>
          <w:tcPr>
            <w:tcW w:type="dxa" w:w="21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eur_per_capita</w:t>
            </w:r>
          </w:p>
        </w:tc>
        <w:tc>
          <w:tcPr>
            <w:tcW w:type="dxa" w:w="21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NUMERIC</w:t>
            </w:r>
          </w:p>
        </w:tc>
        <w:tc>
          <w:tcPr>
            <w:tcW w:type="dxa" w:w="51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importe_eur / poblacion a 1 enero</w:t>
            </w:r>
          </w:p>
        </w:tc>
      </w:tr>
    </w:tbl>
    <w:p>
      <w:pPr>
        <w:pStyle w:val="Heading1"/>
        <w:pageBreakBefore/>
        <w:spacing w:after="200" w:before="0"/>
      </w:pPr>
      <w:bookmarkStart w:name="bm_parte4" w:id="104"/>
      <w:r>
        <w:rPr>
          <w:rFonts w:ascii="Calibri" w:cs="Calibri" w:eastAsia="Calibri" w:hAnsi="Calibri"/>
          <w:b/>
          <w:bCs/>
          <w:color w:val="0E3A53"/>
          <w:sz w:val="40"/>
          <w:szCs w:val="40"/>
        </w:rPr>
        <w:t xml:space="preserve">Parte IV · Automatización con GitHub Actions</w:t>
      </w:r>
      <w:bookmarkEnd w:id="104"/>
    </w:p>
    <w:p>
      <w:pPr>
        <w:spacing w:after="80" w:before="80" w:line="300"/>
        <w:jc w:val="both"/>
      </w:pPr>
      <w:r>
        <w:rPr>
          <w:rFonts w:ascii="Calibri" w:cs="Calibri" w:eastAsia="Calibri" w:hAnsi="Calibri"/>
          <w:color w:val="1B1F23"/>
          <w:sz w:val="22"/>
          <w:szCs w:val="22"/>
        </w:rPr>
        <w:t xml:space="preserve">Tres workflows componen la cadena CI/CD. Todos ejecutan R 4.4 + Python 3.11 con las dependencias instaladas vía r-lib/actions/setup-r-dependencies y pip.</w:t>
      </w:r>
    </w:p>
    <w:p>
      <w:pPr>
        <w:pStyle w:val="Heading2"/>
        <w:spacing w:after="120" w:before="280"/>
      </w:pPr>
      <w:r>
        <w:rPr>
          <w:rFonts w:ascii="Calibri" w:cs="Calibri" w:eastAsia="Calibri" w:hAnsi="Calibri"/>
          <w:b/>
          <w:bCs/>
          <w:color w:val="1F7A8C"/>
          <w:sz w:val="30"/>
          <w:szCs w:val="30"/>
        </w:rPr>
        <w:t xml:space="preserve">4.1 extract.yml — descarga periódica</w:t>
      </w:r>
    </w:p>
    <w:p>
      <w:pPr>
        <w:pStyle w:val="ListParagraph"/>
        <w:numPr>
          <w:ilvl w:val="0"/>
          <w:numId w:val="2"/>
        </w:numPr>
        <w:spacing w:after="40" w:before="40" w:line="280"/>
      </w:pPr>
      <w:r>
        <w:rPr>
          <w:rFonts w:ascii="Calibri" w:cs="Calibri" w:eastAsia="Calibri" w:hAnsi="Calibri"/>
          <w:color w:val="1B1F23"/>
          <w:sz w:val="22"/>
          <w:szCs w:val="22"/>
        </w:rPr>
        <w:t xml:space="preserve">Cron cada día 28 a las 04:00 UTC.</w:t>
      </w:r>
    </w:p>
    <w:p>
      <w:pPr>
        <w:pStyle w:val="ListParagraph"/>
        <w:numPr>
          <w:ilvl w:val="0"/>
          <w:numId w:val="2"/>
        </w:numPr>
        <w:spacing w:after="40" w:before="40" w:line="280"/>
      </w:pPr>
      <w:r>
        <w:rPr>
          <w:rFonts w:ascii="Calibri" w:cs="Calibri" w:eastAsia="Calibri" w:hAnsi="Calibri"/>
          <w:color w:val="1B1F23"/>
          <w:sz w:val="22"/>
          <w:szCs w:val="22"/>
        </w:rPr>
        <w:t xml:space="preserve">Permite invocación manual con parámetros ccaa/anio.</w:t>
      </w:r>
    </w:p>
    <w:p>
      <w:pPr>
        <w:pStyle w:val="ListParagraph"/>
        <w:numPr>
          <w:ilvl w:val="0"/>
          <w:numId w:val="2"/>
        </w:numPr>
        <w:spacing w:after="40" w:before="40" w:line="280"/>
      </w:pPr>
      <w:r>
        <w:rPr>
          <w:rFonts w:ascii="Calibri" w:cs="Calibri" w:eastAsia="Calibri" w:hAnsi="Calibri"/>
          <w:color w:val="1B1F23"/>
          <w:sz w:val="22"/>
          <w:szCs w:val="22"/>
        </w:rPr>
        <w:t xml:space="preserve">Sube artefacto presupuestos-staging y abre PR si detecta cambios en el manifest.</w:t>
      </w:r>
    </w:p>
    <w:p>
      <w:pPr>
        <w:pStyle w:val="Heading2"/>
        <w:spacing w:after="120" w:before="280"/>
      </w:pPr>
      <w:r>
        <w:rPr>
          <w:rFonts w:ascii="Calibri" w:cs="Calibri" w:eastAsia="Calibri" w:hAnsi="Calibri"/>
          <w:b/>
          <w:bCs/>
          <w:color w:val="1F7A8C"/>
          <w:sz w:val="30"/>
          <w:szCs w:val="30"/>
        </w:rPr>
        <w:t xml:space="preserve">4.2 validate.yml — control de calidad</w:t>
      </w:r>
    </w:p>
    <w:p>
      <w:pPr>
        <w:pStyle w:val="ListParagraph"/>
        <w:numPr>
          <w:ilvl w:val="0"/>
          <w:numId w:val="2"/>
        </w:numPr>
        <w:spacing w:after="40" w:before="40" w:line="280"/>
      </w:pPr>
      <w:r>
        <w:rPr>
          <w:rFonts w:ascii="Calibri" w:cs="Calibri" w:eastAsia="Calibri" w:hAnsi="Calibri"/>
          <w:color w:val="1B1F23"/>
          <w:sz w:val="22"/>
          <w:szCs w:val="22"/>
        </w:rPr>
        <w:t xml:space="preserve">Se dispara en push a main y en cada PR que toca Presupuestos/**.</w:t>
      </w:r>
    </w:p>
    <w:p>
      <w:pPr>
        <w:pStyle w:val="ListParagraph"/>
        <w:numPr>
          <w:ilvl w:val="0"/>
          <w:numId w:val="2"/>
        </w:numPr>
        <w:spacing w:after="40" w:before="40" w:line="280"/>
      </w:pPr>
      <w:r>
        <w:rPr>
          <w:rFonts w:ascii="Calibri" w:cs="Calibri" w:eastAsia="Calibri" w:hAnsi="Calibri"/>
          <w:color w:val="1B1F23"/>
          <w:sz w:val="22"/>
          <w:szCs w:val="22"/>
        </w:rPr>
        <w:t xml:space="preserve">Levanta PostgreSQL 16 efímero, aplica db/schema.sql y ejecuta el pipeline completo.</w:t>
      </w:r>
    </w:p>
    <w:p>
      <w:pPr>
        <w:pStyle w:val="ListParagraph"/>
        <w:numPr>
          <w:ilvl w:val="0"/>
          <w:numId w:val="2"/>
        </w:numPr>
        <w:spacing w:after="40" w:before="40" w:line="280"/>
      </w:pPr>
      <w:r>
        <w:rPr>
          <w:rFonts w:ascii="Calibri" w:cs="Calibri" w:eastAsia="Calibri" w:hAnsi="Calibri"/>
          <w:color w:val="1B1F23"/>
          <w:sz w:val="22"/>
          <w:szCs w:val="22"/>
        </w:rPr>
        <w:t xml:space="preserve">Falla la build si fallan los chequeos de conciliación, cobertura, outliers o Benford.</w:t>
      </w:r>
    </w:p>
    <w:p>
      <w:pPr>
        <w:pStyle w:val="Heading2"/>
        <w:spacing w:after="120" w:before="280"/>
      </w:pPr>
      <w:r>
        <w:rPr>
          <w:rFonts w:ascii="Calibri" w:cs="Calibri" w:eastAsia="Calibri" w:hAnsi="Calibri"/>
          <w:b/>
          <w:bCs/>
          <w:color w:val="1F7A8C"/>
          <w:sz w:val="30"/>
          <w:szCs w:val="30"/>
        </w:rPr>
        <w:t xml:space="preserve">4.3 deploy.yml — publicación</w:t>
      </w:r>
    </w:p>
    <w:p>
      <w:pPr>
        <w:pStyle w:val="ListParagraph"/>
        <w:numPr>
          <w:ilvl w:val="0"/>
          <w:numId w:val="2"/>
        </w:numPr>
        <w:spacing w:after="40" w:before="40" w:line="280"/>
      </w:pPr>
      <w:r>
        <w:rPr>
          <w:rFonts w:ascii="Calibri" w:cs="Calibri" w:eastAsia="Calibri" w:hAnsi="Calibri"/>
          <w:color w:val="1B1F23"/>
          <w:sz w:val="22"/>
          <w:szCs w:val="22"/>
        </w:rPr>
        <w:t xml:space="preserve">Se dispara al mergear cambios en 2_transformacion/output/** o db/**.</w:t>
      </w:r>
    </w:p>
    <w:p>
      <w:pPr>
        <w:pStyle w:val="ListParagraph"/>
        <w:numPr>
          <w:ilvl w:val="0"/>
          <w:numId w:val="2"/>
        </w:numPr>
        <w:spacing w:after="40" w:before="40" w:line="280"/>
      </w:pPr>
      <w:r>
        <w:rPr>
          <w:rFonts w:ascii="Calibri" w:cs="Calibri" w:eastAsia="Calibri" w:hAnsi="Calibri"/>
          <w:color w:val="1B1F23"/>
          <w:sz w:val="22"/>
          <w:szCs w:val="22"/>
        </w:rPr>
        <w:t xml:space="preserve">Aplica el DDL (idempotente) en el PostgreSQL de producción.</w:t>
      </w:r>
    </w:p>
    <w:p>
      <w:pPr>
        <w:pStyle w:val="ListParagraph"/>
        <w:numPr>
          <w:ilvl w:val="0"/>
          <w:numId w:val="2"/>
        </w:numPr>
        <w:spacing w:after="40" w:before="40" w:line="280"/>
      </w:pPr>
      <w:r>
        <w:rPr>
          <w:rFonts w:ascii="Calibri" w:cs="Calibri" w:eastAsia="Calibri" w:hAnsi="Calibri"/>
          <w:color w:val="1B1F23"/>
          <w:sz w:val="22"/>
          <w:szCs w:val="22"/>
        </w:rPr>
        <w:t xml:space="preserve">Refresca mv_indicadores y mv_variacion con CONCURRENTLY.</w:t>
      </w:r>
    </w:p>
    <w:p>
      <w:pPr>
        <w:pStyle w:val="ListParagraph"/>
        <w:numPr>
          <w:ilvl w:val="0"/>
          <w:numId w:val="2"/>
        </w:numPr>
        <w:spacing w:after="40" w:before="40" w:line="280"/>
      </w:pPr>
      <w:r>
        <w:rPr>
          <w:rFonts w:ascii="Calibri" w:cs="Calibri" w:eastAsia="Calibri" w:hAnsi="Calibri"/>
          <w:color w:val="1B1F23"/>
          <w:sz w:val="22"/>
          <w:szCs w:val="22"/>
        </w:rPr>
        <w:t xml:space="preserve">Purga la caché del CDN que sirve los dashboards (canariasendatos.es).</w:t>
      </w:r>
    </w:p>
    <w:p>
      <w:pPr>
        <w:pStyle w:val="Heading2"/>
        <w:spacing w:after="120" w:before="280"/>
      </w:pPr>
      <w:r>
        <w:rPr>
          <w:rFonts w:ascii="Calibri" w:cs="Calibri" w:eastAsia="Calibri" w:hAnsi="Calibri"/>
          <w:b/>
          <w:bCs/>
          <w:color w:val="1F7A8C"/>
          <w:sz w:val="30"/>
          <w:szCs w:val="30"/>
        </w:rPr>
        <w:t xml:space="preserve">4.4 Calendario operativo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Ejercicio</w:t>
            </w:r>
          </w:p>
        </w:tc>
        <w:tc>
          <w:tcPr>
            <w:tcW w:type="dxa" w:w="40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Calendario CCAA típico</w:t>
            </w:r>
          </w:p>
        </w:tc>
        <w:tc>
          <w:tcPr>
            <w:tcW w:type="dxa" w:w="376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Acción del pipeline</w:t>
            </w:r>
          </w:p>
        </w:tc>
      </w:tr>
      <w:tr>
        <w:tc>
          <w:tcPr>
            <w:tcW w:type="dxa" w:w="16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Diciembre n-1</w:t>
            </w:r>
          </w:p>
        </w:tc>
        <w:tc>
          <w:tcPr>
            <w:tcW w:type="dxa" w:w="40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Aprobación de presupuestos del año n en Parlamentos autonómicos.</w:t>
            </w:r>
          </w:p>
        </w:tc>
        <w:tc>
          <w:tcPr>
            <w:tcW w:type="dxa" w:w="37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Captura manual con --run-scraping=true por cada CCAA aprobada.</w:t>
            </w:r>
          </w:p>
        </w:tc>
      </w:tr>
      <w:tr>
        <w:tc>
          <w:tcPr>
            <w:tcW w:type="dxa" w:w="16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Enero n</w:t>
            </w:r>
          </w:p>
        </w:tc>
        <w:tc>
          <w:tcPr>
            <w:tcW w:type="dxa" w:w="4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Publicación de leyes anuales.</w:t>
            </w:r>
          </w:p>
        </w:tc>
        <w:tc>
          <w:tcPr>
            <w:tcW w:type="dxa" w:w="37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Ejecutar extract + validate.</w:t>
            </w:r>
          </w:p>
        </w:tc>
      </w:tr>
      <w:tr>
        <w:tc>
          <w:tcPr>
            <w:tcW w:type="dxa" w:w="16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Febrero n</w:t>
            </w:r>
          </w:p>
        </w:tc>
        <w:tc>
          <w:tcPr>
            <w:tcW w:type="dxa" w:w="40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Ministerio publica avance.</w:t>
            </w:r>
          </w:p>
        </w:tc>
        <w:tc>
          <w:tcPr>
            <w:tcW w:type="dxa" w:w="37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Reconciliar capa Hacienda.</w:t>
            </w:r>
          </w:p>
        </w:tc>
      </w:tr>
      <w:tr>
        <w:tc>
          <w:tcPr>
            <w:tcW w:type="dxa" w:w="16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Cada 28</w:t>
            </w:r>
          </w:p>
        </w:tc>
        <w:tc>
          <w:tcPr>
            <w:tcW w:type="dxa" w:w="4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Cron de extract.yml.</w:t>
            </w:r>
          </w:p>
        </w:tc>
        <w:tc>
          <w:tcPr>
            <w:tcW w:type="dxa" w:w="37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Refrescar manifest y normalizar.</w:t>
            </w:r>
          </w:p>
        </w:tc>
      </w:tr>
      <w:tr>
        <w:tc>
          <w:tcPr>
            <w:tcW w:type="dxa" w:w="16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Cuando prorrogue</w:t>
            </w:r>
          </w:p>
        </w:tc>
        <w:tc>
          <w:tcPr>
            <w:tcW w:type="dxa" w:w="40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Una CCAA opera con prórroga.</w:t>
            </w:r>
          </w:p>
        </w:tc>
        <w:tc>
          <w:tcPr>
            <w:tcW w:type="dxa" w:w="37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Marcar es_prorroga = TRUE y mantener referencia al ejercicio anterior.</w:t>
            </w:r>
          </w:p>
        </w:tc>
      </w:tr>
    </w:tbl>
    <w:p>
      <w:pPr>
        <w:pStyle w:val="Heading1"/>
        <w:pageBreakBefore/>
        <w:spacing w:after="200" w:before="0"/>
      </w:pPr>
      <w:bookmarkStart w:name="bm_parte5" w:id="105"/>
      <w:r>
        <w:rPr>
          <w:rFonts w:ascii="Calibri" w:cs="Calibri" w:eastAsia="Calibri" w:hAnsi="Calibri"/>
          <w:b/>
          <w:bCs/>
          <w:color w:val="0E3A53"/>
          <w:sz w:val="40"/>
          <w:szCs w:val="40"/>
        </w:rPr>
        <w:t xml:space="preserve">Parte V · Zonas sensibles, mejoras y producción futura</w:t>
      </w:r>
      <w:bookmarkEnd w:id="105"/>
    </w:p>
    <w:p>
      <w:pPr>
        <w:pStyle w:val="Heading2"/>
        <w:spacing w:after="120" w:before="280"/>
      </w:pPr>
      <w:r>
        <w:rPr>
          <w:rFonts w:ascii="Calibri" w:cs="Calibri" w:eastAsia="Calibri" w:hAnsi="Calibri"/>
          <w:b/>
          <w:bCs/>
          <w:color w:val="1F7A8C"/>
          <w:sz w:val="30"/>
          <w:szCs w:val="30"/>
        </w:rPr>
        <w:t xml:space="preserve">5.1 Zonas sensibles de actualización</w:t>
      </w:r>
    </w:p>
    <w:p>
      <w:pPr>
        <w:pStyle w:val="ListParagraph"/>
        <w:numPr>
          <w:ilvl w:val="0"/>
          <w:numId w:val="2"/>
        </w:numPr>
        <w:spacing w:after="40" w:before="40" w:line="280"/>
      </w:pPr>
      <w:r>
        <w:rPr>
          <w:rFonts w:ascii="Calibri" w:cs="Calibri" w:eastAsia="Calibri" w:hAnsi="Calibri"/>
          <w:color w:val="1B1F23"/>
          <w:sz w:val="22"/>
          <w:szCs w:val="22"/>
        </w:rPr>
        <w:t xml:space="preserve">URLs en fuentes.yml: Aragón, Madrid, Galicia, Euskadi y Canarias publican índices, no PDFs canónicos. Resolver el canonical_url por ejercicio antes de la primera ejecución productiva.</w:t>
      </w:r>
    </w:p>
    <w:p>
      <w:pPr>
        <w:pStyle w:val="ListParagraph"/>
        <w:numPr>
          <w:ilvl w:val="0"/>
          <w:numId w:val="2"/>
        </w:numPr>
        <w:spacing w:after="40" w:before="40" w:line="280"/>
      </w:pPr>
      <w:r>
        <w:rPr>
          <w:rFonts w:ascii="Calibri" w:cs="Calibri" w:eastAsia="Calibri" w:hAnsi="Calibri"/>
          <w:color w:val="1B1F23"/>
          <w:sz w:val="22"/>
          <w:szCs w:val="22"/>
        </w:rPr>
        <w:t xml:space="preserve">Cambio de formato en Euskadi (2022 → CSV tidy con etiquetas). El detector de motor debe seleccionar el adecuado por ejercicio.</w:t>
      </w:r>
    </w:p>
    <w:p>
      <w:pPr>
        <w:pStyle w:val="ListParagraph"/>
        <w:numPr>
          <w:ilvl w:val="0"/>
          <w:numId w:val="2"/>
        </w:numPr>
        <w:spacing w:after="40" w:before="40" w:line="280"/>
      </w:pPr>
      <w:r>
        <w:rPr>
          <w:rFonts w:ascii="Calibri" w:cs="Calibri" w:eastAsia="Calibri" w:hAnsi="Calibri"/>
          <w:color w:val="1B1F23"/>
          <w:sz w:val="22"/>
          <w:szCs w:val="22"/>
        </w:rPr>
        <w:t xml:space="preserve">Andalucía y Cataluña usan codificación funcional propia: la tabla de correspondencias resuelve la traducción, pero cualquier reasignación interna (ej. el 31P andaluz de LGTBI) debe revalidarse anualmente.</w:t>
      </w:r>
    </w:p>
    <w:p>
      <w:pPr>
        <w:pStyle w:val="ListParagraph"/>
        <w:numPr>
          <w:ilvl w:val="0"/>
          <w:numId w:val="2"/>
        </w:numPr>
        <w:spacing w:after="40" w:before="40" w:line="280"/>
      </w:pPr>
      <w:r>
        <w:rPr>
          <w:rFonts w:ascii="Calibri" w:cs="Calibri" w:eastAsia="Calibri" w:hAnsi="Calibri"/>
          <w:color w:val="1B1F23"/>
          <w:sz w:val="22"/>
          <w:szCs w:val="22"/>
        </w:rPr>
        <w:t xml:space="preserve">Salud mental no es programa diferenciado en al menos siete CCAA. El flag estimado = TRUE debe ser visible al usuario.</w:t>
      </w:r>
    </w:p>
    <w:p>
      <w:pPr>
        <w:pStyle w:val="ListParagraph"/>
        <w:numPr>
          <w:ilvl w:val="0"/>
          <w:numId w:val="2"/>
        </w:numPr>
        <w:spacing w:after="40" w:before="40" w:line="280"/>
      </w:pPr>
      <w:r>
        <w:rPr>
          <w:rFonts w:ascii="Calibri" w:cs="Calibri" w:eastAsia="Calibri" w:hAnsi="Calibri"/>
          <w:color w:val="1B1F23"/>
          <w:sz w:val="22"/>
          <w:szCs w:val="22"/>
        </w:rPr>
        <w:t xml:space="preserve">Workbooks INE para PIB/población: si cambian la hoja útil o el formato de etiquetas, el join fact_gasto × PIB se rompe.</w:t>
      </w:r>
    </w:p>
    <w:p>
      <w:pPr>
        <w:pStyle w:val="ListParagraph"/>
        <w:numPr>
          <w:ilvl w:val="0"/>
          <w:numId w:val="2"/>
        </w:numPr>
        <w:spacing w:after="40" w:before="40" w:line="280"/>
      </w:pPr>
      <w:r>
        <w:rPr>
          <w:rFonts w:ascii="Calibri" w:cs="Calibri" w:eastAsia="Calibri" w:hAnsi="Calibri"/>
          <w:color w:val="1B1F23"/>
          <w:sz w:val="22"/>
          <w:szCs w:val="22"/>
        </w:rPr>
        <w:t xml:space="preserve">Prórrogas en Cataluña y Comunitat Valenciana: validar campo es_prorroga año a año.</w:t>
      </w:r>
    </w:p>
    <w:p>
      <w:pPr>
        <w:pStyle w:val="Heading2"/>
        <w:spacing w:after="120" w:before="280"/>
      </w:pPr>
      <w:r>
        <w:rPr>
          <w:rFonts w:ascii="Calibri" w:cs="Calibri" w:eastAsia="Calibri" w:hAnsi="Calibri"/>
          <w:b/>
          <w:bCs/>
          <w:color w:val="1F7A8C"/>
          <w:sz w:val="30"/>
          <w:szCs w:val="30"/>
        </w:rPr>
        <w:t xml:space="preserve">5.2 Puntos de mejora</w:t>
      </w:r>
    </w:p>
    <w:p>
      <w:pPr>
        <w:pStyle w:val="ListParagraph"/>
        <w:numPr>
          <w:ilvl w:val="0"/>
          <w:numId w:val="2"/>
        </w:numPr>
        <w:spacing w:after="40" w:before="40" w:line="280"/>
      </w:pPr>
      <w:r>
        <w:rPr>
          <w:rFonts w:ascii="Calibri" w:cs="Calibri" w:eastAsia="Calibri" w:hAnsi="Calibri"/>
          <w:color w:val="1B1F23"/>
          <w:sz w:val="22"/>
          <w:szCs w:val="22"/>
        </w:rPr>
        <w:t xml:space="preserve">Lockfile de R con renv para fijar versiones (prophet, arrow, DBI, RPostgres, stringdist).</w:t>
      </w:r>
    </w:p>
    <w:p>
      <w:pPr>
        <w:pStyle w:val="ListParagraph"/>
        <w:numPr>
          <w:ilvl w:val="0"/>
          <w:numId w:val="2"/>
        </w:numPr>
        <w:spacing w:after="40" w:before="40" w:line="280"/>
      </w:pPr>
      <w:r>
        <w:rPr>
          <w:rFonts w:ascii="Calibri" w:cs="Calibri" w:eastAsia="Calibri" w:hAnsi="Calibri"/>
          <w:color w:val="1B1F23"/>
          <w:sz w:val="22"/>
          <w:szCs w:val="22"/>
        </w:rPr>
        <w:t xml:space="preserve">requirements.txt versionado para Python (pdfplumber, camelot-py[base], pyarrow).</w:t>
      </w:r>
    </w:p>
    <w:p>
      <w:pPr>
        <w:pStyle w:val="ListParagraph"/>
        <w:numPr>
          <w:ilvl w:val="0"/>
          <w:numId w:val="2"/>
        </w:numPr>
        <w:spacing w:after="40" w:before="40" w:line="280"/>
      </w:pPr>
      <w:r>
        <w:rPr>
          <w:rFonts w:ascii="Calibri" w:cs="Calibri" w:eastAsia="Calibri" w:hAnsi="Calibri"/>
          <w:color w:val="1B1F23"/>
          <w:sz w:val="22"/>
          <w:szCs w:val="22"/>
        </w:rPr>
        <w:t xml:space="preserve">Tests de regresión en R con testthat: cobertura por CCAA, rango temporal mínimo, coherencia origen.</w:t>
      </w:r>
    </w:p>
    <w:p>
      <w:pPr>
        <w:pStyle w:val="ListParagraph"/>
        <w:numPr>
          <w:ilvl w:val="0"/>
          <w:numId w:val="2"/>
        </w:numPr>
        <w:spacing w:after="40" w:before="40" w:line="280"/>
      </w:pPr>
      <w:r>
        <w:rPr>
          <w:rFonts w:ascii="Calibri" w:cs="Calibri" w:eastAsia="Calibri" w:hAnsi="Calibri"/>
          <w:color w:val="1B1F23"/>
          <w:sz w:val="22"/>
          <w:szCs w:val="22"/>
        </w:rPr>
        <w:t xml:space="preserve">Endurecer la capa de carga con patrón staging + swap (ya implementado en 4_carga/carga.R).</w:t>
      </w:r>
    </w:p>
    <w:p>
      <w:pPr>
        <w:pStyle w:val="ListParagraph"/>
        <w:numPr>
          <w:ilvl w:val="0"/>
          <w:numId w:val="2"/>
        </w:numPr>
        <w:spacing w:after="40" w:before="40" w:line="280"/>
      </w:pPr>
      <w:r>
        <w:rPr>
          <w:rFonts w:ascii="Calibri" w:cs="Calibri" w:eastAsia="Calibri" w:hAnsi="Calibri"/>
          <w:color w:val="1B1F23"/>
          <w:sz w:val="22"/>
          <w:szCs w:val="22"/>
        </w:rPr>
        <w:t xml:space="preserve">Añadir ejecución presupuestaria infraanual desde SGCIEF como capa adicional con fase = 'ejecucion'.</w:t>
      </w:r>
    </w:p>
    <w:p>
      <w:pPr>
        <w:pStyle w:val="ListParagraph"/>
        <w:numPr>
          <w:ilvl w:val="0"/>
          <w:numId w:val="2"/>
        </w:numPr>
        <w:spacing w:after="40" w:before="40" w:line="280"/>
      </w:pPr>
      <w:r>
        <w:rPr>
          <w:rFonts w:ascii="Calibri" w:cs="Calibri" w:eastAsia="Calibri" w:hAnsi="Calibri"/>
          <w:color w:val="1B1F23"/>
          <w:sz w:val="22"/>
          <w:szCs w:val="22"/>
        </w:rPr>
        <w:t xml:space="preserve">Diccionario público de campos en /docs/datos.md y endpoint API REST autenticado opcional.</w:t>
      </w:r>
    </w:p>
    <w:p>
      <w:pPr>
        <w:pStyle w:val="Heading2"/>
        <w:spacing w:after="120" w:before="280"/>
      </w:pPr>
      <w:r>
        <w:rPr>
          <w:rFonts w:ascii="Calibri" w:cs="Calibri" w:eastAsia="Calibri" w:hAnsi="Calibri"/>
          <w:b/>
          <w:bCs/>
          <w:color w:val="1F7A8C"/>
          <w:sz w:val="30"/>
          <w:szCs w:val="30"/>
        </w:rPr>
        <w:t xml:space="preserve">5.3 Hoja de ruta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rPr>
          <w:tblHeader/>
        </w:trPr>
        <w:tc>
          <w:tcPr>
            <w:tcW w:type="dxa" w:w="15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Fase</w:t>
            </w:r>
          </w:p>
        </w:tc>
        <w:tc>
          <w:tcPr>
            <w:tcW w:type="dxa" w:w="55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Resultado</w:t>
            </w:r>
          </w:p>
        </w:tc>
        <w:tc>
          <w:tcPr>
            <w:tcW w:type="dxa" w:w="236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Prioridad</w:t>
            </w:r>
          </w:p>
        </w:tc>
      </w:tr>
      <w:tr>
        <w:tc>
          <w:tcPr>
            <w:tcW w:type="dxa" w:w="15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1. Inventario</w:t>
            </w:r>
          </w:p>
        </w:tc>
        <w:tc>
          <w:tcPr>
            <w:tcW w:type="dxa" w:w="55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Catálogo definitivo de fuentes (fuentes.yml v1.0) con canonical_url validados.</w:t>
            </w:r>
          </w:p>
        </w:tc>
        <w:tc>
          <w:tcPr>
            <w:tcW w:type="dxa" w:w="23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Alta</w:t>
            </w:r>
          </w:p>
        </w:tc>
      </w:tr>
      <w:tr>
        <w:tc>
          <w:tcPr>
            <w:tcW w:type="dxa" w:w="15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2. Capa Hacienda</w:t>
            </w:r>
          </w:p>
        </w:tc>
        <w:tc>
          <w:tcPr>
            <w:tcW w:type="dxa" w:w="55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Dataset nacional 2002-2025 + avance 2026.</w:t>
            </w:r>
          </w:p>
        </w:tc>
        <w:tc>
          <w:tcPr>
            <w:tcW w:type="dxa" w:w="23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Alta</w:t>
            </w:r>
          </w:p>
        </w:tc>
      </w:tr>
      <w:tr>
        <w:tc>
          <w:tcPr>
            <w:tcW w:type="dxa" w:w="15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3. Canarias granular</w:t>
            </w:r>
          </w:p>
        </w:tc>
        <w:tc>
          <w:tcPr>
            <w:tcW w:type="dxa" w:w="55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Modelo canario con sección/programa/concepto/subconcepto y SEFLogiC/PDF.</w:t>
            </w:r>
          </w:p>
        </w:tc>
        <w:tc>
          <w:tcPr>
            <w:tcW w:type="dxa" w:w="23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Alta</w:t>
            </w:r>
          </w:p>
        </w:tc>
      </w:tr>
      <w:tr>
        <w:tc>
          <w:tcPr>
            <w:tcW w:type="dxa" w:w="15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4. CCAA datos abiertos</w:t>
            </w:r>
          </w:p>
        </w:tc>
        <w:tc>
          <w:tcPr>
            <w:tcW w:type="dxa" w:w="55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Andalucía 2015+, Aragón, Castilla y León, Madrid, Navarra, Euskadi, IB, La Rioja.</w:t>
            </w:r>
          </w:p>
        </w:tc>
        <w:tc>
          <w:tcPr>
            <w:tcW w:type="dxa" w:w="23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Media-alta</w:t>
            </w:r>
          </w:p>
        </w:tc>
      </w:tr>
      <w:tr>
        <w:tc>
          <w:tcPr>
            <w:tcW w:type="dxa" w:w="15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5. CCAA PDF</w:t>
            </w:r>
          </w:p>
        </w:tc>
        <w:tc>
          <w:tcPr>
            <w:tcW w:type="dxa" w:w="55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Extracción asistida con pdfplumber + validación manual del resto.</w:t>
            </w:r>
          </w:p>
        </w:tc>
        <w:tc>
          <w:tcPr>
            <w:tcW w:type="dxa" w:w="23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Media</w:t>
            </w:r>
          </w:p>
        </w:tc>
      </w:tr>
      <w:tr>
        <w:tc>
          <w:tcPr>
            <w:tcW w:type="dxa" w:w="15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6. Publicación</w:t>
            </w:r>
          </w:p>
        </w:tc>
        <w:tc>
          <w:tcPr>
            <w:tcW w:type="dxa" w:w="55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Dashboards Shiny/D3, API interna, diccionario de datos, ficha metodológica.</w:t>
            </w:r>
          </w:p>
        </w:tc>
        <w:tc>
          <w:tcPr>
            <w:tcW w:type="dxa" w:w="23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Alta</w:t>
            </w:r>
          </w:p>
        </w:tc>
      </w:tr>
      <w:tr>
        <w:tc>
          <w:tcPr>
            <w:tcW w:type="dxa" w:w="15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7. Ejecución</w:t>
            </w:r>
          </w:p>
        </w:tc>
        <w:tc>
          <w:tcPr>
            <w:tcW w:type="dxa" w:w="55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Capa de ejecución mensual SGCIEF (fase = 'ejecucion').</w:t>
            </w:r>
          </w:p>
        </w:tc>
        <w:tc>
          <w:tcPr>
            <w:tcW w:type="dxa" w:w="23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Media (Q3 2026)</w:t>
            </w:r>
          </w:p>
        </w:tc>
      </w:tr>
      <w:tr>
        <w:tc>
          <w:tcPr>
            <w:tcW w:type="dxa" w:w="15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8. Local</w:t>
            </w:r>
          </w:p>
        </w:tc>
        <w:tc>
          <w:tcPr>
            <w:tcW w:type="dxa" w:w="55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Cabildos y ayuntamientos canarios.</w:t>
            </w:r>
          </w:p>
        </w:tc>
        <w:tc>
          <w:tcPr>
            <w:tcW w:type="dxa" w:w="23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Baja (Q1 2027)</w:t>
            </w:r>
          </w:p>
        </w:tc>
      </w:tr>
    </w:tbl>
    <w:p>
      <w:pPr>
        <w:pStyle w:val="Heading2"/>
        <w:spacing w:after="120" w:before="280"/>
      </w:pPr>
      <w:r>
        <w:rPr>
          <w:rFonts w:ascii="Calibri" w:cs="Calibri" w:eastAsia="Calibri" w:hAnsi="Calibri"/>
          <w:b/>
          <w:bCs/>
          <w:color w:val="1F7A8C"/>
          <w:sz w:val="30"/>
          <w:szCs w:val="30"/>
        </w:rPr>
        <w:t xml:space="preserve">5.4 Criterio editorial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2"/>
              <w:left w:val="single" w:color="1F7A8C" w:sz="12"/>
              <w:bottom w:val="single" w:color="1F7A8C" w:sz="4"/>
              <w:right w:val="single" w:color="1F7A8C" w:sz="4"/>
            </w:tcBorders>
            <w:shd w:fill="D4E4EA" w:color="auto" w:val="clear"/>
            <w:tcMar>
              <w:top w:type="dxa" w:w="160"/>
              <w:left w:type="dxa" w:w="200"/>
              <w:bottom w:type="dxa" w:w="160"/>
              <w:right w:type="dxa" w:w="200"/>
            </w:tcMar>
          </w:tcPr>
          <w:p>
            <w:pPr>
              <w:spacing w:after="60" w:before="0"/>
            </w:pPr>
            <w:r>
              <w:rPr>
                <w:rFonts w:ascii="Calibri" w:cs="Calibri" w:eastAsia="Calibri" w:hAnsi="Calibri"/>
                <w:b/>
                <w:bCs/>
                <w:color w:val="0E3A53"/>
                <w:sz w:val="22"/>
                <w:szCs w:val="22"/>
              </w:rPr>
              <w:t xml:space="preserve">Mensaje para usuarios</w:t>
            </w:r>
          </w:p>
          <w:p>
            <w:pPr>
              <w:spacing w:after="0" w:before="0"/>
              <w:jc w:val="both"/>
            </w:pPr>
            <w:r>
              <w:rPr>
                <w:rFonts w:ascii="Calibri" w:cs="Calibri" w:eastAsia="Calibri" w:hAnsi="Calibri"/>
                <w:color w:val="1B1F23"/>
                <w:sz w:val="22"/>
                <w:szCs w:val="22"/>
              </w:rPr>
              <w:t xml:space="preserve">El presupuesto aprobado muestra la planificación inicial: no equivale al gasto ejecutado. Cuando se incorporen datos de ejecución o liquidación, deben mostrarse en vistas separadas o con filtros de fase claramente visibles. Las comparaciones inter-CCAA usan siempre la capa homogénea de Hacienda; la navegación por programa de una CCAA concreta debe mostrar aviso de que la estructura no es comparable con la de otra comunidad sin la tabla de correspondencias.</w:t>
            </w:r>
          </w:p>
        </w:tc>
      </w:tr>
    </w:tbl>
    <w:p>
      <w:pPr>
        <w:pStyle w:val="Heading1"/>
        <w:pageBreakBefore/>
        <w:spacing w:after="200" w:before="0"/>
      </w:pPr>
      <w:bookmarkStart w:name="bm_anexo_a" w:id="106"/>
      <w:r>
        <w:rPr>
          <w:rFonts w:ascii="Calibri" w:cs="Calibri" w:eastAsia="Calibri" w:hAnsi="Calibri"/>
          <w:b/>
          <w:bCs/>
          <w:color w:val="0E3A53"/>
          <w:sz w:val="40"/>
          <w:szCs w:val="40"/>
        </w:rPr>
        <w:t xml:space="preserve">Anexo A · Tabla de correspondencias (resumen)</w:t>
      </w:r>
      <w:bookmarkEnd w:id="106"/>
    </w:p>
    <w:p>
      <w:pPr>
        <w:spacing w:after="80" w:before="80" w:line="300"/>
        <w:jc w:val="both"/>
      </w:pPr>
      <w:r>
        <w:rPr>
          <w:rFonts w:ascii="Calibri" w:cs="Calibri" w:eastAsia="Calibri" w:hAnsi="Calibri"/>
          <w:color w:val="1B1F23"/>
          <w:sz w:val="22"/>
          <w:szCs w:val="22"/>
        </w:rPr>
        <w:t xml:space="preserve">La tabla completa CCAA × concepto vive en el Word anexo Tablas_Correspondencias_CCAA.docx (50 KB, 17 secciones, una por comunidad). Aquí se resume la procedencia esperada de cada concepto y las particularidades agrupadas: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860"/>
      </w:tblGrid>
      <w:tr>
        <w:trPr>
          <w:tblHeader/>
        </w:trPr>
        <w:tc>
          <w:tcPr>
            <w:tcW w:type="dxa" w:w="22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Concepto</w:t>
            </w:r>
          </w:p>
        </w:tc>
        <w:tc>
          <w:tcPr>
            <w:tcW w:type="dxa" w:w="23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Procedencia esperada</w:t>
            </w:r>
          </w:p>
        </w:tc>
        <w:tc>
          <w:tcPr>
            <w:tcW w:type="dxa" w:w="486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Particularidades por CCAA</w:t>
            </w:r>
          </w:p>
        </w:tc>
      </w:tr>
      <w:tr>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Sanidad</w:t>
            </w:r>
          </w:p>
        </w:tc>
        <w:tc>
          <w:tcPr>
            <w:tcW w:type="dxa" w:w="23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Función 31 / 41 / 411 / 412 / 510</w:t>
            </w:r>
          </w:p>
        </w:tc>
        <w:tc>
          <w:tcPr>
            <w:tcW w:type="dxa" w:w="48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Servicio Andaluz de Salud, IbSalut, SCS, SCS Cantabria, SACYL, SESCAM, CatSalut, SES, SERGAS, SERIS, SERMAS, SMS, SNS-O, Osakidetza</w:t>
            </w:r>
          </w:p>
        </w:tc>
      </w:tr>
      <w:tr>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Educación</w:t>
            </w:r>
          </w:p>
        </w:tc>
        <w:tc>
          <w:tcPr>
            <w:tcW w:type="dxa" w:w="23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Función 32 / 42 / 421 / 422</w:t>
            </w:r>
          </w:p>
        </w:tc>
        <w:tc>
          <w:tcPr>
            <w:tcW w:type="dxa" w:w="48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Estructura homogénea; Cataluña usa 42 con 5 subprogramas.</w:t>
            </w:r>
          </w:p>
        </w:tc>
      </w:tr>
      <w:tr>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Soberanía alimentaria</w:t>
            </w:r>
          </w:p>
        </w:tc>
        <w:tc>
          <w:tcPr>
            <w:tcW w:type="dxa" w:w="23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Función 41 / 53 / 71 / 412</w:t>
            </w:r>
          </w:p>
        </w:tc>
        <w:tc>
          <w:tcPr>
            <w:tcW w:type="dxa" w:w="48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Extremadura codifica agricultura en 312A (atípico); Euskadi cambia codificación en 2022.</w:t>
            </w:r>
          </w:p>
        </w:tc>
      </w:tr>
      <w:tr>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Dirección política</w:t>
            </w:r>
          </w:p>
        </w:tc>
        <w:tc>
          <w:tcPr>
            <w:tcW w:type="dxa" w:w="23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Función 11 / 91 / 010</w:t>
            </w:r>
          </w:p>
        </w:tc>
        <w:tc>
          <w:tcPr>
            <w:tcW w:type="dxa" w:w="48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Navarra usa serie 010-110; Cataluña 111-121-131.</w:t>
            </w:r>
          </w:p>
        </w:tc>
      </w:tr>
      <w:tr>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Vivienda</w:t>
            </w:r>
          </w:p>
        </w:tc>
        <w:tc>
          <w:tcPr>
            <w:tcW w:type="dxa" w:w="23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Función 26 / 43 / 51 / 261 / 431 / 451</w:t>
            </w:r>
          </w:p>
        </w:tc>
        <w:tc>
          <w:tcPr>
            <w:tcW w:type="dxa" w:w="48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Entes: AVRA (and), IBAVI (bal), ICAVI (can), IGVS (gal), AVS (mad), Nasuvinsa (nav), Visesa (pvc), EVHa (val).</w:t>
            </w:r>
          </w:p>
        </w:tc>
      </w:tr>
      <w:tr>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Empleo</w:t>
            </w:r>
          </w:p>
        </w:tc>
        <w:tc>
          <w:tcPr>
            <w:tcW w:type="dxa" w:w="23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Función 24 / 32 / 33 / 241 / 322 / 230</w:t>
            </w:r>
          </w:p>
        </w:tc>
        <w:tc>
          <w:tcPr>
            <w:tcW w:type="dxa" w:w="48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Entes: SAE, INAEM, SEPEPA, SOIB, SCE, EMCAN, ECYL, SOC, SEXPE, Lanbide, Nafar Lansare, SEF, Labora.</w:t>
            </w:r>
          </w:p>
        </w:tc>
      </w:tr>
      <w:tr>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I+D+i</w:t>
            </w:r>
          </w:p>
        </w:tc>
        <w:tc>
          <w:tcPr>
            <w:tcW w:type="dxa" w:w="23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Función 46 / 54 / 56 / 463 / 467 / 542</w:t>
            </w:r>
          </w:p>
        </w:tc>
        <w:tc>
          <w:tcPr>
            <w:tcW w:type="dxa" w:w="48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Entes: AAC (and), ACIISI (can), GAIN (gal).</w:t>
            </w:r>
          </w:p>
        </w:tc>
      </w:tr>
      <w:tr>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Dependencia</w:t>
            </w:r>
          </w:p>
        </w:tc>
        <w:tc>
          <w:tcPr>
            <w:tcW w:type="dxa" w:w="23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Sección/DG dentro de SS (231/232/313/252/261)</w:t>
            </w:r>
          </w:p>
        </w:tc>
        <w:tc>
          <w:tcPr>
            <w:tcW w:type="dxa" w:w="48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DG dedicada en (and, mad, mur, ext - SEPAD); SS general en otras CCAA.</w:t>
            </w:r>
          </w:p>
        </w:tc>
      </w:tr>
      <w:tr>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Discapacidad</w:t>
            </w:r>
          </w:p>
        </w:tc>
        <w:tc>
          <w:tcPr>
            <w:tcW w:type="dxa" w:w="23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Sección/DG dentro de SS (231/232/313/314)</w:t>
            </w:r>
          </w:p>
        </w:tc>
        <w:tc>
          <w:tcPr>
            <w:tcW w:type="dxa" w:w="48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Misma DG que dependencia en muchas CCAA (cym, mad, mur).</w:t>
            </w:r>
          </w:p>
        </w:tc>
      </w:tr>
      <w:tr>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Salud mental</w:t>
            </w:r>
          </w:p>
        </w:tc>
        <w:tc>
          <w:tcPr>
            <w:tcW w:type="dxa" w:w="23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Programa propio en Madrid (313A), Navarra (514), Cataluña (414), Valencia (313.70), Baleares (412I), Canarias (312D desde 2022).</w:t>
            </w:r>
          </w:p>
        </w:tc>
        <w:tc>
          <w:tcPr>
            <w:tcW w:type="dxa" w:w="48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En el resto: subprograma de Asistencia Especializada (flag estimado=TRUE).</w:t>
            </w:r>
          </w:p>
        </w:tc>
      </w:tr>
      <w:tr>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Diversidad</w:t>
            </w:r>
          </w:p>
        </w:tc>
        <w:tc>
          <w:tcPr>
            <w:tcW w:type="dxa" w:w="23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Programas LGTBI + Migración + Etnias</w:t>
            </w:r>
          </w:p>
        </w:tc>
        <w:tc>
          <w:tcPr>
            <w:tcW w:type="dxa" w:w="48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Códigos cambian con frecuencia; mantener mapping anual.</w:t>
            </w:r>
          </w:p>
        </w:tc>
      </w:tr>
      <w:tr>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Turismo</w:t>
            </w:r>
          </w:p>
        </w:tc>
        <w:tc>
          <w:tcPr>
            <w:tcW w:type="dxa" w:w="23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Programa 432X / 751X / 730 / 761</w:t>
            </w:r>
          </w:p>
        </w:tc>
        <w:tc>
          <w:tcPr>
            <w:tcW w:type="dxa" w:w="48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Entes turismo en casi todas las CCAA.</w:t>
            </w:r>
          </w:p>
        </w:tc>
      </w:tr>
      <w:tr>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Igualdad</w:t>
            </w:r>
          </w:p>
        </w:tc>
        <w:tc>
          <w:tcPr>
            <w:tcW w:type="dxa" w:w="23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Ente (Instituto Mujer/Igualdad) o programa 232X/323X/920</w:t>
            </w:r>
          </w:p>
        </w:tc>
        <w:tc>
          <w:tcPr>
            <w:tcW w:type="dxa" w:w="48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Sin ente independiente: Cantabria, CyL, La Rioja, Murcia, Valencia.</w:t>
            </w:r>
          </w:p>
        </w:tc>
      </w:tr>
    </w:tbl>
    <w:p>
      <w:pPr>
        <w:pStyle w:val="Heading1"/>
        <w:pageBreakBefore/>
        <w:spacing w:after="200" w:before="0"/>
      </w:pPr>
      <w:bookmarkStart w:name="bm_anexo_b" w:id="107"/>
      <w:r>
        <w:rPr>
          <w:rFonts w:ascii="Calibri" w:cs="Calibri" w:eastAsia="Calibri" w:hAnsi="Calibri"/>
          <w:b/>
          <w:bCs/>
          <w:color w:val="0E3A53"/>
          <w:sz w:val="40"/>
          <w:szCs w:val="40"/>
        </w:rPr>
        <w:t xml:space="preserve">Anexo B · fuentes.yml (catálogo de fuentes)</w:t>
      </w:r>
      <w:bookmarkEnd w:id="107"/>
    </w:p>
    <w:p>
      <w:pPr>
        <w:spacing w:after="80" w:before="80" w:line="300"/>
        <w:jc w:val="both"/>
      </w:pPr>
      <w:r>
        <w:rPr>
          <w:rFonts w:ascii="Calibri" w:cs="Calibri" w:eastAsia="Calibri" w:hAnsi="Calibri"/>
          <w:color w:val="1B1F23"/>
          <w:sz w:val="22"/>
          <w:szCs w:val="22"/>
        </w:rPr>
        <w:t xml:space="preserve">Catálogo declarativo que alimenta 1_extraccion/extraccion.R. Una entrada por CCAA, una sub-entrada por ejercicio y alias. Se incluye un extracto representativo; el fichero completo vive en Presupuestos/fuentes.yml.</w:t>
      </w:r>
    </w:p>
    <w:p>
      <w:pPr>
        <w:spacing w:after="0" w:before="80"/>
      </w:pPr>
      <w:r>
        <w:rPr>
          <w:rFonts w:ascii="Consolas" w:cs="Consolas" w:eastAsia="Consolas" w:hAnsi="Consolas"/>
          <w:b/>
          <w:bCs/>
          <w:color w:val="1F7A8C"/>
          <w:sz w:val="16"/>
          <w:szCs w:val="16"/>
        </w:rPr>
        <w:t xml:space="preserve">[ yaml ]</w:t>
      </w:r>
    </w:p>
    <w:p>
      <w:pPr>
        <w:pBdr>
          <w:left w:val="single" w:color="1F7A8C" w:sz="18" w:space="8"/>
        </w:pBdr>
        <w:shd w:fill="F7FAFC" w:color="auto" w:val="clear"/>
        <w:spacing w:after="0" w:before="60" w:line="240"/>
      </w:pPr>
      <w:r>
        <w:rPr>
          <w:rFonts w:ascii="Consolas" w:cs="Consolas" w:eastAsia="Consolas" w:hAnsi="Consolas"/>
          <w:color w:val="0B5C72"/>
          <w:sz w:val="18"/>
          <w:szCs w:val="18"/>
        </w:rPr>
        <w:t xml:space="preserve">defaults: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user_agent: "ODESOCAN-CanariasEnDatos/0.1"</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retries: 3</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timeout_s: 60</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can:</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nombre: "Canarias"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regimen: comun</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portal: "https://www.gobiernodecanarias.org/hacienda/planificacionypresupuesto/"</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ejercicios: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2025:</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memoria_programas: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tipo: pdf</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url:  "https://www.gobiernodecanarias.org/hacienda/planificacionypresupuesto/presupuestos/2025/"</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capa: autonomica</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datos_abiertos: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tipo: csv</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url:  "https://datos.canarias.es/catalogos/general/dataset/?q=&amp;res_format=CSV&amp;tags=presupuestos"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capa: autonomica</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cat:</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nombre: "Cataluña / Catalunya"</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regimen: comun</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portal: "https://aplicacions.economia.gencat.cat/wpres/"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ejercicios: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2026:</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vol_p_eid:</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tipo: pdf</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url:  "https://aplicacions.economia.gencat.cat/wpres/AppPHP/2026/pdf/VOL_P_EID.pdf"</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capa: autonomica</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cym:</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nombre: "Castilla y León"</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regimen: comun</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portal: "https://datosabiertos.jcyl.es/web/jcyl/set/es/hacienda/presupuestos/1284548037482"</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ejercicios: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2026:</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datos_abiertos_csv:</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tipo: csv</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url:  "https://datosabiertos.jcyl.es/web/jcyl/set/es/hacienda/presupuestos/1284548037482"</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capa: autonomica</w:t>
      </w:r>
    </w:p>
    <w:p>
      <w:pPr>
        <w:pBdr>
          <w:left w:val="single" w:color="1F7A8C" w:sz="18" w:space="8"/>
        </w:pBdr>
        <w:shd w:fill="F7FAFC" w:color="auto" w:val="clear"/>
        <w:spacing w:after="80" w:before="0" w:line="240"/>
      </w:pPr>
      <w:r>
        <w:rPr>
          <w:rFonts w:ascii="Consolas" w:cs="Consolas" w:eastAsia="Consolas" w:hAnsi="Consolas"/>
          <w:color w:val="0B5C72"/>
          <w:sz w:val="18"/>
          <w:szCs w:val="18"/>
        </w:rPr>
        <w:t xml:space="preserve">        nota: "Resolver el endpoint CSV concreto del dataset"</w:t>
      </w:r>
    </w:p>
    <w:p>
      <w:pPr>
        <w:pStyle w:val="Heading1"/>
        <w:pageBreakBefore/>
        <w:spacing w:after="200" w:before="0"/>
      </w:pPr>
      <w:bookmarkStart w:name="bm_anexo_c" w:id="108"/>
      <w:r>
        <w:rPr>
          <w:rFonts w:ascii="Calibri" w:cs="Calibri" w:eastAsia="Calibri" w:hAnsi="Calibri"/>
          <w:b/>
          <w:bCs/>
          <w:color w:val="0E3A53"/>
          <w:sz w:val="40"/>
          <w:szCs w:val="40"/>
        </w:rPr>
        <w:t xml:space="preserve">Anexo C · correspondencias.yml (patrones de asignación)</w:t>
      </w:r>
      <w:bookmarkEnd w:id="108"/>
    </w:p>
    <w:p>
      <w:pPr>
        <w:spacing w:after="80" w:before="80" w:line="300"/>
        <w:jc w:val="both"/>
      </w:pPr>
      <w:r>
        <w:rPr>
          <w:rFonts w:ascii="Calibri" w:cs="Calibri" w:eastAsia="Calibri" w:hAnsi="Calibri"/>
          <w:color w:val="1B1F23"/>
          <w:sz w:val="22"/>
          <w:szCs w:val="22"/>
        </w:rPr>
        <w:t xml:space="preserve">Patrones que utiliza R/correspondencias.R::asignar_concepto() para mapear cada partida presupuestaria al concepto correspondiente. La asignación va primero por prefijo de código y, si falla, por similitud Jaro-Winkler con keywords (umbral 0,92).</w:t>
      </w:r>
    </w:p>
    <w:p>
      <w:pPr>
        <w:spacing w:after="0" w:before="80"/>
      </w:pPr>
      <w:r>
        <w:rPr>
          <w:rFonts w:ascii="Consolas" w:cs="Consolas" w:eastAsia="Consolas" w:hAnsi="Consolas"/>
          <w:b/>
          <w:bCs/>
          <w:color w:val="1F7A8C"/>
          <w:sz w:val="16"/>
          <w:szCs w:val="16"/>
        </w:rPr>
        <w:t xml:space="preserve">[ yaml ]</w:t>
      </w:r>
    </w:p>
    <w:p>
      <w:pPr>
        <w:pBdr>
          <w:left w:val="single" w:color="1F7A8C" w:sz="18" w:space="8"/>
        </w:pBdr>
        <w:shd w:fill="F7FAFC" w:color="auto" w:val="clear"/>
        <w:spacing w:after="0" w:before="60" w:line="240"/>
      </w:pPr>
      <w:r>
        <w:rPr>
          <w:rFonts w:ascii="Consolas" w:cs="Consolas" w:eastAsia="Consolas" w:hAnsi="Consolas"/>
          <w:color w:val="0B5C72"/>
          <w:sz w:val="18"/>
          <w:szCs w:val="18"/>
        </w:rPr>
        <w:t xml:space="preserve">conceptos: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sanidad:        { nombre: "Sanidad",      procedencia: funcion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educacion:      { nombre: "Educación",    procedencia: funcion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dependencia:    { nombre: "Dependencia",  procedencia: seccion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salud_mental:   { nombre: "Salud mental", procedencia: programa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igualdad:       { nombre: "Igualdad",     procedencia: ente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patrones: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sanidad:      { codigos: ["31","311","312","411","412","510"],</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keywords: ["sanidad","salud","sanitaria","osasun"]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salud_mental: { codigos: ["313","414","514","312"],</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keywords: ["salud mental","salut mental","buru osasun"]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diversidad:   { codigos: ["232","234","313","266"],</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keywords: ["lgtbi","lgbti","migracion","interculturalidad","gitano"]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igualdad:     { codigos: ["232","323","920","92"],</w:t>
      </w:r>
    </w:p>
    <w:p>
      <w:pPr>
        <w:pBdr>
          <w:left w:val="single" w:color="1F7A8C" w:sz="18" w:space="8"/>
        </w:pBdr>
        <w:shd w:fill="F7FAFC" w:color="auto" w:val="clear"/>
        <w:spacing w:after="80" w:before="0" w:line="240"/>
      </w:pPr>
      <w:r>
        <w:rPr>
          <w:rFonts w:ascii="Consolas" w:cs="Consolas" w:eastAsia="Consolas" w:hAnsi="Consolas"/>
          <w:color w:val="0B5C72"/>
          <w:sz w:val="18"/>
          <w:szCs w:val="18"/>
        </w:rPr>
        <w:t xml:space="preserve">                  keywords: ["igualdad","mujer","violencia de genero","berdintasun"] }</w:t>
      </w:r>
    </w:p>
    <w:p>
      <w:pPr>
        <w:pStyle w:val="Heading1"/>
        <w:pageBreakBefore/>
        <w:spacing w:after="200" w:before="0"/>
      </w:pPr>
      <w:bookmarkStart w:name="bm_anexo_d" w:id="109"/>
      <w:r>
        <w:rPr>
          <w:rFonts w:ascii="Calibri" w:cs="Calibri" w:eastAsia="Calibri" w:hAnsi="Calibri"/>
          <w:b/>
          <w:bCs/>
          <w:color w:val="0E3A53"/>
          <w:sz w:val="40"/>
          <w:szCs w:val="40"/>
        </w:rPr>
        <w:t xml:space="preserve">Anexo D · db/schema.sql (PostgreSQL DDL)</w:t>
      </w:r>
      <w:bookmarkEnd w:id="109"/>
    </w:p>
    <w:p>
      <w:pPr>
        <w:spacing w:after="80" w:before="80" w:line="300"/>
        <w:jc w:val="both"/>
      </w:pPr>
      <w:r>
        <w:rPr>
          <w:rFonts w:ascii="Calibri" w:cs="Calibri" w:eastAsia="Calibri" w:hAnsi="Calibri"/>
          <w:color w:val="1B1F23"/>
          <w:sz w:val="22"/>
          <w:szCs w:val="22"/>
        </w:rPr>
        <w:t xml:space="preserve">Esquema relacional con tres dimensiones, un hecho, un manifiesto y dos vistas materializadas. Idempotente: se puede aplicar en CI antes de cada deploy.</w:t>
      </w:r>
    </w:p>
    <w:p>
      <w:pPr>
        <w:spacing w:after="0" w:before="80"/>
      </w:pPr>
      <w:r>
        <w:rPr>
          <w:rFonts w:ascii="Consolas" w:cs="Consolas" w:eastAsia="Consolas" w:hAnsi="Consolas"/>
          <w:b/>
          <w:bCs/>
          <w:color w:val="1F7A8C"/>
          <w:sz w:val="16"/>
          <w:szCs w:val="16"/>
        </w:rPr>
        <w:t xml:space="preserve">[ sql ]</w:t>
      </w:r>
    </w:p>
    <w:p>
      <w:pPr>
        <w:pBdr>
          <w:left w:val="single" w:color="1F7A8C" w:sz="18" w:space="8"/>
        </w:pBdr>
        <w:shd w:fill="F7FAFC" w:color="auto" w:val="clear"/>
        <w:spacing w:after="0" w:before="60" w:line="240"/>
      </w:pPr>
      <w:r>
        <w:rPr>
          <w:rFonts w:ascii="Consolas" w:cs="Consolas" w:eastAsia="Consolas" w:hAnsi="Consolas"/>
          <w:color w:val="0B5C72"/>
          <w:sz w:val="18"/>
          <w:szCs w:val="18"/>
        </w:rPr>
        <w:t xml:space="preserve">CREATE SCHEMA IF NOT EXISTS presupuestos;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CREATE TABLE IF NOT EXISTS presupuestos.dim_ccaa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id_ccaa CHAR(3) PRIMARY KEY,</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nombre  TEXT NOT NULL,</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regimen TEXT CHECK (regimen IN ('comun','foral')) DEFAULT 'comun'</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CREATE TABLE IF NOT EXISTS presupuestos.dim_concepto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id_concepto SERIAL PRIMARY KEY,</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clave       TEXT UNIQUE NOT NULL,</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nombre      TEXT NOT NULL,</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procedencia TEXT NOT NULL CHECK (procedencia IN ('funcion','seccion','programa','ente'))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CREATE TABLE IF NOT EXISTS presupuestos.fact_gasto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id            BIGSERIAL PRIMARY KEY,</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id_ccaa       CHAR(3) REFERENCES presupuestos.dim_ccaa(id_ccaa),</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id_concepto   INTEGER REFERENCES presupuestos.dim_concepto(id_concepto),</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ejercicio     INTEGER NOT NULL,</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importe_eur   NUMERIC(18,2) NOT NULL,</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fase          TEXT CHECK (fase IN ('aprobado','prorrogado','proyecto','liquidacion','ejecucion'))</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DEFAULT 'aprobado',</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es_prorroga   BOOLEAN DEFAULT FALSE,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origen        TEXT CHECK (origen IN ('real','imputado','proyeccion')) DEFAULT 'real',</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fuente_id     BIGINT,</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fecha_carga   TIMESTAMP DEFAULT NOW(),</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UNIQUE (id_ccaa, id_concepto, ejercicio, fase)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CREATE MATERIALIZED VIEW presupuestos.mv_indicadores AS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SELECT c.id_ccaa, e.ejercicio, k.clave AS concepto, k.procedencia,</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SUM(g.importe_eur) AS importe_eur</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FROM presupuestos.fact_gasto  g</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JOIN presupuestos.dim_ccaa     c USING (id_ccaa)</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JOIN presupuestos.dim_concepto k USING (id_concepto)</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JOIN presupuestos.dim_ejercicio e USING (ejercicio)</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WHERE g.fase = 'aprobado'</w:t>
      </w:r>
    </w:p>
    <w:p>
      <w:pPr>
        <w:pBdr>
          <w:left w:val="single" w:color="1F7A8C" w:sz="18" w:space="8"/>
        </w:pBdr>
        <w:shd w:fill="F7FAFC" w:color="auto" w:val="clear"/>
        <w:spacing w:after="80" w:before="0" w:line="240"/>
      </w:pPr>
      <w:r>
        <w:rPr>
          <w:rFonts w:ascii="Consolas" w:cs="Consolas" w:eastAsia="Consolas" w:hAnsi="Consolas"/>
          <w:color w:val="0B5C72"/>
          <w:sz w:val="18"/>
          <w:szCs w:val="18"/>
        </w:rPr>
        <w:t xml:space="preserve">GROUP BY c.id_ccaa, e.ejercicio, k.clave, k.procedencia;</w:t>
      </w:r>
    </w:p>
    <w:p>
      <w:pPr>
        <w:pStyle w:val="Heading1"/>
        <w:pageBreakBefore/>
        <w:spacing w:after="200" w:before="0"/>
      </w:pPr>
      <w:bookmarkStart w:name="bm_anexo_e" w:id="110"/>
      <w:r>
        <w:rPr>
          <w:rFonts w:ascii="Calibri" w:cs="Calibri" w:eastAsia="Calibri" w:hAnsi="Calibri"/>
          <w:b/>
          <w:bCs/>
          <w:color w:val="0E3A53"/>
          <w:sz w:val="40"/>
          <w:szCs w:val="40"/>
        </w:rPr>
        <w:t xml:space="preserve">Anexo E · 00_maestro.R (orquestador CLI)</w:t>
      </w:r>
      <w:bookmarkEnd w:id="110"/>
    </w:p>
    <w:p>
      <w:pPr>
        <w:spacing w:after="80" w:before="80" w:line="300"/>
        <w:jc w:val="both"/>
      </w:pPr>
      <w:r>
        <w:rPr>
          <w:rFonts w:ascii="Calibri" w:cs="Calibri" w:eastAsia="Calibri" w:hAnsi="Calibri"/>
          <w:color w:val="1B1F23"/>
          <w:sz w:val="22"/>
          <w:szCs w:val="22"/>
        </w:rPr>
        <w:t xml:space="preserve">Punto de entrada del pipeline. Carga utilidades, parsea argumentos --steps/--ccaa/--year/--with-db/--run-scraping y dispara los módulos correspondientes.</w:t>
      </w:r>
    </w:p>
    <w:p>
      <w:pPr>
        <w:spacing w:after="0" w:before="80"/>
      </w:pPr>
      <w:r>
        <w:rPr>
          <w:rFonts w:ascii="Consolas" w:cs="Consolas" w:eastAsia="Consolas" w:hAnsi="Consolas"/>
          <w:b/>
          <w:bCs/>
          <w:color w:val="1F7A8C"/>
          <w:sz w:val="16"/>
          <w:szCs w:val="16"/>
        </w:rPr>
        <w:t xml:space="preserve">[ R ]</w:t>
      </w:r>
    </w:p>
    <w:p>
      <w:pPr>
        <w:pBdr>
          <w:left w:val="single" w:color="1F7A8C" w:sz="18" w:space="8"/>
        </w:pBdr>
        <w:shd w:fill="F7FAFC" w:color="auto" w:val="clear"/>
        <w:spacing w:after="0" w:before="60" w:line="240"/>
      </w:pPr>
      <w:r>
        <w:rPr>
          <w:rFonts w:ascii="Consolas" w:cs="Consolas" w:eastAsia="Consolas" w:hAnsi="Consolas"/>
          <w:color w:val="0B5C72"/>
          <w:sz w:val="18"/>
          <w:szCs w:val="18"/>
        </w:rPr>
        <w:t xml:space="preserve">suppressPackageStartupMessages({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library(optparse); library(here); library(yaml); library(glue); library(logger)</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opt &lt;- parse_args(OptionParser(option_list = list(</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make_option("--steps",        type="character", default="all"),</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make_option("--ccaa",         type="character", default=NULL),</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make_option("--year",         type="integer",   default=NULL),</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make_option("--with-db",      type="logical",   default=TRUE),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make_option("--run-scraping", type="logical",   default=FALSE)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log_appender(appender_tee(here("logs","maestro.log"))); log_layout(layout_json())</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source(here("R","ccaa_dictionary.R"))</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source(here("R","correspondencias.R"))</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source(here("R","pipeline_utils.R"))</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steps &lt;- if (opt$steps == "all") c("extract","transform","model","load")</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else strsplit(opt$steps, ",", fixed = TRUE)[[1]]</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if ("extract"   %in% steps) source(here("1_extraccion",    "extraccion.R"))</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if ("transform" %in% steps) source(here("2_transformacion","transformacion.R"))</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if ("model"     %in% steps) source(here("3_modelado",     "modelado.R"))</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if ("load"      %in% steps &amp;&amp; isTRUE(opt$`with-db`))</w:t>
      </w:r>
    </w:p>
    <w:p>
      <w:pPr>
        <w:pBdr>
          <w:left w:val="single" w:color="1F7A8C" w:sz="18" w:space="8"/>
        </w:pBdr>
        <w:shd w:fill="F7FAFC" w:color="auto" w:val="clear"/>
        <w:spacing w:after="80" w:before="0" w:line="240"/>
      </w:pPr>
      <w:r>
        <w:rPr>
          <w:rFonts w:ascii="Consolas" w:cs="Consolas" w:eastAsia="Consolas" w:hAnsi="Consolas"/>
          <w:color w:val="0B5C72"/>
          <w:sz w:val="18"/>
          <w:szCs w:val="18"/>
        </w:rPr>
        <w:t xml:space="preserve">  source(here("4_carga",      "carga.R"))</w:t>
      </w:r>
    </w:p>
    <w:p>
      <w:pPr>
        <w:pStyle w:val="Heading1"/>
        <w:pageBreakBefore/>
        <w:spacing w:after="200" w:before="0"/>
      </w:pPr>
      <w:bookmarkStart w:name="bm_anexo_f" w:id="111"/>
      <w:r>
        <w:rPr>
          <w:rFonts w:ascii="Calibri" w:cs="Calibri" w:eastAsia="Calibri" w:hAnsi="Calibri"/>
          <w:b/>
          <w:bCs/>
          <w:color w:val="0E3A53"/>
          <w:sz w:val="40"/>
          <w:szCs w:val="40"/>
        </w:rPr>
        <w:t xml:space="preserve">Anexo F · R/correspondencias.R (asignación de concepto)</w:t>
      </w:r>
      <w:bookmarkEnd w:id="111"/>
    </w:p>
    <w:p>
      <w:pPr>
        <w:spacing w:after="80" w:before="80" w:line="300"/>
        <w:jc w:val="both"/>
      </w:pPr>
      <w:r>
        <w:rPr>
          <w:rFonts w:ascii="Calibri" w:cs="Calibri" w:eastAsia="Calibri" w:hAnsi="Calibri"/>
          <w:color w:val="1B1F23"/>
          <w:sz w:val="22"/>
          <w:szCs w:val="22"/>
        </w:rPr>
        <w:t xml:space="preserve">Lee correspondencias.yml y aplica la asignación de concepto en dos pasadas (código exacto → fuzzy keyword con Jaro-Winkler).</w:t>
      </w:r>
    </w:p>
    <w:p>
      <w:pPr>
        <w:spacing w:after="0" w:before="80"/>
      </w:pPr>
      <w:r>
        <w:rPr>
          <w:rFonts w:ascii="Consolas" w:cs="Consolas" w:eastAsia="Consolas" w:hAnsi="Consolas"/>
          <w:b/>
          <w:bCs/>
          <w:color w:val="1F7A8C"/>
          <w:sz w:val="16"/>
          <w:szCs w:val="16"/>
        </w:rPr>
        <w:t xml:space="preserve">[ R ]</w:t>
      </w:r>
    </w:p>
    <w:p>
      <w:pPr>
        <w:pBdr>
          <w:left w:val="single" w:color="1F7A8C" w:sz="18" w:space="8"/>
        </w:pBdr>
        <w:shd w:fill="F7FAFC" w:color="auto" w:val="clear"/>
        <w:spacing w:after="0" w:before="60" w:line="240"/>
      </w:pPr>
      <w:r>
        <w:rPr>
          <w:rFonts w:ascii="Consolas" w:cs="Consolas" w:eastAsia="Consolas" w:hAnsi="Consolas"/>
          <w:color w:val="0B5C72"/>
          <w:sz w:val="18"/>
          <w:szCs w:val="18"/>
        </w:rPr>
        <w:t xml:space="preserve">cargar_correspondencias &lt;- function(path = here::here("correspondencias.yml"))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yaml::read_yaml(path)</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asignar_concepto &lt;- function(codigo, denominacion, corr)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patrones &lt;- corr$patrones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n        &lt;- length(codigo)</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concepto &lt;- rep(NA_character_, n); score &lt;- rep(0, n)</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cod_norm &lt;- toupper(codigo)</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den_norm &lt;- tolower(stringi::stri_trans_general(denominacion, "Latin-ASCII"))</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for (id in names(patrones))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hits &lt;- vapply(cod_norm, function(c) any(startsWith(c, toupper(patrones[[id]]$codigos))), logical(1))</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concepto[hits &amp; is.na(concepto)] &lt;- id</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score[hits &amp; score == 0]         &lt;- 1</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pendientes &lt;- which(is.na(concepto))</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for (i in pendientes)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mejor &lt;- list(concepto = NA, score = 0)</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for (id in names(patrones)) for (kw in patrones[[id]]$keywords)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s &lt;- 1 - stringdist::stringdist(kw, den_norm[i], method = "jw")</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if (s &gt; mejor$score) mejor &lt;- list(concepto = id, score = 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if (mejor$score &gt;= 0.92) { concepto[i] &lt;- mejor$concepto; score[i] &lt;- mejor$score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tibble::tibble(concepto = concepto, score = score)</w:t>
      </w:r>
    </w:p>
    <w:p>
      <w:pPr>
        <w:pBdr>
          <w:left w:val="single" w:color="1F7A8C" w:sz="18" w:space="8"/>
        </w:pBdr>
        <w:shd w:fill="F7FAFC" w:color="auto" w:val="clear"/>
        <w:spacing w:after="80" w:before="0" w:line="240"/>
      </w:pPr>
      <w:r>
        <w:rPr>
          <w:rFonts w:ascii="Consolas" w:cs="Consolas" w:eastAsia="Consolas" w:hAnsi="Consolas"/>
          <w:color w:val="0B5C72"/>
          <w:sz w:val="18"/>
          <w:szCs w:val="18"/>
        </w:rPr>
        <w:t xml:space="preserve">}</w:t>
      </w:r>
    </w:p>
    <w:p>
      <w:pPr>
        <w:pStyle w:val="Heading1"/>
        <w:pageBreakBefore/>
        <w:spacing w:after="200" w:before="0"/>
      </w:pPr>
      <w:bookmarkStart w:name="bm_anexo_g" w:id="112"/>
      <w:r>
        <w:rPr>
          <w:rFonts w:ascii="Calibri" w:cs="Calibri" w:eastAsia="Calibri" w:hAnsi="Calibri"/>
          <w:b/>
          <w:bCs/>
          <w:color w:val="0E3A53"/>
          <w:sz w:val="40"/>
          <w:szCs w:val="40"/>
        </w:rPr>
        <w:t xml:space="preserve">Anexo G · 1_extraccion/extraccion.R (descarga y delegación PDF)</w:t>
      </w:r>
      <w:bookmarkEnd w:id="112"/>
    </w:p>
    <w:p>
      <w:pPr>
        <w:spacing w:after="80" w:before="80" w:line="300"/>
        <w:jc w:val="both"/>
      </w:pPr>
      <w:r>
        <w:rPr>
          <w:rFonts w:ascii="Calibri" w:cs="Calibri" w:eastAsia="Calibri" w:hAnsi="Calibri"/>
          <w:color w:val="1B1F23"/>
          <w:sz w:val="22"/>
          <w:szCs w:val="22"/>
        </w:rPr>
        <w:t xml:space="preserve">Recorre fuentes.yml, descarga, calcula SHA-256, registra en manifest.jsonl y delega el parseo de PDFs en extract_pdf.py (Python). Los CSV/XLSX se procesan directamente en R.</w:t>
      </w:r>
    </w:p>
    <w:p>
      <w:pPr>
        <w:spacing w:after="0" w:before="80"/>
      </w:pPr>
      <w:r>
        <w:rPr>
          <w:rFonts w:ascii="Consolas" w:cs="Consolas" w:eastAsia="Consolas" w:hAnsi="Consolas"/>
          <w:b/>
          <w:bCs/>
          <w:color w:val="1F7A8C"/>
          <w:sz w:val="16"/>
          <w:szCs w:val="16"/>
        </w:rPr>
        <w:t xml:space="preserve">[ R ]</w:t>
      </w:r>
    </w:p>
    <w:p>
      <w:pPr>
        <w:pBdr>
          <w:left w:val="single" w:color="1F7A8C" w:sz="18" w:space="8"/>
        </w:pBdr>
        <w:shd w:fill="F7FAFC" w:color="auto" w:val="clear"/>
        <w:spacing w:after="0" w:before="60" w:line="240"/>
      </w:pPr>
      <w:r>
        <w:rPr>
          <w:rFonts w:ascii="Consolas" w:cs="Consolas" w:eastAsia="Consolas" w:hAnsi="Consolas"/>
          <w:color w:val="0B5C72"/>
          <w:sz w:val="18"/>
          <w:szCs w:val="18"/>
        </w:rPr>
        <w:t xml:space="preserve">for (cca in names(fuentes))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bloque &lt;- fuentes[[cca]]</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for (ej in names(bloque$ejercicios))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for (alias in names(bloque$ejercicios[[ej]]))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meta &lt;- bloque$ejercicios[[ej]][[alias]]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ext  &lt;- switch(meta$tipo, pdf=".pdf", csv=".csv", xlsx=".xlsx", html=".html", zip=".zip")</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dest &lt;- file.path(dir_raw, cca, ej, paste0(alias, ext))</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dir_create(path_dir(dest))</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descargar(meta$url, dest)</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append_manifest(list(</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ccaa = cca, ejercicio = ej, alias = alias, tipo = meta$tipo,</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capa = meta$capa, url = meta$url,</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path_local = path_rel(dest, here()),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sha256 = digest::digest(dest, algo="sha256", file=TRUE),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size_bytes = file.info(dest)$size,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fecha_captura_utc = format(Sys.time(), "%Y-%m-%dT%H:%M:%SZ", tz="UTC")</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Parseo: delega PDFs a Python; CSV/XLSX directos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parsear_uno &lt;- function(row)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if (row$tipo == "pdf")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system2("python3", c(here("1_extraccion","extract_pdf.py"),</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"--input", shQuote(here(row$path_local)),</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"--output", shQuote(out),</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"--ccaa", row$ccaa, "--anio", row$ejercicio))</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 else if (row$tipo == "csv")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df &lt;- readr::read_delim(here(row$path_local), show_col_types = FALSE)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arrow::write_parquet(df, out)</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80" w:before="0" w:line="240"/>
      </w:pPr>
      <w:r>
        <w:rPr>
          <w:rFonts w:ascii="Consolas" w:cs="Consolas" w:eastAsia="Consolas" w:hAnsi="Consolas"/>
          <w:color w:val="0B5C72"/>
          <w:sz w:val="18"/>
          <w:szCs w:val="18"/>
        </w:rPr>
        <w:t xml:space="preserve">}</w:t>
      </w:r>
    </w:p>
    <w:p>
      <w:pPr>
        <w:pStyle w:val="Heading1"/>
        <w:pageBreakBefore/>
        <w:spacing w:after="200" w:before="0"/>
      </w:pPr>
      <w:bookmarkStart w:name="bm_anexo_h" w:id="113"/>
      <w:r>
        <w:rPr>
          <w:rFonts w:ascii="Calibri" w:cs="Calibri" w:eastAsia="Calibri" w:hAnsi="Calibri"/>
          <w:b/>
          <w:bCs/>
          <w:color w:val="0E3A53"/>
          <w:sz w:val="40"/>
          <w:szCs w:val="40"/>
        </w:rPr>
        <w:t xml:space="preserve">Anexo H · 1_extraccion/extract_pdf.py (helper de PDFs)</w:t>
      </w:r>
      <w:bookmarkEnd w:id="113"/>
    </w:p>
    <w:p>
      <w:pPr>
        <w:spacing w:after="80" w:before="80" w:line="300"/>
        <w:jc w:val="both"/>
      </w:pPr>
      <w:r>
        <w:rPr>
          <w:rFonts w:ascii="Calibri" w:cs="Calibri" w:eastAsia="Calibri" w:hAnsi="Calibri"/>
          <w:color w:val="1B1F23"/>
          <w:sz w:val="22"/>
          <w:szCs w:val="22"/>
        </w:rPr>
        <w:t xml:space="preserve">Helper Python invocado desde R. Usa pdfplumber como motor principal y camelot como fallback. Aplica una regex que reconoce el patrón típico de las memorias de programas: 3 dígitos + letra opcional + denominación + importe.</w:t>
      </w:r>
    </w:p>
    <w:p>
      <w:pPr>
        <w:spacing w:after="0" w:before="80"/>
      </w:pPr>
      <w:r>
        <w:rPr>
          <w:rFonts w:ascii="Consolas" w:cs="Consolas" w:eastAsia="Consolas" w:hAnsi="Consolas"/>
          <w:b/>
          <w:bCs/>
          <w:color w:val="1F7A8C"/>
          <w:sz w:val="16"/>
          <w:szCs w:val="16"/>
        </w:rPr>
        <w:t xml:space="preserve">[ python ]</w:t>
      </w:r>
    </w:p>
    <w:p>
      <w:pPr>
        <w:pBdr>
          <w:left w:val="single" w:color="1F7A8C" w:sz="18" w:space="8"/>
        </w:pBdr>
        <w:shd w:fill="F7FAFC" w:color="auto" w:val="clear"/>
        <w:spacing w:after="0" w:before="60" w:line="240"/>
      </w:pPr>
      <w:r>
        <w:rPr>
          <w:rFonts w:ascii="Consolas" w:cs="Consolas" w:eastAsia="Consolas" w:hAnsi="Consolas"/>
          <w:color w:val="0B5C72"/>
          <w:sz w:val="18"/>
          <w:szCs w:val="18"/>
        </w:rPr>
        <w:t xml:space="preserve">RE_PROGRAMA = re.compile(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r"^(?P&lt;codigo&gt;\d{3}[A-Z]?|\d{2}\.\d{2,3})\s+"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r"(?P&lt;denominacion&gt;.+?)\s+"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r"(?P&lt;importe&gt;[\d\.\,]{4,})$"</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def extraer(path: Path) -&gt; pd.DataFrame: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filas =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with pdfplumber.open(path) as pdf:</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for p_num, page in enumerate(pdf.pages, start=1):</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text = page.extract_text() or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for line in text.splitlines():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m = RE_PROGRAMA.match(line.strip())</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if m:</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filas.append({</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"pagina": p_num,</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"codigo": m.group("codigo"),</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"denominacion": m.group("denominacion").strip(),</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"importe_eur": parse_eur(m.group("importe")),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80" w:before="0" w:line="240"/>
      </w:pPr>
      <w:r>
        <w:rPr>
          <w:rFonts w:ascii="Consolas" w:cs="Consolas" w:eastAsia="Consolas" w:hAnsi="Consolas"/>
          <w:color w:val="0B5C72"/>
          <w:sz w:val="18"/>
          <w:szCs w:val="18"/>
        </w:rPr>
        <w:t xml:space="preserve">    return pd.DataFrame(filas)</w:t>
      </w:r>
    </w:p>
    <w:p>
      <w:pPr>
        <w:pStyle w:val="Heading1"/>
        <w:pageBreakBefore/>
        <w:spacing w:after="200" w:before="0"/>
      </w:pPr>
      <w:bookmarkStart w:name="bm_anexo_i" w:id="114"/>
      <w:r>
        <w:rPr>
          <w:rFonts w:ascii="Calibri" w:cs="Calibri" w:eastAsia="Calibri" w:hAnsi="Calibri"/>
          <w:b/>
          <w:bCs/>
          <w:color w:val="0E3A53"/>
          <w:sz w:val="40"/>
          <w:szCs w:val="40"/>
        </w:rPr>
        <w:t xml:space="preserve">Anexo I · .github/workflows/extract.yml</w:t>
      </w:r>
      <w:bookmarkEnd w:id="114"/>
    </w:p>
    <w:p>
      <w:pPr>
        <w:spacing w:after="80" w:before="80" w:line="300"/>
        <w:jc w:val="both"/>
      </w:pPr>
      <w:r>
        <w:rPr>
          <w:rFonts w:ascii="Calibri" w:cs="Calibri" w:eastAsia="Calibri" w:hAnsi="Calibri"/>
          <w:color w:val="1B1F23"/>
          <w:sz w:val="22"/>
          <w:szCs w:val="22"/>
        </w:rPr>
        <w:t xml:space="preserve">Workflow programado (cron mensual) y manual. Descarga, normaliza y abre un Pull Request si el manifest cambia. Útil para revisión humana antes del merge.</w:t>
      </w:r>
    </w:p>
    <w:p>
      <w:pPr>
        <w:spacing w:after="0" w:before="80"/>
      </w:pPr>
      <w:r>
        <w:rPr>
          <w:rFonts w:ascii="Consolas" w:cs="Consolas" w:eastAsia="Consolas" w:hAnsi="Consolas"/>
          <w:b/>
          <w:bCs/>
          <w:color w:val="1F7A8C"/>
          <w:sz w:val="16"/>
          <w:szCs w:val="16"/>
        </w:rPr>
        <w:t xml:space="preserve">[ yaml ]</w:t>
      </w:r>
    </w:p>
    <w:p>
      <w:pPr>
        <w:pBdr>
          <w:left w:val="single" w:color="1F7A8C" w:sz="18" w:space="8"/>
        </w:pBdr>
        <w:shd w:fill="F7FAFC" w:color="auto" w:val="clear"/>
        <w:spacing w:after="0" w:before="60" w:line="240"/>
      </w:pPr>
      <w:r>
        <w:rPr>
          <w:rFonts w:ascii="Consolas" w:cs="Consolas" w:eastAsia="Consolas" w:hAnsi="Consolas"/>
          <w:color w:val="0B5C72"/>
          <w:sz w:val="18"/>
          <w:szCs w:val="18"/>
        </w:rPr>
        <w:t xml:space="preserve">name: presupuestos-extract</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on:</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schedule: [{ cron: "0 4 28 * *"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workflow_dispatch:</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inputs: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ccaa: { description: "CCAA (vacío = todas)", required: false, default: ""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anio: { description: "Ejercicio (vacío = todos)", required: false, default: ""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jobs: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extract:</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runs-on: ubuntu-latest</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steps: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 uses: actions/checkout@v4</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 uses: r-lib/actions/setup-r@v2</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with: { r-version: "4.4"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 uses: r-lib/actions/setup-r-dependencies@v2</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with:</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extra-packages: optparse here yaml glue logger httr fs digest dplyr readr jsonlite stringi stringdist arrow tibble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 uses: actions/setup-python@v5</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with: { python-version: "3.11"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 run: pip install pdfplumber camelot-py[base] pandas pyarrow</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 run: Rscript Presupuestos/00_maestro.R --steps=extract,transform --with-db=false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 uses: peter-evans/create-pull-request@v6</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with:</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commit-message: "data: refresh presupuestos manifest"</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branch: bot/presupuestos-refresh-${{ github.run_id }}</w:t>
      </w:r>
    </w:p>
    <w:p>
      <w:pPr>
        <w:pBdr>
          <w:left w:val="single" w:color="1F7A8C" w:sz="18" w:space="8"/>
        </w:pBdr>
        <w:shd w:fill="F7FAFC" w:color="auto" w:val="clear"/>
        <w:spacing w:after="80" w:before="0" w:line="240"/>
      </w:pPr>
      <w:r>
        <w:rPr>
          <w:rFonts w:ascii="Consolas" w:cs="Consolas" w:eastAsia="Consolas" w:hAnsi="Consolas"/>
          <w:color w:val="0B5C72"/>
          <w:sz w:val="18"/>
          <w:szCs w:val="18"/>
        </w:rPr>
        <w:t xml:space="preserve">          title:  "Presupuestos · refresh manifest"</w:t>
      </w:r>
    </w:p>
    <w:p>
      <w:pPr>
        <w:pStyle w:val="Heading1"/>
        <w:pageBreakBefore/>
        <w:spacing w:after="200" w:before="0"/>
      </w:pPr>
      <w:bookmarkStart w:name="bm_anexo_j" w:id="115"/>
      <w:r>
        <w:rPr>
          <w:rFonts w:ascii="Calibri" w:cs="Calibri" w:eastAsia="Calibri" w:hAnsi="Calibri"/>
          <w:b/>
          <w:bCs/>
          <w:color w:val="0E3A53"/>
          <w:sz w:val="40"/>
          <w:szCs w:val="40"/>
        </w:rPr>
        <w:t xml:space="preserve">Anexo J · .github/workflows/validate.yml</w:t>
      </w:r>
      <w:bookmarkEnd w:id="115"/>
    </w:p>
    <w:p>
      <w:pPr>
        <w:spacing w:after="80" w:before="80" w:line="300"/>
        <w:jc w:val="both"/>
      </w:pPr>
      <w:r>
        <w:rPr>
          <w:rFonts w:ascii="Calibri" w:cs="Calibri" w:eastAsia="Calibri" w:hAnsi="Calibri"/>
          <w:color w:val="1B1F23"/>
          <w:sz w:val="22"/>
          <w:szCs w:val="22"/>
        </w:rPr>
        <w:t xml:space="preserve">Workflow de validación en PRs y push. Levanta PostgreSQL efímero, aplica el DDL y corre el pipeline completo con las pruebas de cobertura, conciliación, outliers y Benford.</w:t>
      </w:r>
    </w:p>
    <w:p>
      <w:pPr>
        <w:spacing w:after="0" w:before="80"/>
      </w:pPr>
      <w:r>
        <w:rPr>
          <w:rFonts w:ascii="Consolas" w:cs="Consolas" w:eastAsia="Consolas" w:hAnsi="Consolas"/>
          <w:b/>
          <w:bCs/>
          <w:color w:val="1F7A8C"/>
          <w:sz w:val="16"/>
          <w:szCs w:val="16"/>
        </w:rPr>
        <w:t xml:space="preserve">[ yaml ]</w:t>
      </w:r>
    </w:p>
    <w:p>
      <w:pPr>
        <w:pBdr>
          <w:left w:val="single" w:color="1F7A8C" w:sz="18" w:space="8"/>
        </w:pBdr>
        <w:shd w:fill="F7FAFC" w:color="auto" w:val="clear"/>
        <w:spacing w:after="0" w:before="60" w:line="240"/>
      </w:pPr>
      <w:r>
        <w:rPr>
          <w:rFonts w:ascii="Consolas" w:cs="Consolas" w:eastAsia="Consolas" w:hAnsi="Consolas"/>
          <w:color w:val="0B5C72"/>
          <w:sz w:val="18"/>
          <w:szCs w:val="18"/>
        </w:rPr>
        <w:t xml:space="preserve">name: presupuestos-validate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on:</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pull_request: { paths: ["Presupuestos/**"]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push: { branches: [main], paths: ["Presupuestos/**"]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jobs: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validate:</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runs-on: ubuntu-latest</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services: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postgres: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image: postgres:16</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env: { POSTGRES_PASSWORD: pw, POSTGRES_DB: presupuestos_test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ports: ["5432:5432"]</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env:</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POSTGRES_URL: "postgresql://postgres:pw@localhost:5432/presupuestos_test"</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steps: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 uses: actions/checkout@v4</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 uses: r-lib/actions/setup-r@v2</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with: { r-version: "4.4"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 uses: r-lib/actions/setup-r-dependencies@v2</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with: { extra-packages: DBI RPostgres arrow dplyr tidyr here logger testthat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 run: psql "$POSTGRES_URL" -f Presupuestos/db/schema.sql</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 run: Rscript Presupuestos/00_maestro.R --steps=all</w:t>
      </w:r>
    </w:p>
    <w:p>
      <w:pPr>
        <w:pBdr>
          <w:left w:val="single" w:color="1F7A8C" w:sz="18" w:space="8"/>
        </w:pBdr>
        <w:shd w:fill="F7FAFC" w:color="auto" w:val="clear"/>
        <w:spacing w:after="80" w:before="0" w:line="240"/>
      </w:pPr>
      <w:r>
        <w:rPr>
          <w:rFonts w:ascii="Consolas" w:cs="Consolas" w:eastAsia="Consolas" w:hAnsi="Consolas"/>
          <w:color w:val="0B5C72"/>
          <w:sz w:val="18"/>
          <w:szCs w:val="18"/>
        </w:rPr>
        <w:t xml:space="preserve">      - run: Rscript Presupuestos/tests/validate_outputs.R</w:t>
      </w:r>
    </w:p>
    <w:p>
      <w:pPr>
        <w:pStyle w:val="Heading1"/>
        <w:pageBreakBefore/>
        <w:spacing w:after="200" w:before="0"/>
      </w:pPr>
      <w:bookmarkStart w:name="bm_anexo_k" w:id="116"/>
      <w:r>
        <w:rPr>
          <w:rFonts w:ascii="Calibri" w:cs="Calibri" w:eastAsia="Calibri" w:hAnsi="Calibri"/>
          <w:b/>
          <w:bCs/>
          <w:color w:val="0E3A53"/>
          <w:sz w:val="40"/>
          <w:szCs w:val="40"/>
        </w:rPr>
        <w:t xml:space="preserve">Anexo K · .github/workflows/deploy.yml</w:t>
      </w:r>
      <w:bookmarkEnd w:id="116"/>
    </w:p>
    <w:p>
      <w:pPr>
        <w:spacing w:after="80" w:before="80" w:line="300"/>
        <w:jc w:val="both"/>
      </w:pPr>
      <w:r>
        <w:rPr>
          <w:rFonts w:ascii="Calibri" w:cs="Calibri" w:eastAsia="Calibri" w:hAnsi="Calibri"/>
          <w:color w:val="1B1F23"/>
          <w:sz w:val="22"/>
          <w:szCs w:val="22"/>
        </w:rPr>
        <w:t xml:space="preserve">Workflow de publicación. Aplica el DDL en el PostgreSQL de producción, refresca las vistas materializadas y purga la caché del CDN.</w:t>
      </w:r>
    </w:p>
    <w:p>
      <w:pPr>
        <w:spacing w:after="0" w:before="80"/>
      </w:pPr>
      <w:r>
        <w:rPr>
          <w:rFonts w:ascii="Consolas" w:cs="Consolas" w:eastAsia="Consolas" w:hAnsi="Consolas"/>
          <w:b/>
          <w:bCs/>
          <w:color w:val="1F7A8C"/>
          <w:sz w:val="16"/>
          <w:szCs w:val="16"/>
        </w:rPr>
        <w:t xml:space="preserve">[ yaml ]</w:t>
      </w:r>
    </w:p>
    <w:p>
      <w:pPr>
        <w:pBdr>
          <w:left w:val="single" w:color="1F7A8C" w:sz="18" w:space="8"/>
        </w:pBdr>
        <w:shd w:fill="F7FAFC" w:color="auto" w:val="clear"/>
        <w:spacing w:after="0" w:before="60" w:line="240"/>
      </w:pPr>
      <w:r>
        <w:rPr>
          <w:rFonts w:ascii="Consolas" w:cs="Consolas" w:eastAsia="Consolas" w:hAnsi="Consolas"/>
          <w:color w:val="0B5C72"/>
          <w:sz w:val="18"/>
          <w:szCs w:val="18"/>
        </w:rPr>
        <w:t xml:space="preserve">name: presupuestos-deploy</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on:</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push:</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branches: [main]</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paths: ["Presupuestos/2_transformacion/output/**", "Presupuestos/db/**"]</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workflow_dispatch:</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jobs: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deploy:</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runs-on: ubuntu-latest</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environment: production</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env:</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POSTGRES_URL: ${{ secrets.PRODUCTION_POSTGRES_URL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steps:</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 uses: actions/checkout@v4</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 uses: r-lib/actions/setup-r@v2</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with: { r-version: "4.4"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 uses: r-lib/actions/setup-r-dependencies@v2</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with: { extra-packages: DBI RPostgres arrow dplyr here logger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 run: psql "$POSTGRES_URL" -f Presupuestos/db/schema.sql</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 run: Rscript Presupuestos/00_maestro.R --steps=load</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 run: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curl -X POST "https://api.canariasendatos.es/cache/purge" \</w:t>
      </w:r>
    </w:p>
    <w:p>
      <w:pPr>
        <w:pBdr>
          <w:left w:val="single" w:color="1F7A8C" w:sz="18" w:space="8"/>
        </w:pBdr>
        <w:shd w:fill="F7FAFC" w:color="auto" w:val="clear"/>
        <w:spacing w:after="0" w:before="0" w:line="240"/>
      </w:pPr>
      <w:r>
        <w:rPr>
          <w:rFonts w:ascii="Consolas" w:cs="Consolas" w:eastAsia="Consolas" w:hAnsi="Consolas"/>
          <w:color w:val="0B5C72"/>
          <w:sz w:val="18"/>
          <w:szCs w:val="18"/>
        </w:rPr>
        <w:t xml:space="preserve">               -H "Authorization: Bearer ${{ secrets.CDN_TOKEN }}" \</w:t>
      </w:r>
    </w:p>
    <w:p>
      <w:pPr>
        <w:pBdr>
          <w:left w:val="single" w:color="1F7A8C" w:sz="18" w:space="8"/>
        </w:pBdr>
        <w:shd w:fill="F7FAFC" w:color="auto" w:val="clear"/>
        <w:spacing w:after="80" w:before="0" w:line="240"/>
      </w:pPr>
      <w:r>
        <w:rPr>
          <w:rFonts w:ascii="Consolas" w:cs="Consolas" w:eastAsia="Consolas" w:hAnsi="Consolas"/>
          <w:color w:val="0B5C72"/>
          <w:sz w:val="18"/>
          <w:szCs w:val="18"/>
        </w:rPr>
        <w:t xml:space="preserve">               -d '{"paths":["/presupuestos/*"]}'</w:t>
      </w:r>
    </w:p>
    <w:p>
      <w:pPr>
        <w:pStyle w:val="Heading1"/>
        <w:pageBreakBefore/>
        <w:spacing w:after="200" w:before="0"/>
      </w:pPr>
      <w:bookmarkStart w:name="bm_glosario" w:id="117"/>
      <w:r>
        <w:rPr>
          <w:rFonts w:ascii="Calibri" w:cs="Calibri" w:eastAsia="Calibri" w:hAnsi="Calibri"/>
          <w:b/>
          <w:bCs/>
          <w:color w:val="0E3A53"/>
          <w:sz w:val="40"/>
          <w:szCs w:val="40"/>
        </w:rPr>
        <w:t xml:space="preserve">Anexo L · Glosario operativo</w:t>
      </w:r>
      <w:bookmarkEnd w:id="1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Término</w:t>
            </w:r>
          </w:p>
        </w:tc>
        <w:tc>
          <w:tcPr>
            <w:tcW w:type="dxa" w:w="7160"/>
            <w:tcBorders>
              <w:top w:val="single" w:color="0E3A53" w:sz="4"/>
              <w:left w:val="single" w:color="0E3A53" w:sz="4"/>
              <w:bottom w:val="single" w:color="0E3A53" w:sz="4"/>
              <w:right w:val="single" w:color="0E3A53" w:sz="4"/>
            </w:tcBorders>
            <w:shd w:fill="0E3A53" w:color="auto" w:val="clear"/>
            <w:tcMar>
              <w:top w:type="dxa" w:w="100"/>
              <w:left w:type="dxa" w:w="140"/>
              <w:bottom w:type="dxa" w:w="100"/>
              <w:right w:type="dxa" w:w="140"/>
            </w:tcMar>
          </w:tcPr>
          <w:p>
            <w:r>
              <w:rPr>
                <w:rFonts w:ascii="Calibri" w:cs="Calibri" w:eastAsia="Calibri" w:hAnsi="Calibri"/>
                <w:b/>
                <w:bCs/>
                <w:color w:val="FFFFFF"/>
                <w:sz w:val="20"/>
                <w:szCs w:val="20"/>
              </w:rPr>
              <w:t xml:space="preserve">Definición</w:t>
            </w:r>
          </w:p>
        </w:tc>
      </w:tr>
      <w:tr>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Capa Hacienda</w:t>
            </w:r>
          </w:p>
        </w:tc>
        <w:tc>
          <w:tcPr>
            <w:tcW w:type="dxa" w:w="71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Datos homogeneizados por el Ministerio de Hacienda (Orden HAP/419/2014). Usar para comparar entre CCAA.</w:t>
            </w:r>
          </w:p>
        </w:tc>
      </w:tr>
      <w:tr>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Capa autonómica</w:t>
            </w:r>
          </w:p>
        </w:tc>
        <w:tc>
          <w:tcPr>
            <w:tcW w:type="dxa" w:w="71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Datos originales de cada CCAA con su codificación interna. Usar para navegar el detalle.</w:t>
            </w:r>
          </w:p>
        </w:tc>
      </w:tr>
      <w:tr>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Localizador</w:t>
            </w:r>
          </w:p>
        </w:tc>
        <w:tc>
          <w:tcPr>
            <w:tcW w:type="dxa" w:w="71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Código + denominación de la partida presupuestaria tal y como aparece en la memoria.</w:t>
            </w:r>
          </w:p>
        </w:tc>
      </w:tr>
      <w:tr>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Procedencia</w:t>
            </w:r>
          </w:p>
        </w:tc>
        <w:tc>
          <w:tcPr>
            <w:tcW w:type="dxa" w:w="71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Naturaleza del localizador: función, sección/DG, programa o ente.</w:t>
            </w:r>
          </w:p>
        </w:tc>
      </w:tr>
      <w:tr>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Prórroga</w:t>
            </w:r>
          </w:p>
        </w:tc>
        <w:tc>
          <w:tcPr>
            <w:tcW w:type="dxa" w:w="71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Estado del presupuesto cuando no se aprueba ley anual y se mantienen créditos del ejercicio anterior.</w:t>
            </w:r>
          </w:p>
        </w:tc>
      </w:tr>
      <w:tr>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Consolidado</w:t>
            </w:r>
          </w:p>
        </w:tc>
        <w:tc>
          <w:tcPr>
            <w:tcW w:type="dxa" w:w="71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Agregación eliminando transferencias internas dentro del perímetro institucional.</w:t>
            </w:r>
          </w:p>
        </w:tc>
      </w:tr>
      <w:tr>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SEFLogiC</w:t>
            </w:r>
          </w:p>
        </w:tc>
        <w:tc>
          <w:tcPr>
            <w:tcW w:type="dxa" w:w="71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Sistema de información económico-financiera del Gobierno de Canarias; fuente preferente para Canarias.</w:t>
            </w:r>
          </w:p>
        </w:tc>
      </w:tr>
      <w:tr>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Manifest</w:t>
            </w:r>
          </w:p>
        </w:tc>
        <w:tc>
          <w:tcPr>
            <w:tcW w:type="dxa" w:w="71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Registro JSONL de cada descarga con SHA-256 y metadatos para idempotencia.</w:t>
            </w:r>
          </w:p>
        </w:tc>
      </w:tr>
      <w:tr>
        <w:tc>
          <w:tcPr>
            <w:tcW w:type="dxa" w:w="220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Ley de Benford</w:t>
            </w:r>
          </w:p>
        </w:tc>
        <w:tc>
          <w:tcPr>
            <w:tcW w:type="dxa" w:w="7160"/>
            <w:tcBorders>
              <w:top w:val="single" w:color="B7C2C9" w:sz="4"/>
              <w:left w:val="single" w:color="B7C2C9" w:sz="4"/>
              <w:bottom w:val="single" w:color="B7C2C9" w:sz="4"/>
              <w:right w:val="single" w:color="B7C2C9" w:sz="4"/>
            </w:tcBorders>
            <w:tcMar>
              <w:top w:type="dxa" w:w="100"/>
              <w:left w:type="dxa" w:w="140"/>
              <w:bottom w:type="dxa" w:w="100"/>
              <w:right w:type="dxa" w:w="140"/>
            </w:tcMar>
          </w:tcPr>
          <w:p>
            <w:r>
              <w:rPr>
                <w:rFonts w:ascii="Calibri" w:cs="Calibri" w:eastAsia="Calibri" w:hAnsi="Calibri"/>
                <w:sz w:val="18"/>
                <w:szCs w:val="18"/>
              </w:rPr>
              <w:t xml:space="preserve">Distribución estadística de la primera cifra significativa, usada para detectar manipulación de datos.</w:t>
            </w:r>
          </w:p>
        </w:tc>
      </w:tr>
      <w:tr>
        <w:tc>
          <w:tcPr>
            <w:tcW w:type="dxa" w:w="22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Conciliación</w:t>
            </w:r>
          </w:p>
        </w:tc>
        <w:tc>
          <w:tcPr>
            <w:tcW w:type="dxa" w:w="716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tcPr>
          <w:p>
            <w:r>
              <w:rPr>
                <w:rFonts w:ascii="Calibri" w:cs="Calibri" w:eastAsia="Calibri" w:hAnsi="Calibri"/>
                <w:sz w:val="18"/>
                <w:szCs w:val="18"/>
              </w:rPr>
              <w:t xml:space="preserve">Verificación de que la suma de fact_gasto coincide con los totales públicos de Hacienda.</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0"/>
      </w:tabs>
    </w:pPr>
    <w:r>
      <w:rPr>
        <w:rFonts w:ascii="Calibri" w:cs="Calibri" w:eastAsia="Calibri" w:hAnsi="Calibri"/>
        <w:color w:val="5C6770"/>
        <w:sz w:val="16"/>
        <w:szCs w:val="16"/>
      </w:rPr>
      <w:t xml:space="preserve">v2026-05-11</w:t>
    </w:r>
    <w:r>
      <w:t xml:space="preserve">	</w:t>
    </w:r>
    <w:r>
      <w:rPr>
        <w:rFonts w:ascii="Calibri" w:cs="Calibri" w:eastAsia="Calibri" w:hAnsi="Calibri"/>
        <w:color w:val="5C6770"/>
        <w:sz w:val="16"/>
        <w:szCs w:val="16"/>
      </w:rPr>
      <w:t xml:space="preserve">Página </w:t>
    </w:r>
    <w:r>
      <w:rPr>
        <w:rFonts w:ascii="Calibri" w:cs="Calibri" w:eastAsia="Calibri" w:hAnsi="Calibri"/>
        <w:color w:val="5C6770"/>
        <w:sz w:val="16"/>
        <w:szCs w:val="16"/>
      </w:rPr>
      <w:fldChar w:fldCharType="begin"/>
      <w:instrText xml:space="preserve">PAGE</w:instrText>
      <w:fldChar w:fldCharType="separate"/>
      <w:fldChar w:fldCharType="end"/>
    </w:r>
    <w:r>
      <w:rPr>
        <w:rFonts w:ascii="Calibri" w:cs="Calibri" w:eastAsia="Calibri" w:hAnsi="Calibri"/>
        <w:color w:val="5C6770"/>
        <w:sz w:val="16"/>
        <w:szCs w:val="16"/>
      </w:rPr>
      <w:t xml:space="preserve"> · </w:t>
    </w:r>
    <w:r>
      <w:rPr>
        <w:rFonts w:ascii="Calibri" w:cs="Calibri" w:eastAsia="Calibri" w:hAnsi="Calibri"/>
        <w:color w:val="5C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C6770"/>
        <w:sz w:val="16"/>
        <w:szCs w:val="16"/>
      </w:rPr>
      <w:t xml:space="preserve">ODESOCAN · Canarias en Datos · Cuaderno metodológico Presupuestos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E3A53"/>
      <w:sz w:val="40"/>
      <w:szCs w:val="40"/>
    </w:rPr>
  </w:style>
  <w:style w:type="paragraph" w:styleId="Heading2">
    <w:name w:val="Heading 2"/>
    <w:basedOn w:val="Normal"/>
    <w:next w:val="Normal"/>
    <w:qFormat/>
    <w:pPr>
      <w:spacing w:after="120" w:before="280"/>
      <w:outlineLvl w:val="1"/>
    </w:pPr>
    <w:rPr>
      <w:rFonts w:ascii="Calibri" w:cs="Calibri" w:eastAsia="Calibri" w:hAnsi="Calibri"/>
      <w:b/>
      <w:bCs/>
      <w:color w:val="1F7A8C"/>
      <w:sz w:val="30"/>
      <w:szCs w:val="30"/>
    </w:rPr>
  </w:style>
  <w:style w:type="paragraph" w:styleId="Heading3">
    <w:name w:val="Heading 3"/>
    <w:basedOn w:val="Normal"/>
    <w:next w:val="Normal"/>
    <w:qFormat/>
    <w:pPr>
      <w:spacing w:after="80" w:before="200"/>
      <w:outlineLvl w:val="2"/>
    </w:pPr>
    <w:rPr>
      <w:rFonts w:ascii="Calibri" w:cs="Calibri" w:eastAsia="Calibri" w:hAnsi="Calibri"/>
      <w:b/>
      <w:bCs/>
      <w:color w:val="0E3A5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Cuaderno metodológico Presupuestos v2026-05-11</dc:title>
  <dc:creator>ODESOCAN — Canarias en Datos</dc:creator>
  <dc:description>Marco metodológico, arquitectura del pipeline, modelo de datos, automatización y anexos de código.</dc:description>
  <cp:lastModifiedBy>Un-named</cp:lastModifiedBy>
  <cp:revision>1</cp:revision>
  <dcterms:created xsi:type="dcterms:W3CDTF">2026-05-11T13:00:49.697Z</dcterms:created>
  <dcterms:modified xsi:type="dcterms:W3CDTF">2026-05-11T13:00:49.697Z</dcterms:modified>
</cp:coreProperties>
</file>

<file path=docProps/custom.xml><?xml version="1.0" encoding="utf-8"?>
<Properties xmlns="http://schemas.openxmlformats.org/officeDocument/2006/custom-properties" xmlns:vt="http://schemas.openxmlformats.org/officeDocument/2006/docPropsVTypes"/>
</file>