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4e597" w:sz="18" w:space="6"/>
        </w:pBdr>
        <w:spacing w:after="160" w:before="200"/>
        <w:jc w:val="left"/>
      </w:pPr>
      <w:r>
        <w:rPr>
          <w:rFonts w:ascii="Calibri" w:cs="Calibri" w:eastAsia="Calibri" w:hAnsi="Calibri"/>
          <w:b/>
          <w:bCs/>
          <w:color w:val="1a2b3c"/>
          <w:sz w:val="52"/>
          <w:szCs w:val="52"/>
        </w:rPr>
        <w:t xml:space="preserve">Cuaderno metodológico</w:t>
      </w:r>
    </w:p>
    <w:p>
      <w:pPr>
        <w:spacing w:after="280"/>
        <w:jc w:val="left"/>
      </w:pPr>
      <w:r>
        <w:rPr>
          <w:rFonts w:ascii="Calibri" w:cs="Calibri" w:eastAsia="Calibri" w:hAnsi="Calibri"/>
          <w:b w:val="false"/>
          <w:bCs w:val="false"/>
          <w:color w:val="1db96a"/>
          <w:sz w:val="40"/>
          <w:szCs w:val="40"/>
        </w:rPr>
        <w:t xml:space="preserve">Pipeline Salud Mental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2b3c"/>
          <w:sz w:val="22"/>
          <w:szCs w:val="22"/>
        </w:rPr>
        <w:t xml:space="preserve">Canarias en Datos</w:t>
      </w:r>
    </w:p>
    <w:p>
      <w:pPr>
        <w:spacing w:after="280"/>
      </w:pPr>
      <w:r>
        <w:rPr>
          <w:rFonts w:ascii="Calibri" w:cs="Calibri" w:eastAsia="Calibri" w:hAnsi="Calibri"/>
          <w:color w:val="5a6472"/>
          <w:sz w:val="22"/>
          <w:szCs w:val="22"/>
        </w:rPr>
        <w:t xml:space="preserve">Versión del documento: 28/04/2026</w:t>
      </w:r>
    </w:p>
    <w:p>
      <w:pPr>
        <w:shd w:fill="d4f7e8" w:val="clear"/>
        <w:spacing w:after="160" w:before="160"/>
        <w:ind w:left="200" w:right="2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Objeto del documento: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documentar la estructura modular del pipeline de Salud Mental, las variables tratadas, su origen, el proceso de depuración e imputación, la selección de algoritmo de proyección, las zonas sensibles de actualización y los puntos de mejora para su automatización y mantenimiento.</w:t>
      </w:r>
    </w:p>
    <w:p>
      <w:pPr>
        <w:spacing w:after="400"/>
      </w:pPr>
      <w:r>
        <w:t xml:space="preserve"/>
      </w:r>
    </w:p>
    <w:p>
      <w:pPr>
        <w:pStyle w:val="Heading1"/>
      </w:pPr>
      <w:r>
        <w:t xml:space="preserve">1. Organización modular del pipeline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00"/>
        <w:gridCol w:w="2338"/>
      </w:tblGrid>
      <w:tr>
        <w:trPr>
          <w:tblHeader/>
        </w:trPr>
        <w:tc>
          <w:tcPr>
            <w:tcW w:type="dxa" w:w="2200"/>
            <w:tcBorders>
              <w:top w:val="single" w:color="44e597" w:sz="8"/>
              <w:left w:val="single" w:color="44e597" w:sz="8"/>
              <w:bottom w:val="single" w:color="44e597" w:sz="8"/>
              <w:right w:val="single" w:color="44e597" w:sz="8"/>
            </w:tcBorders>
            <w:shd w:fill="44e59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44e597" w:sz="8"/>
              <w:left w:val="single" w:color="44e597" w:sz="8"/>
              <w:bottom w:val="single" w:color="44e597" w:sz="8"/>
              <w:right w:val="single" w:color="44e597" w:sz="8"/>
            </w:tcBorders>
            <w:shd w:fill="44e59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Función principal</w:t>
            </w:r>
          </w:p>
        </w:tc>
        <w:tc>
          <w:tcPr>
            <w:tcW w:type="dxa" w:w="2100"/>
            <w:tcBorders>
              <w:top w:val="single" w:color="44e597" w:sz="8"/>
              <w:left w:val="single" w:color="44e597" w:sz="8"/>
              <w:bottom w:val="single" w:color="44e597" w:sz="8"/>
              <w:right w:val="single" w:color="44e597" w:sz="8"/>
            </w:tcBorders>
            <w:shd w:fill="44e59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Entradas</w:t>
            </w:r>
          </w:p>
        </w:tc>
        <w:tc>
          <w:tcPr>
            <w:tcW w:type="dxa" w:w="2338"/>
            <w:tcBorders>
              <w:top w:val="single" w:color="44e597" w:sz="8"/>
              <w:left w:val="single" w:color="44e597" w:sz="8"/>
              <w:bottom w:val="single" w:color="44e597" w:sz="8"/>
              <w:right w:val="single" w:color="44e597" w:sz="8"/>
            </w:tcBorders>
            <w:shd w:fill="44e59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Salidas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00_maestro.R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Orquesta extracción, transformación, modelado y carga mediante CLI. Detecta la raíz del proyecto y ejecuta cada etapa según los parámetros recibidos.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Parámetros --steps, --with-db, --horizon-year, --cv-folds</w:t>
            </w:r>
          </w:p>
        </w:tc>
        <w:tc>
          <w:tcPr>
            <w:tcW w:type="dxa" w:w="23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Ejecución secuencial y verificación de artefactos finales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R/ccaa_dictionary.R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Normaliza el catálogo territorial y unifica variantes de nombres de comunidades autónomas procedentes de distintas fuentes.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Nombres de CCAA en múltiples formatos y codificaciones</w:t>
            </w:r>
          </w:p>
        </w:tc>
        <w:tc>
          <w:tcPr>
            <w:tcW w:type="dxa" w:w="23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Diccionario canónico de 18 niveles (17 CCAA + media estatal) y tabla de equivalencias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R/pipeline_utils.R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Aporta validaciones, logging, parseo de argumentos CLI, configuración de rutas e indicadores, y funciones de calidad compartidas por todas las etapas.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Argumentos CLI, variables de entorno y datasets intermedios</w:t>
            </w:r>
          </w:p>
        </w:tc>
        <w:tc>
          <w:tcPr>
            <w:tcW w:type="dxa" w:w="23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Funciones auxiliares reutilizables y configuración centralizada del pipeline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1_extraccion/extraccion.R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Descarga indicadores de salud mental del INCLASNS y tablas del INE. Valida cada raw antes de persistirlo.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API INCLASNS, INE tabla 46688 (suicidios), INE tabla 56940 (censo)</w:t>
            </w:r>
          </w:p>
        </w:tc>
        <w:tc>
          <w:tcPr>
            <w:tcW w:type="dxa" w:w="23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5 datasets RDS en 1_extraccion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2_transformacion/transformacion.R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Limpia y normaliza cada fuente, imputa el género en indicadores farmacológicos, calcula la brecha relativa hombres-mujeres y construye el dataset longitudinal dimensional.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RDS de extracción</w:t>
            </w:r>
          </w:p>
        </w:tc>
        <w:tc>
          <w:tcPr>
            <w:tcW w:type="dxa" w:w="23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ced_saludmental.rds en 2_transformacion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3_modelado/modelado.R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Proyecta series temporales mediante selección automática de algoritmo (ARIMA, Prophet, ETS, RF, XGBoost) y añade la bandera origen a cada fila.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RDS de transformación</w:t>
            </w:r>
          </w:p>
        </w:tc>
        <w:tc>
          <w:tcPr>
            <w:tcW w:type="dxa" w:w="23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ced_saludmental.rds en 3_modelado y CSVs de selección de algoritmo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4_carga/carga.R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Construye la tabla final, exporta CSV y XLSX, y opcionalmente carga en base de datos PostgreSQL vía Supabase.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RDS de modelado</w:t>
            </w:r>
          </w:p>
        </w:tc>
        <w:tc>
          <w:tcPr>
            <w:tcW w:type="dxa" w:w="23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ced_saludmental.csv, ced_saludmental.xlsx y tabla PostgreSQL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Parámetros operativos relevantes: el pipeline admite ejecución parcial por etapas (--steps), activación o no de escritura en base de datos (--with-db), horizonte temporal de proyección (--horizon-year) y número de folds de validación cruzada (--cv-folds). El directorio raíz se detecta automáticamente buscando los marcadores R/ccaa_dictionary.R y 1_extraccion/extraccion.R.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2. Fuentes y variables tratadas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200"/>
        <w:gridCol w:w="2200"/>
        <w:gridCol w:w="2438"/>
      </w:tblGrid>
      <w:tr>
        <w:trPr>
          <w:tblHeader/>
        </w:trPr>
        <w:tc>
          <w:tcPr>
            <w:tcW w:type="dxa" w:w="1700"/>
            <w:tcBorders>
              <w:top w:val="single" w:color="44e597" w:sz="8"/>
              <w:left w:val="single" w:color="44e597" w:sz="8"/>
              <w:bottom w:val="single" w:color="44e597" w:sz="8"/>
              <w:right w:val="single" w:color="44e597" w:sz="8"/>
            </w:tcBorders>
            <w:shd w:fill="44e59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Variable final</w:t>
            </w:r>
          </w:p>
        </w:tc>
        <w:tc>
          <w:tcPr>
            <w:tcW w:type="dxa" w:w="2100"/>
            <w:tcBorders>
              <w:top w:val="single" w:color="44e597" w:sz="8"/>
              <w:left w:val="single" w:color="44e597" w:sz="8"/>
              <w:bottom w:val="single" w:color="44e597" w:sz="8"/>
              <w:right w:val="single" w:color="44e597" w:sz="8"/>
            </w:tcBorders>
            <w:shd w:fill="44e59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Origen primario</w:t>
            </w:r>
          </w:p>
        </w:tc>
        <w:tc>
          <w:tcPr>
            <w:tcW w:type="dxa" w:w="1200"/>
            <w:tcBorders>
              <w:top w:val="single" w:color="44e597" w:sz="8"/>
              <w:left w:val="single" w:color="44e597" w:sz="8"/>
              <w:bottom w:val="single" w:color="44e597" w:sz="8"/>
              <w:right w:val="single" w:color="44e597" w:sz="8"/>
            </w:tcBorders>
            <w:shd w:fill="44e59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Nivel</w:t>
            </w:r>
          </w:p>
        </w:tc>
        <w:tc>
          <w:tcPr>
            <w:tcW w:type="dxa" w:w="2200"/>
            <w:tcBorders>
              <w:top w:val="single" w:color="44e597" w:sz="8"/>
              <w:left w:val="single" w:color="44e597" w:sz="8"/>
              <w:bottom w:val="single" w:color="44e597" w:sz="8"/>
              <w:right w:val="single" w:color="44e597" w:sz="8"/>
            </w:tcBorders>
            <w:shd w:fill="44e59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Tratamiento principal</w:t>
            </w:r>
          </w:p>
        </w:tc>
        <w:tc>
          <w:tcPr>
            <w:tcW w:type="dxa" w:w="2438"/>
            <w:tcBorders>
              <w:top w:val="single" w:color="44e597" w:sz="8"/>
              <w:left w:val="single" w:color="44e597" w:sz="8"/>
              <w:bottom w:val="single" w:color="44e597" w:sz="8"/>
              <w:right w:val="single" w:color="44e597" w:sz="8"/>
            </w:tcBorders>
            <w:shd w:fill="44e59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Notas metodológicas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t_mental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INCLASNS código 1365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CCAA × género (hombre/mujer → Total ponderado)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La API solo expone hombres y mujeres (Total siempre NaN). Se calculan hombres y mujer explícitamente y se agrega un Total mediante media ponderada por el censo trimestral (INE 56940). Se calcula también la brecha relativa mujeres-hombres.</w:t>
            </w:r>
          </w:p>
        </w:tc>
        <w:tc>
          <w:tcPr>
            <w:tcW w:type="dxa" w:w="2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El Total es siempre imputado, no observado directamente. La brecha_rel sirve como referencia para imputar género en fármacos.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antidep_ajustado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INCLASNS (DHD antidepresivos)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CCAA total → género imputado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La API expone solo el Total. Los valores por hombres y mujeres se imputan aplicando la brecha relativa observada en t_mental: hombres = total × (1 – brecha/100), mujeres = total × (1 + brecha/100).</w:t>
            </w:r>
          </w:p>
        </w:tc>
        <w:tc>
          <w:tcPr>
            <w:tcW w:type="dxa" w:w="2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La imputación asume que la estructura de género de los antidepresivos es proporcional a la de los trastornos mentales. Debe revisarse cuando se disponga de datos directos.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hipno_ajustado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INCLASNS (DHD hipnosedantes)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CCAA total → género imputado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Mismo procedimiento que antidep_ajustado.</w:t>
            </w:r>
          </w:p>
        </w:tc>
        <w:tc>
          <w:tcPr>
            <w:tcW w:type="dxa" w:w="2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Mismas cautelas metodológicas que antidep_ajustado.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suicidios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INE tabla 46688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CCAA × género × edad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El campo nombre encapsula CCAA, edad y sexo en texto delimitado. Se parsea mediante parse_suicidios_nombre() y se filtra a 'Todas las edades'. Se normalizan sexos y nombres de CCAA.</w:t>
            </w:r>
          </w:p>
        </w:tc>
        <w:tc>
          <w:tcPr>
            <w:tcW w:type="dxa" w:w="2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Alta tasa de NA (39.2%) por menor cobertura temporal y ausencia de valores en períodos recientes. No es fallo técnico: la estadística INE tiene mayor latencia.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censo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INE tabla 56940 (Cifras de Población Trimestral)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CCAA × género anual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Se descarga el censo trimestral y se agrega a nivel anual mediante media de los cuatro trimestres. Se normaliza sexo y CCAA.</w:t>
            </w:r>
          </w:p>
        </w:tc>
        <w:tc>
          <w:tcPr>
            <w:tcW w:type="dxa" w:w="2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Se usa como covariable para el Total ponderado de t_mental. Cobertura completa (0% NAs).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3. Proceso de depuración y estandarización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Extracción de trastornos mentales.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Descarga diferenciada por género de t_mental: la API INCLASNS expone las tasas de trastornos mentales solo para hombre y mujer por separado (el campo Total devuelve NaN). Cada solicitud lleva el parámetro de sexo explícito.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Extracción farmacológica.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Descarga en modo Total de fármacos: los indicadores de DHD antidepresivos e hipnosedantes se descargan sin parámetro de sexo, ya que la API devuelve un único valor Total. No existen series por género en INCLASNS.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Suicidios.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Descarga de suicidios del INE (tabla 46688) con los parámetros tip='A' y unnest=TRUE. El campo nombre encapsula CCAA, franja de edad y sexo en texto delimitado por comas, que se parsea por posición inversa.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Censo poblacional.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Descarga del censo trimestral del INE (tabla 56940) con agregación anual posterior mediante media de cuatro trimestres. Se usa como denominador para los totales ponderados.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Estandarización territorial.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Normalización territorial con el diccionario canónico de CCAA, que resuelve 80+ variantes ortográficas, mayúsculas y códigos ISO procedentes de las distintas APIs y workbooks del 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Estandarización de género.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Normalización de género: todos los campos de sexo/género de cualquier fuente se mapean a tres valores canónicos (total, hombres, mujeres) antes de cualquier operación de join o agregación.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Imputación del Total.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Cálculo del Total ponderado de t_mental: dado que la API no lo expone, se calcula como media ponderada por censo de los valores masculino y femenino: Σ(valor × censo) / Σcenso por CCAA y período.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Brecha de género.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Cálculo de la brecha relativa: brecha_rel = ((mujeres – hombres) / mujeres) × 100 para cada CCAA y período con datos de t_mental.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Imputación farmacológica.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Imputación de género en fármacos: se aplica la brecha observada en t_mental para reconstituir valores por sexo en antidepresivos e hipnosedantes: hombres = total × (1 – brecha/100), mujeres = total × (1 + brecha/100).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Parseo y filtrado de suicidios.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Parseo de suicidios: se aplica parse_suicidios_nombre() para extraer CCAA, edad y sexo del campo nombre. Se filtra únicamente la categoría 'Todas las edades' para mantener coherencia temporal.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Consolidación.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Merge dimensional: las cinco tablas (t_mental, antidep, hipno, suicidios, censo) se consolidan por (ccaa, periodo, genero) con full join. Filas sin ninguna métrica principal se eliminan del dataset final.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Validación y logging.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Verificación de unicidad de claves (ccaa, periodo, genero) y logging de cobertura temporal y territorial antes de persistir cada artefacto.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4. Modelado y reglas de proyección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Las variables t_mental, antidep_ajustado, hipno_ajustado y suicidios son candidatas a proyección. El censo se usa como covariable, no como serie proyectada.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El sistema evalúa automáticamente hasta cinco algoritmos disponibles (ARIMA, Prophet, ETS, Random Forest, XGBoost) según los paquetes instalados. Se selecciona el de menor error RMSE normalizado por validación cruzada.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Resultado de la selección global sobre el conjunto de datos actual: ARIMA (error=0.0190), Prophet (0.0222), XGBoost (0.0248), ETS (0.0257), RF (0.0295). Algoritmo seleccionado: ARIMA.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El mínimo de observaciones para modelar una serie es 5 puntos distintos por grupo (ccaa × genero). Grupos con menos datos se marcan como proyeccion sin valor.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La bandera origen toma valor real cuando el dato procede directamente de la fuente y proyeccion cuando se ha calculado mediante el modelo. Esto aplica fila a fila en el dataset final.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El horizonte de proyección es configurable mediante --horizon-year (por defecto: año en curso + 1). Los folds de CV se configuran con --cv-folds (por defecto: 5).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Las proyecciones por género (hombres/mujeres) para los fármacos mantienen la coherencia con el Total imputado: si el Total es proyectado, los desgloses derivados también se marcan como proyeccion.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5. Estado actual de los outputs finales</w:t>
      </w:r>
    </w:p>
    <w:p>
      <w:pPr>
        <w:spacing w:after="12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La tabla de salida ced_saludmental combina los tres géneros (total, hombres, mujeres) en un único dataset longitudinal: 755 filas, 17 CCAA oficiales, período 2010-2026, con 602 filas reales y 153 proyectadas.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Resumen de calidad: tabla combinada (total + hombres + mujeres)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44e597" w:sz="8"/>
              <w:left w:val="single" w:color="44e597" w:sz="8"/>
              <w:bottom w:val="single" w:color="44e597" w:sz="8"/>
              <w:right w:val="single" w:color="44e597" w:sz="8"/>
            </w:tcBorders>
            <w:shd w:fill="44e59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Indicador</w:t>
            </w:r>
          </w:p>
        </w:tc>
        <w:tc>
          <w:tcPr>
            <w:tcW w:type="dxa" w:w="4819"/>
            <w:tcBorders>
              <w:top w:val="single" w:color="44e597" w:sz="8"/>
              <w:left w:val="single" w:color="44e597" w:sz="8"/>
              <w:bottom w:val="single" w:color="44e597" w:sz="8"/>
              <w:right w:val="single" w:color="44e597" w:sz="8"/>
            </w:tcBorders>
            <w:shd w:fill="44e59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Cobertura territorial</w:t>
            </w:r>
          </w:p>
        </w:tc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17 CCAA oficiales</w:t>
            </w:r>
          </w:p>
        </w:tc>
      </w:tr>
      <w:tr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Cobertura temporal</w:t>
            </w:r>
          </w:p>
        </w:tc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2010–2026</w:t>
            </w:r>
          </w:p>
        </w:tc>
      </w:tr>
      <w:tr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Filas totales</w:t>
            </w:r>
          </w:p>
        </w:tc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755</w:t>
            </w:r>
          </w:p>
        </w:tc>
      </w:tr>
      <w:tr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Filas reales</w:t>
            </w:r>
          </w:p>
        </w:tc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602 (79,7%)</w:t>
            </w:r>
          </w:p>
        </w:tc>
      </w:tr>
      <w:tr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Filas proyectadas</w:t>
            </w:r>
          </w:p>
        </w:tc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153 (20,3%)</w:t>
            </w:r>
          </w:p>
        </w:tc>
      </w:tr>
      <w:tr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NA% t_mental</w:t>
            </w:r>
          </w:p>
        </w:tc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7,4%</w:t>
            </w:r>
          </w:p>
        </w:tc>
      </w:tr>
      <w:tr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NA% antidep_ajustado</w:t>
            </w:r>
          </w:p>
        </w:tc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0,0%</w:t>
            </w:r>
          </w:p>
        </w:tc>
      </w:tr>
      <w:tr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NA% hipno_ajustado</w:t>
            </w:r>
          </w:p>
        </w:tc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0,0%</w:t>
            </w:r>
          </w:p>
        </w:tc>
      </w:tr>
      <w:tr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NA% suicidios</w:t>
            </w:r>
          </w:p>
        </w:tc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f7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39,2%</w:t>
            </w:r>
          </w:p>
        </w:tc>
      </w:tr>
      <w:tr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b96a"/>
                <w:sz w:val="20"/>
                <w:szCs w:val="20"/>
              </w:rPr>
              <w:t xml:space="preserve">NA% censo</w:t>
            </w:r>
          </w:p>
        </w:tc>
        <w:tc>
          <w:tcPr>
            <w:tcW w:type="dxa" w:w="481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2b3c"/>
                <w:sz w:val="20"/>
                <w:szCs w:val="20"/>
              </w:rPr>
              <w:t xml:space="preserve">0,0%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Interpretación: la tasa de NA en t_mental refleja años sin cobertura en el INCLASNS para ciertas CCAA, no un fallo técnico. La tasa de NA en suicidios es estructural: la estadística INE de defunciones tiene mayor latencia y algunas CCAA presentan valores suprimidos por razones de confidencialidad estadística. antidep_ajustado e hipno_ajustado tienen cobertura completa porque se imputan cuando el total está disponible.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6. Zonas sensibles de actualización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API INCLASNS.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INCLASNS: si el MSSSI cambia los códigos de indicador, la estructura de la respuesta o los literales de género, fetch_sns_indicator() dejará de recuperar datos correctamente. Revisar el catálogo INCLASNS tras cada publicación oficial.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Tablas INE.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Tablas INE: las tablas 46688 (suicidios) y 56940 (censo) se acceden con ineapir. Si el INE reestructura las tablas o cambia el formato del campo nombre en suicidios, el parseo de parse_suicidios_nombre() romperá de forma silenciosa.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Diccionario de CCAA.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El mapeo de variantes de nombre a valores canónicos está en R/ccaa_dictionary.R. Nombres nuevos o variantes no contempladas provocarán que normalize_ccaa_name() devuelva el valor original sin mapear, contaminando los joins.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Supuesto de imputación por género.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La imputación de género en antidepresivos e hipnosedantes depende de que t_mental tenga brecha_rel calculada para el mismo par ccaa+periodo. Si un año tiene datos de fármacos pero no de trastornos mentales, la imputación queda sin ancla y produce NA.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Coherencia temporal de fuentes.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La sustitución del Total de t_mental por media ponderada de censo asume disponibilidad simultánea de datos de hombre, mujer y censo para los mismos pares CCAA-período. Desincronizaciones entre APIs romperán el cálculo del Total.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Programación del workflow.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El workflow de GitHub Actions está programado para ejecutarse cada lunes a las 5:00 UTC. Si las APIs del INE o INCLASNS tienen ventanas de mantenimiento ese día, la ejecución fallará en extracción.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color w:val="1db96a"/>
          <w:sz w:val="22"/>
          <w:szCs w:val="22"/>
        </w:rPr>
        <w:t xml:space="preserve">Credenciales de base de datos. </w:t>
      </w:r>
      <w:r>
        <w:rPr>
          <w:rFonts w:ascii="Calibri" w:cs="Calibri" w:eastAsia="Calibri" w:hAnsi="Calibri"/>
          <w:color w:val="1a2b3c"/>
          <w:sz w:val="22"/>
          <w:szCs w:val="22"/>
        </w:rPr>
        <w:t xml:space="preserve">Supabase: la escritura en base de datos requiere los secretos SUPABASE_HOST, SUPABASE_PORT, SUPABASE_DBNAME, SUPABASE_USER y SUPABASE_PASS definidos en GitHub Secrets. Su ausencia desactiva la carga en BD sin error, pero no actualiza el repositorio de datos.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7. Puntos de mejora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Añadir lockfile de R con renv para fijar versiones de ineapir, forecast, prophet, ranger y xgboost, garantizando reproducibilidad entre entornos locales y CI.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Evaluar si es posible obtener el Total observado de t_mental directamente del INCLASNS cambiando los parámetros de consulta, eliminando así la dependencia de la imputación ponderada.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Añadir una fuente directa de género para DHD antidepresivos e hipnosedantes si el MSSSI publica microdatos con desglose por sexo, eliminando el supuesto de proporcionalidad con t_mental.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Separar explícitamente en el diccionario de datos las columnas observadas de las imputadas (antidep_ajustado, hipno_ajustado) para facilitar la interpretación analítica y la comunicación pública.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Incorporar tests de regresión automatizados: cobertura mínima por CCAA, rango temporal esperado, porcentaje máximo tolerable de NA por indicador y coherencia de origen real/proyeccion.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Añadir un informe de calidad en formato JSON o Markdown generado automáticamente por el pipeline y publicado como artefacto en cada ejecución de GitHub Actions.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Considerar la incorporación de nuevos indicadores del INCLASNS (consumo de ansiolíticos, altas hospitalarias por trastorno mental, listas de espera en salud mental) para ampliar la cobertura temática.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Endurecer la capa de carga a base de datos con patrón staging-swap para evitar escrituras parciales en caso de error durante la actualización.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8. Recomendaciones operativas de actualización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Ejecutar el pipeline completo sin base de datos (--with-db=false) en un entorno local para validar cobertura y calidad antes de publicar.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Revisar los logs de cobertura para los dos años más recientes (actualmente 2025 y 2026), ya que son los años más sensibles a proyecciones y a datos aún no publicados por el INE o el MSSSI.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Comprobar en seleccion_algoritmo_proyeccion_global.csv que el algoritmo ganador es el mismo que en la ejecución anterior. Un cambio de algoritmo indica variación en la estructura de las series y debe documentarse.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Validar manualmente una muestra de registros de Canarias en ced_saludmental.csv tras cada actualización importante, comprobando especialmente que brecha_rel tenga signo coherente (mujeres &gt; hombres en t_mental es lo esperado).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Verificar que los secrets de Supabase están vigentes antes de activar --with-db=true. Una credencial caducada no genera error de pipeline, pero la tabla de producción queda sin actualizar.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Tras cualquier cambio en R/ccaa_dictionary.R, ejecutar solo el paso de transformación (--steps=transformacion) sobre el último RDS de extracción para verificar que ninguna CCAA queda sin mapear.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9. Anexo de artefactos principales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Salud mental/1_extraccion/sns_t_mental.rds: tasas de trastornos mentales por CCAA, período y género (hombre/mujer).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Salud mental/1_extraccion/sns_antidep.rds: DHD antidepresivos ajustados por edad por CCAA y período (Total).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Salud mental/1_extraccion/sns_hipno.rds: DHD hipnosedantes ajustados por edad por CCAA y período (Total).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Salud mental/1_extraccion/suicidios.rds: suicidios por CCAA, período, género y grupo de edad (INE tabla 46688).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Salud mental/1_extraccion/censo.rds: población por CCAA, período y género (INE tabla 56940, agregado anual).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Salud mental/2_transformacion/ced_saludmental.rds: dataset longitudinal consolidado con imputaciones de género y brecha_rel calculada.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Salud mental/3_modelado/ced_saludmental.rds: mismo dataset con proyecciones y bandera origen incorporadas.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Salud mental/3_modelado/seleccion_algoritmo_proyeccion_global.csv: comparativa de error de todos los algoritmos evaluados y selección del candidato global.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Salud mental/3_modelado/seleccion_algoritmo_proyeccion_variables.csv: resultado de selección de algoritmo por variable individual.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Salud mental/4_carga/ced_saludmental.csv y .xlsx: tabla final de distribución pública.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e597" w:sz="4" w:space="4"/>
      </w:pBdr>
      <w:jc w:val="right"/>
    </w:pPr>
    <w:r>
      <w:rPr>
        <w:rFonts w:ascii="Calibri" w:cs="Calibri" w:eastAsia="Calibri" w:hAnsi="Calibri"/>
        <w:color w:val="5a6472"/>
        <w:sz w:val="18"/>
        <w:szCs w:val="18"/>
      </w:rPr>
      <w:t xml:space="preserve">Página </w:t>
    </w:r>
    <w:r>
      <w:rPr>
        <w:rFonts w:ascii="Calibri" w:cs="Calibri" w:eastAsia="Calibri" w:hAnsi="Calibri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e597" w:sz="6" w:space="4"/>
      </w:pBdr>
      <w:spacing w:after="120"/>
      <w:jc w:val="right"/>
    </w:pPr>
    <w:r>
      <w:rPr>
        <w:rFonts w:ascii="Calibri" w:cs="Calibri" w:eastAsia="Calibri" w:hAnsi="Calibri"/>
        <w:color w:val="5a6472"/>
        <w:sz w:val="18"/>
        <w:szCs w:val="18"/>
      </w:rPr>
      <w:t xml:space="preserve">Cuaderno metodológico · Pipeline Salud Mental · </w:t>
    </w:r>
    <w:r>
      <w:rPr>
        <w:rFonts w:ascii="Calibri" w:cs="Calibri" w:eastAsia="Calibri" w:hAnsi="Calibri"/>
        <w:b/>
        <w:bCs/>
        <w:color w:val="1db96a"/>
        <w:sz w:val="18"/>
        <w:szCs w:val="18"/>
      </w:rPr>
      <w:t xml:space="preserve">Canarias en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b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e597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1db9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2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2026-04-28T11:13:38.988Z</dcterms:created>
  <dcterms:modified xsi:type="dcterms:W3CDTF">2026-04-28T11:13:38.988Z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