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rFonts w:ascii="Space Grotesk" w:cs="Space Grotesk" w:eastAsia="Space Grotesk" w:hAnsi="Space Grotesk"/>
          <w:b/>
          <w:bCs/>
          <w:caps/>
          <w:color w:val="009E8E"/>
          <w:sz w:val="18"/>
          <w:szCs w:val="18"/>
        </w:rPr>
        <w:t xml:space="preserve">CANARIAS EN DATOS · CED-04 (provisional)</w:t>
      </w:r>
    </w:p>
    <w:p>
      <w:pPr>
        <w:spacing w:after="30"/>
      </w:pPr>
      <w:r>
        <w:rPr>
          <w:rFonts w:ascii="Space Grotesk" w:cs="Space Grotesk" w:eastAsia="Space Grotesk" w:hAnsi="Space Grotesk"/>
          <w:b/>
          <w:bCs/>
          <w:color w:val="1A2F45"/>
          <w:sz w:val="56"/>
          <w:szCs w:val="56"/>
        </w:rPr>
        <w:t xml:space="preserve">Cuaderno Metodológico</w:t>
      </w:r>
    </w:p>
    <w:p>
      <w:pPr>
        <w:spacing w:after="180"/>
      </w:pPr>
      <w:r>
        <w:rPr>
          <w:rFonts w:ascii="Space Grotesk" w:cs="Space Grotesk" w:eastAsia="Space Grotesk" w:hAnsi="Space Grotesk"/>
          <w:b/>
          <w:bCs/>
          <w:color w:val="009E8E"/>
          <w:sz w:val="40"/>
          <w:szCs w:val="40"/>
        </w:rPr>
        <w:t xml:space="preserve">Pipeline Educación</w:t>
      </w:r>
    </w:p>
    <w:p>
      <w:pPr>
        <w:spacing w:after="30"/>
      </w:pPr>
      <w:r>
        <w:rPr>
          <w:rFonts w:ascii="Inter" w:cs="Inter" w:eastAsia="Inter" w:hAnsi="Inter"/>
          <w:i/>
          <w:iCs/>
          <w:color w:val="1A2F45"/>
          <w:sz w:val="20"/>
          <w:szCs w:val="20"/>
        </w:rPr>
        <w:t xml:space="preserve">Observatorio de Derechos Sociales de Canarias · ODESOCAN</w:t>
      </w:r>
    </w:p>
    <w:p>
      <w:pPr>
        <w:pBdr>
          <w:bottom w:val="single" w:color="009E8E" w:sz="12" w:space="6"/>
        </w:pBdr>
        <w:spacing w:after="160"/>
      </w:pPr>
    </w:p>
    <w:p>
      <w:pPr>
        <w:spacing w:after="30"/>
      </w:pPr>
      <w:r>
        <w:rPr>
          <w:rFonts w:ascii="Space Grotesk" w:cs="Space Grotesk" w:eastAsia="Space Grotesk" w:hAnsi="Space Grotesk"/>
          <w:b/>
          <w:bCs/>
          <w:caps/>
          <w:color w:val="6B8CA5"/>
          <w:sz w:val="16"/>
          <w:szCs w:val="16"/>
        </w:rPr>
        <w:t xml:space="preserve">INVESTIGACIÓN:  </w:t>
      </w:r>
      <w:r>
        <w:rPr>
          <w:rFonts w:ascii="Inter" w:cs="Inter" w:eastAsia="Inter" w:hAnsi="Inter"/>
          <w:color w:val="1A2F45"/>
          <w:sz w:val="18"/>
          <w:szCs w:val="18"/>
        </w:rPr>
        <w:t xml:space="preserve">Delimitación de variables, fuentes y arquitectura del pipeline de Educación</w:t>
      </w:r>
    </w:p>
    <w:p>
      <w:pPr>
        <w:spacing w:after="30"/>
      </w:pPr>
      <w:r>
        <w:rPr>
          <w:rFonts w:ascii="Space Grotesk" w:cs="Space Grotesk" w:eastAsia="Space Grotesk" w:hAnsi="Space Grotesk"/>
          <w:b/>
          <w:bCs/>
          <w:caps/>
          <w:color w:val="6B8CA5"/>
          <w:sz w:val="16"/>
          <w:szCs w:val="16"/>
        </w:rPr>
        <w:t xml:space="preserve">PERIODO DE REFERENCIA:  </w:t>
      </w:r>
      <w:r>
        <w:rPr>
          <w:rFonts w:ascii="Inter" w:cs="Inter" w:eastAsia="Inter" w:hAnsi="Inter"/>
          <w:color w:val="1A2F45"/>
          <w:sz w:val="18"/>
          <w:szCs w:val="18"/>
        </w:rPr>
        <w:t xml:space="preserve">Serie prevista 2015 → presente (según fuente)</w:t>
      </w:r>
    </w:p>
    <w:p>
      <w:pPr>
        <w:spacing w:after="30"/>
      </w:pPr>
      <w:r>
        <w:rPr>
          <w:rFonts w:ascii="Space Grotesk" w:cs="Space Grotesk" w:eastAsia="Space Grotesk" w:hAnsi="Space Grotesk"/>
          <w:b/>
          <w:bCs/>
          <w:caps/>
          <w:color w:val="6B8CA5"/>
          <w:sz w:val="16"/>
          <w:szCs w:val="16"/>
        </w:rPr>
        <w:t xml:space="preserve">TIPO DE DOCUMENTO:  </w:t>
      </w:r>
      <w:r>
        <w:rPr>
          <w:rFonts w:ascii="Inter" w:cs="Inter" w:eastAsia="Inter" w:hAnsi="Inter"/>
          <w:color w:val="1A2F45"/>
          <w:sz w:val="18"/>
          <w:szCs w:val="18"/>
        </w:rPr>
        <w:t xml:space="preserve">Cuaderno metodológico de diseño (previo a la implementación del ETL)</w:t>
      </w:r>
    </w:p>
    <w:p>
      <w:pPr>
        <w:spacing w:after="160"/>
      </w:pPr>
      <w:r>
        <w:rPr>
          <w:rFonts w:ascii="Space Grotesk" w:cs="Space Grotesk" w:eastAsia="Space Grotesk" w:hAnsi="Space Grotesk"/>
          <w:b/>
          <w:bCs/>
          <w:caps/>
          <w:color w:val="6B8CA5"/>
          <w:sz w:val="16"/>
          <w:szCs w:val="16"/>
        </w:rPr>
        <w:t xml:space="preserve">VERSIÓN:  </w:t>
      </w:r>
      <w:r>
        <w:rPr>
          <w:rFonts w:ascii="Inter" w:cs="Inter" w:eastAsia="Inter" w:hAnsi="Inter"/>
          <w:color w:val="1A2F45"/>
          <w:sz w:val="18"/>
          <w:szCs w:val="18"/>
        </w:rPr>
        <w:t xml:space="preserve">21/07/2026 · v1.0</w:t>
      </w:r>
    </w:p>
    <w:tbl>
      <w:tblPr>
        <w:tblW w:type="dxa" w:w="9026"/>
        <w:tblBorders>
          <w:top w:val="none" w:color="FFFFFF" w:sz="0"/>
          <w:left w:val="single" w:color="009E8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8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aps/>
                <w:color w:val="009E8E"/>
                <w:sz w:val="16"/>
                <w:szCs w:val="16"/>
              </w:rPr>
              <w:t xml:space="preserve">Resumen</w:t>
            </w:r>
          </w:p>
          <w:p>
            <w:pPr>
              <w:spacing w:after="60" w:line="288"/>
              <w:jc w:val="both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Este cuaderno documenta el diseño metodológico del pipeline de Educación de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Canarias en Datos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. Su objetivo central es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delimitar las variables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que compondrán el dashboard público, seleccionando indicadores comparables entre comunidades autónomas y desagregables por sexo. La espina dorsal es la explotación de las variables educativas de la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Encuesta de Población Activa (INE·EPA)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—abandono educativo temprano, nivel de formación alcanzado y participación en formación permanente—, complementada con la estadística administrativa del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MEFP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(idoneidad, graduación, escolarización temprana) y con el área interna de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Presupuestos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para el esfuerzo financiero (gasto en educación sobre el PIB regional). Se propone una matriz de 10 indicadores en 4 bloques y una arquitectura ETL homóloga a la de los pipelines de Vivienda, Salud Mental y Dependencia.</w:t>
            </w:r>
          </w:p>
        </w:tc>
      </w:tr>
    </w:tbl>
    <w:p>
      <w:pPr>
        <w:spacing w:after="60" w:before="26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Índice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200"/>
      </w:pPr>
      <w:r>
        <w:rPr>
          <w:rFonts w:ascii="Space Grotesk" w:cs="Space Grotesk" w:eastAsia="Space Grotesk" w:hAnsi="Space Grotesk"/>
          <w:b/>
          <w:bCs/>
          <w:color w:val="1A2F45"/>
          <w:sz w:val="22"/>
          <w:szCs w:val="22"/>
        </w:rPr>
        <w:t xml:space="preserve">Objeto del documento</w:t>
      </w:r>
    </w:p>
    <w:p>
      <w:pPr>
        <w:spacing w:after="140" w:line="288"/>
        <w:jc w:val="both"/>
      </w:pPr>
      <w:r>
        <w:rPr>
          <w:rFonts w:ascii="Inter" w:cs="Inter" w:eastAsia="Inter" w:hAnsi="Inter"/>
          <w:color w:val="1A2F45"/>
          <w:sz w:val="20"/>
          <w:szCs w:val="20"/>
        </w:rPr>
        <w:t xml:space="preserve">Documentar el enfoque conceptual, la selección de indicadores para el dashboard público (≤10 variables), las fuentes primarias y su nivel de desagregación (comunidad autónoma × sexo), las decisiones metodológicas de armonización, la arquitectura modular del pipeline y la hoja de ruta de implementación del área de Educación. El énfasis principal, por indicación del encargo, es la delimitación de las variables a partir de las estadísticas educativas oficiales españolas y europeas.</w:t>
      </w:r>
    </w:p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1.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Enfoque teórico-conceptual</w:t>
      </w:r>
    </w:p>
    <w:p>
      <w:pPr>
        <w:spacing w:after="140" w:line="288"/>
        <w:jc w:val="both"/>
      </w:pPr>
      <w:r>
        <w:rPr>
          <w:rFonts w:ascii="Inter" w:cs="Inter" w:eastAsia="Inter" w:hAnsi="Inter"/>
          <w:color w:val="1A2F45"/>
          <w:sz w:val="20"/>
          <w:szCs w:val="20"/>
        </w:rPr>
        <w:t xml:space="preserve">El Observatorio de Derechos Sociales de Canarias aborda la educación como un derecho social estructural (art. 27 de la Constitución Española) y como la principal palanca de igualdad de oportunidades y movilidad social. El marco normativo de referencia es la Ley Orgánica 3/2020 (LOMLOE), y el marco de objetivos es doble: el Objetivo de Desarrollo Sostenible 4 (educación inclusiva, equitativa y de calidad) de la Agenda 2030 y el Marco Estratégico Europeo para la Educación y la Formación 2030, que fija metas de referencia cuantitativas —abandono temprano, titulación superior, formación de adultos, atención a la primera infancia y desconexión juvenil— que estructuran la selección de indicadores de este cuaderno.</w:t>
      </w:r>
    </w:p>
    <w:p>
      <w:pPr>
        <w:spacing w:after="140" w:line="288"/>
        <w:jc w:val="both"/>
      </w:pPr>
      <w:r>
        <w:rPr>
          <w:rFonts w:ascii="Inter" w:cs="Inter" w:eastAsia="Inter" w:hAnsi="Inter"/>
          <w:color w:val="1A2F45"/>
          <w:sz w:val="20"/>
          <w:szCs w:val="20"/>
        </w:rPr>
        <w:t xml:space="preserve">Al igual que en el resto de módulos del observatorio, el análisis educativo no puede limitarse a cifras absolutas: las magnitudes solo adquieren significado comparativo cuando se expresan como tasas relativas a la población de referencia. La ventaja del ámbito educativo es que la mayoría de sus indicadores oficiales ya se publican como tasas o porcentajes (abandono, nivel de formación, idoneidad, graduación), lo que elimina la necesidad de un denominador de relativización universal como el que exige el módulo de Dependencia.</w:t>
      </w:r>
    </w:p>
    <w:p>
      <w:pPr>
        <w:spacing w:after="14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Perspectivas transversales activas: </w:t>
      </w:r>
      <w:r>
        <w:rPr>
          <w:rFonts w:ascii="Inter" w:cs="Inter" w:eastAsia="Inter" w:hAnsi="Inter"/>
          <w:b/>
          <w:bCs/>
          <w:i w:val="false"/>
          <w:iCs w:val="false"/>
          <w:color w:val="009E8E"/>
          <w:sz w:val="20"/>
          <w:szCs w:val="20"/>
        </w:rPr>
        <w:t xml:space="preserve">Territorio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(comparativa Canarias vs. resto de CCAA vs. media estatal) · </w:t>
      </w:r>
      <w:r>
        <w:rPr>
          <w:rFonts w:ascii="Inter" w:cs="Inter" w:eastAsia="Inter" w:hAnsi="Inter"/>
          <w:b/>
          <w:bCs/>
          <w:i w:val="false"/>
          <w:iCs w:val="false"/>
          <w:color w:val="009E8E"/>
          <w:sz w:val="20"/>
          <w:szCs w:val="20"/>
        </w:rPr>
        <w:t xml:space="preserve">Género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(brecha —a menudo invertida— en abandono, titulación y formación adulta) · </w:t>
      </w:r>
      <w:r>
        <w:rPr>
          <w:rFonts w:ascii="Inter" w:cs="Inter" w:eastAsia="Inter" w:hAnsi="Inter"/>
          <w:b/>
          <w:bCs/>
          <w:i w:val="false"/>
          <w:iCs w:val="false"/>
          <w:color w:val="009E8E"/>
          <w:sz w:val="20"/>
          <w:szCs w:val="20"/>
        </w:rPr>
        <w:t xml:space="preserve">Ciclo de vida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(de la escolarización 0-2 al aprendizaje a lo largo de la vida) · </w:t>
      </w:r>
      <w:r>
        <w:rPr>
          <w:rFonts w:ascii="Inter" w:cs="Inter" w:eastAsia="Inter" w:hAnsi="Inter"/>
          <w:b/>
          <w:bCs/>
          <w:i w:val="false"/>
          <w:iCs w:val="false"/>
          <w:color w:val="009E8E"/>
          <w:sz w:val="20"/>
          <w:szCs w:val="20"/>
        </w:rPr>
        <w:t xml:space="preserve">Esfuerzo público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(recursos presupuestarios sobre el PIB regional).</w:t>
      </w:r>
    </w:p>
    <w:tbl>
      <w:tblPr>
        <w:tblW w:type="dxa" w:w="9026"/>
        <w:tblBorders>
          <w:top w:val="none" w:color="FFFFFF" w:sz="0"/>
          <w:left w:val="single" w:color="009E8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8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aps/>
                <w:color w:val="009E8E"/>
                <w:sz w:val="16"/>
                <w:szCs w:val="16"/>
              </w:rPr>
              <w:t xml:space="preserve">Metas de referencia UE 2030 (ámbito educativo)</w:t>
            </w:r>
          </w:p>
          <w:p>
            <w:pPr>
              <w:spacing w:after="60" w:line="288"/>
              <w:jc w:val="both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Abandono educativo temprano (18-24):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9E8E"/>
                <w:sz w:val="19"/>
                <w:szCs w:val="19"/>
              </w:rPr>
              <w:t xml:space="preserve">&lt; 9 %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  ·  Titulación superior (25-34):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9E8E"/>
                <w:sz w:val="19"/>
                <w:szCs w:val="19"/>
              </w:rPr>
              <w:t xml:space="preserve">≥ 45 %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  ·  Jóvenes NEET (15-29):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9E8E"/>
                <w:sz w:val="19"/>
                <w:szCs w:val="19"/>
              </w:rPr>
              <w:t xml:space="preserve">&lt; 9 %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  ·  Bajo rendimiento en competencias básicas: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009E8E"/>
                <w:sz w:val="19"/>
                <w:szCs w:val="19"/>
              </w:rPr>
              <w:t xml:space="preserve">&lt; 15 %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.  Estas metas son el criterio ordenador de la matriz de la sección 4.</w:t>
            </w:r>
          </w:p>
        </w:tc>
      </w:tr>
    </w:tbl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2.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Decisión estratégica: sistema de fuentes y ventana temporal</w:t>
      </w:r>
    </w:p>
    <w:p>
      <w:pPr>
        <w:spacing w:after="140" w:line="288"/>
        <w:jc w:val="both"/>
      </w:pPr>
      <w:r>
        <w:rPr>
          <w:rFonts w:ascii="Inter" w:cs="Inter" w:eastAsia="Inter" w:hAnsi="Inter"/>
          <w:color w:val="1A2F45"/>
          <w:sz w:val="20"/>
          <w:szCs w:val="20"/>
        </w:rPr>
        <w:t xml:space="preserve">El sistema estadístico educativo español tiene una naturaleza dual que condiciona el diseño del pipeline: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Estadística de resultados de la población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(INE · Encuesta de Población Activa). Mide el nivel educativo alcanzado por las personas: abandono temprano, nivel de formación (bajo/medio/superior) y participación en formación permanente. Es la única fuente que ofrece serie anual, comparabilidad europea y desagregación simultánea por comunidad autónoma y sexo para estos resultados.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Estadística administrativa del sistema educativo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(MEFP · EDUCAbase y Sistema Estatal de Indicadores de la Educación). Mide el funcionamiento del sistema: escolarización, idoneidad, graduación, alumnado, profesorado y gasto. Aporta el detalle de trayectoria escolar que la EPA no capta.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Estadística presupuestaria interna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(área de Presupuestos de Canarias en Datos). Aporta el esfuerzo financiero relativo (gasto/presupuesto en educación sobre el PIB regional) ya calculado y armonizado para las 17 CCAA.</w:t>
      </w:r>
    </w:p>
    <w:p>
      <w:pPr>
        <w:spacing w:after="14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Decisión de diseño: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priorizar los indicadores desagregables por comunidad autónoma y sexo con serie anual estable. La EPA se adopta como espina dorsal del dashboard; el MEFP cubre la dimensión de trayectoria escolar; Presupuestos aporta el esfuerzo público. Se descartan del núcleo los indicadores sin desagregación territorial-de género anual (p. ej. PISA, trienal y sin sexo a nivel autonómico fino), que quedan como análisis a demanda.</w:t>
      </w:r>
    </w:p>
    <w:tbl>
      <w:tblPr>
        <w:tblW w:type="dxa" w:w="9026"/>
        <w:tblBorders>
          <w:top w:val="none" w:color="FFFFFF" w:sz="0"/>
          <w:left w:val="single" w:color="009E8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8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aps/>
                <w:color w:val="009E8E"/>
                <w:sz w:val="16"/>
                <w:szCs w:val="16"/>
              </w:rPr>
              <w:t xml:space="preserve">Decisión metodológica · ventana temporal</w:t>
            </w:r>
          </w:p>
          <w:p>
            <w:pPr>
              <w:spacing w:after="60" w:line="288"/>
              <w:jc w:val="both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Se fija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2015 como año base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del período activo, por coherencia con la serie del área de Presupuestos (2015-2026) y con la estabilidad de la clasificación CNED-2014 / ISCED-2011 en la EPA. Cuando una fuente ofrezca serie más larga (la EPA se remonta a 1999-2000), los datos anteriores a 2015 se conservan como artefacto de consulta con la bandera </w:t>
            </w:r>
            <w:r>
              <w:rPr>
                <w:rFonts w:ascii="Space Grotesk" w:cs="Space Grotesk" w:eastAsia="Space Grotesk" w:hAnsi="Space Grotesk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anio &lt; 2015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, pero se excluyen del dashboard público. Debe documentarse la ruptura de serie de la EPA de 2021 (rediseño muestral) en las notas del indicador.</w:t>
            </w:r>
          </w:p>
        </w:tc>
      </w:tr>
    </w:tbl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3.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Objetivos analíticos</w:t>
      </w:r>
    </w:p>
    <w:p>
      <w:pPr>
        <w:spacing w:after="140" w:line="288"/>
        <w:jc w:val="both"/>
      </w:pPr>
      <w:r>
        <w:rPr>
          <w:rFonts w:ascii="Inter" w:cs="Inter" w:eastAsia="Inter" w:hAnsi="Inter"/>
          <w:color w:val="1A2F45"/>
          <w:sz w:val="20"/>
          <w:szCs w:val="20"/>
        </w:rPr>
        <w:t xml:space="preserve">El pipeline persigue, ordenados por prioridad para el dashboard público: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Medir el fracaso y la desconexión educativa mediante el abandono educativo temprano y la proporción de jóvenes que ni estudian ni trabajan (NEET), situando a Canarias frente a la media estatal y la meta europea.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Cuantificar el nivel de formación alcanzado por la población adulta, con foco en la titulación superior (universitaria y FP de grado superior) y en el peso de la población con bajo nivel formativo.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Visibilizar el aprendizaje a lo largo de la vida a través de la participación de la población adulta en actividades de formación permanente.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Caracterizar la equidad y la trayectoria escolar temprana mediante la idoneidad, la graduación en ESO y la escolarización en el primer ciclo de Educación Infantil (0-2 años).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Incorporar la perspectiva de género como eje transversal, aprovechando que las fuentes desagregan el sexo en origen (dato observado, no imputado).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Medir el esfuerzo público en educación como porcentaje del PIB regional, en integración con el área de Presupuestos.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Posicionar a Canarias en el contexto estatal y europeo, con comparación frente a la media nacional y las metas de referencia UE 2030.</w:t>
      </w:r>
    </w:p>
    <w:p>
      <w:pPr>
        <w:pStyle w:val="ListParagraph"/>
        <w:numPr>
          <w:ilvl w:val="0"/>
          <w:numId w:val="3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Mantener una proyección de corto plazo de los indicadores clave mediante modelado de series temporales.</w:t>
      </w:r>
    </w:p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4.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Matriz de variables seleccionadas (≤10)</w:t>
      </w:r>
    </w:p>
    <w:p>
      <w:pPr>
        <w:spacing w:after="14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009E8E"/>
          <w:sz w:val="20"/>
          <w:szCs w:val="20"/>
        </w:rPr>
        <w:t xml:space="preserve">Núcleo del cuaderno.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El dashboard público se articula en torno a </w:t>
      </w: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10 indicadores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agrupados en 4 bloques temáticos. La restricción responde al criterio de equilibrio entre riqueza informativa y capacidad de lectura por una audiencia no especializada, ya consolidado en el módulo de Dependencia. Siete de los diez indicadores son desagregables por sexo; los tres de esfuerzo/recursos se leen solo a nivel territorial.</w:t>
      </w:r>
    </w:p>
    <w:p>
      <w:pPr>
        <w:keepNext/>
        <w:spacing w:after="70" w:before="200"/>
      </w:pPr>
      <w:r>
        <w:rPr>
          <w:rFonts w:ascii="Space Grotesk" w:cs="Space Grotesk" w:eastAsia="Space Grotesk" w:hAnsi="Space Grotesk"/>
          <w:b/>
          <w:bCs/>
          <w:caps/>
          <w:color w:val="009E8E"/>
          <w:sz w:val="17"/>
          <w:szCs w:val="17"/>
        </w:rPr>
        <w:t xml:space="preserve">Tabla 1. Matriz de indicadores del dashboard de Educación</w:t>
      </w:r>
    </w:p>
    <w:tbl>
      <w:tblPr>
        <w:tblW w:type="dxa" w:w="9026"/>
        <w:tblBorders>
          <w:top w:val="single" w:color="D8E2EC" w:sz="2"/>
          <w:left w:val="none" w:color="FFFFFF" w:sz="0"/>
          <w:bottom w:val="single" w:color="D8E2EC" w:sz="2"/>
          <w:right w:val="none" w:color="FFFFFF" w:sz="0"/>
          <w:insideH w:val="single" w:color="E4EDF5" w:sz="2"/>
          <w:insideV w:val="single" w:color="E4EDF5" w:sz="2"/>
        </w:tblBorders>
      </w:tblPr>
      <w:tblGrid>
        <w:gridCol w:w="460"/>
        <w:gridCol w:w="1760"/>
        <w:gridCol w:w="3350"/>
        <w:gridCol w:w="1856"/>
        <w:gridCol w:w="1600"/>
      </w:tblGrid>
      <w:tr>
        <w:trPr>
          <w:tblHeader/>
        </w:trPr>
        <w:tc>
          <w:tcPr>
            <w:tcW w:type="dxa" w:w="46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176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335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Definición / Fórmula (y meta UE 2030)</w:t>
            </w:r>
          </w:p>
        </w:tc>
        <w:tc>
          <w:tcPr>
            <w:tcW w:type="dxa" w:w="1856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Fuente primaria</w:t>
            </w:r>
          </w:p>
        </w:tc>
        <w:tc>
          <w:tcPr>
            <w:tcW w:type="dxa" w:w="16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Desagregación</w:t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/>
                <w:bCs/>
                <w:color w:val="009E8E"/>
                <w:sz w:val="17"/>
                <w:szCs w:val="17"/>
              </w:rPr>
              <w:t xml:space="preserve">A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BLOQUE A · NIVEL DE FORMACIÓN Y ABANDONO (población)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  <w:tc>
          <w:tcPr>
            <w:tcW w:type="dxa" w:w="18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1</w:t>
            </w:r>
          </w:p>
        </w:tc>
        <w:tc>
          <w:tcPr>
            <w:tcW w:type="dxa" w:w="17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abandono_temprano</w:t>
            </w:r>
          </w:p>
        </w:tc>
        <w:tc>
          <w:tcPr>
            <w:tcW w:type="dxa" w:w="33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% de población 18-24 con como máximo 1ª etapa de secundaria (CINE 0-2) que no sigue estudios ni formación. Meta UE: &lt; 9 %.</w:t>
            </w:r>
          </w:p>
        </w:tc>
        <w:tc>
          <w:tcPr>
            <w:tcW w:type="dxa" w:w="185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INE · EPA (variables educativas) / Eurostat edat_lfse_16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nivel_superior_25_34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% de población 25-34 que ha alcanzado educación superior: FP de grado superior (CINE 5) + universitaria (CINE 6-8). Meta UE: ≥ 45 %.</w:t>
            </w:r>
          </w:p>
        </w:tc>
        <w:tc>
          <w:tcPr>
            <w:tcW w:type="dxa" w:w="18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INE · EPA / Eurostat edat_lfse_03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  <w:tc>
          <w:tcPr>
            <w:tcW w:type="dxa" w:w="17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nivel_bajo_25_64</w:t>
            </w:r>
          </w:p>
        </w:tc>
        <w:tc>
          <w:tcPr>
            <w:tcW w:type="dxa" w:w="33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% de población 25-64 con como máximo 1ª etapa de secundaria (CINE 0-2). Contexto estructural del capital humano.</w:t>
            </w:r>
          </w:p>
        </w:tc>
        <w:tc>
          <w:tcPr>
            <w:tcW w:type="dxa" w:w="185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INE · EPA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4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formacion_adultos_25_64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% de población 25-64 que participó en educación o formación en las 4 semanas previas (aprendizaje permanente).</w:t>
            </w:r>
          </w:p>
        </w:tc>
        <w:tc>
          <w:tcPr>
            <w:tcW w:type="dxa" w:w="18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INE · EPA / Eurostat trng_lfse_01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/>
                <w:bCs/>
                <w:color w:val="009E8E"/>
                <w:sz w:val="17"/>
                <w:szCs w:val="17"/>
              </w:rPr>
              <w:t xml:space="preserve">B</w:t>
            </w:r>
          </w:p>
        </w:tc>
        <w:tc>
          <w:tcPr>
            <w:tcW w:type="dxa" w:w="17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BLOQUE B · DESCONEXIÓN JUVENIL</w:t>
            </w:r>
          </w:p>
        </w:tc>
        <w:tc>
          <w:tcPr>
            <w:tcW w:type="dxa" w:w="33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  <w:tc>
          <w:tcPr>
            <w:tcW w:type="dxa" w:w="185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5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neet_15_29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% de jóvenes 15-29 que ni estudian ni trabajan (NEET). Meta UE: &lt; 9 %.</w:t>
            </w:r>
          </w:p>
        </w:tc>
        <w:tc>
          <w:tcPr>
            <w:tcW w:type="dxa" w:w="18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INE · EPA / Eurostat edat_lfse_20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/>
                <w:bCs/>
                <w:color w:val="009E8E"/>
                <w:sz w:val="17"/>
                <w:szCs w:val="17"/>
              </w:rPr>
              <w:t xml:space="preserve">C</w:t>
            </w:r>
          </w:p>
        </w:tc>
        <w:tc>
          <w:tcPr>
            <w:tcW w:type="dxa" w:w="17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BLOQUE C · TRAYECTORIA Y EQUIDAD ESCOLAR (sistema)</w:t>
            </w:r>
          </w:p>
        </w:tc>
        <w:tc>
          <w:tcPr>
            <w:tcW w:type="dxa" w:w="33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  <w:tc>
          <w:tcPr>
            <w:tcW w:type="dxa" w:w="185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6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idoneidad_15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Tasa de idoneidad a los 15 años: % de alumnado matriculado en el curso teórico correspondiente a su edad. Proxy de repetición/retraso.</w:t>
            </w:r>
          </w:p>
        </w:tc>
        <w:tc>
          <w:tcPr>
            <w:tcW w:type="dxa" w:w="18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 · EDUCAbase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7</w:t>
            </w:r>
          </w:p>
        </w:tc>
        <w:tc>
          <w:tcPr>
            <w:tcW w:type="dxa" w:w="17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graduacion_eso</w:t>
            </w:r>
          </w:p>
        </w:tc>
        <w:tc>
          <w:tcPr>
            <w:tcW w:type="dxa" w:w="33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Tasa bruta de población que se gradúa en ESO (graduados / población de la edad teórica).</w:t>
            </w:r>
          </w:p>
        </w:tc>
        <w:tc>
          <w:tcPr>
            <w:tcW w:type="dxa" w:w="185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 · EDUCAbase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8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escolarizacion_0_2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Tasa neta de escolarización 0-2 años (primer ciclo de Ed. Infantil). Equidad temprana / conciliación (objetivo Barcelona 45 %).</w:t>
            </w:r>
          </w:p>
        </w:tc>
        <w:tc>
          <w:tcPr>
            <w:tcW w:type="dxa" w:w="18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 · EDUCAbase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/>
                <w:bCs/>
                <w:color w:val="009E8E"/>
                <w:sz w:val="17"/>
                <w:szCs w:val="17"/>
              </w:rPr>
              <w:t xml:space="preserve">D</w:t>
            </w:r>
          </w:p>
        </w:tc>
        <w:tc>
          <w:tcPr>
            <w:tcW w:type="dxa" w:w="17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BLOQUE D · ESFUERZO Y RECURSOS</w:t>
            </w:r>
          </w:p>
        </w:tc>
        <w:tc>
          <w:tcPr>
            <w:tcW w:type="dxa" w:w="33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  <w:tc>
          <w:tcPr>
            <w:tcW w:type="dxa" w:w="185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9</w:t>
            </w:r>
          </w:p>
        </w:tc>
        <w:tc>
          <w:tcPr>
            <w:tcW w:type="dxa" w:w="17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gasto_edu_pib</w:t>
            </w:r>
          </w:p>
        </w:tc>
        <w:tc>
          <w:tcPr>
            <w:tcW w:type="dxa" w:w="335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Gasto/presupuesto público en educación como % del PIB regional de la propia CCAA (mide prioridad política, no volumen).</w:t>
            </w:r>
          </w:p>
        </w:tc>
        <w:tc>
          <w:tcPr>
            <w:tcW w:type="dxa" w:w="185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Presupuestos (concepto = educacion, pct_pib_regional)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10</w:t>
            </w:r>
          </w:p>
        </w:tc>
        <w:tc>
          <w:tcPr>
            <w:tcW w:type="dxa" w:w="17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gasto_por_alumno</w:t>
            </w:r>
          </w:p>
        </w:tc>
        <w:tc>
          <w:tcPr>
            <w:tcW w:type="dxa" w:w="335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Gasto público por alumno en enseñanzas no universitarias (centros públicos).</w:t>
            </w:r>
          </w:p>
        </w:tc>
        <w:tc>
          <w:tcPr>
            <w:tcW w:type="dxa" w:w="185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 · Estadística del Gasto Público en Educación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</w:t>
            </w:r>
          </w:p>
        </w:tc>
      </w:tr>
    </w:tbl>
    <w:p>
      <w:pPr>
        <w:spacing w:after="180" w:before="60"/>
      </w:pPr>
      <w:r>
        <w:rPr>
          <w:rFonts w:ascii="Inter" w:cs="Inter" w:eastAsia="Inter" w:hAnsi="Inter"/>
          <w:i/>
          <w:iCs/>
          <w:color w:val="6B8CA5"/>
          <w:sz w:val="16"/>
          <w:szCs w:val="16"/>
        </w:rPr>
        <w:t xml:space="preserve">Fuente: elaboración propia. CINE = Clasificación Internacional Normalizada de la Educación (ISCED-2011 / CNED-2014). Los códigos de tabla del INE y de Eurostat se indican como referencia de familia; los identificadores numéricos exactos se resolverán contra el catálogo de la API en la fase de extracción.</w:t>
      </w:r>
    </w:p>
    <w:tbl>
      <w:tblPr>
        <w:tblW w:type="dxa" w:w="9026"/>
        <w:tblBorders>
          <w:top w:val="none" w:color="FFFFFF" w:sz="0"/>
          <w:left w:val="single" w:color="009E8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8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aps/>
                <w:color w:val="009E8E"/>
                <w:sz w:val="16"/>
                <w:szCs w:val="16"/>
              </w:rPr>
              <w:t xml:space="preserve">Nota · qué exige cada indicador</w:t>
            </w:r>
          </w:p>
          <w:p>
            <w:pPr>
              <w:spacing w:after="60" w:line="288"/>
              <w:jc w:val="both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Los indicadores 1-7 son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desagregables por sexo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y constituyen la lectura de género del dashboard. Los indicadores 8, 9 y 10 son territoriales (sin sexo en origen). Ninguno requiere un denominador externo de relativización: todos son tasas o porcentajes en origen, salvo </w:t>
            </w:r>
            <w:r>
              <w:rPr>
                <w:rFonts w:ascii="Space Grotesk" w:cs="Space Grotesk" w:eastAsia="Space Grotesk" w:hAnsi="Space Grotesk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gasto_por_alumno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(ratio ya calculado por el MEFP) y </w:t>
            </w:r>
            <w:r>
              <w:rPr>
                <w:rFonts w:ascii="Space Grotesk" w:cs="Space Grotesk" w:eastAsia="Space Grotesk" w:hAnsi="Space Grotesk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gasto_edu_pib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(ya relativizado por el área de Presupuestos).</w:t>
            </w:r>
          </w:p>
        </w:tc>
      </w:tr>
    </w:tbl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5.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Comparabilidad territorial y armonización de clasificaciones</w:t>
      </w: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5.1 Media estatal ponderada</w:t>
      </w:r>
    </w:p>
    <w:p>
      <w:pPr>
        <w:spacing w:after="14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La media estatal no se calcula como media aritmética de las tasas autonómicas, sino como agregado ponderado por la población de referencia de cada indicador (p. ej. población 18-24 para el abandono), para evitar el sesgo por tamaño poblacional. Esta es la misma convención adoptada en los módulos de Vivienda, Salud Mental y Dependencia.</w:t>
      </w: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5.2 Clasificación de niveles educativos (CINE / CNED-2014)</w:t>
      </w:r>
    </w:p>
    <w:p>
      <w:pPr>
        <w:spacing w:after="14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La agregación de niveles sigue la CNED-2014, equivalente a ISCED-2011. Se definen operacionalmente: </w:t>
      </w: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«educación superior»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= CINE 5-8 (FP de grado superior + grados, másteres y doctorados universitarios); </w:t>
      </w: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«bajo nivel»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= CINE 0-2 (hasta primera etapa de ESO). La inclusión de la FP de grado superior en el nivel superior es una decisión metodológica explícita, alineada con la definición europea de titulación terciaria y coherente con el interés del encargo por agrupar «universitarios o FP superior».</w:t>
      </w: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5.3 Curso académico frente a año natural</w:t>
      </w:r>
    </w:p>
    <w:p>
      <w:pPr>
        <w:spacing w:after="14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Las estadísticas del MEFP se refieren al curso académico (p. ej. 2023-24), mientras que la EPA y Presupuestos usan año natural. Se adopta la convención de asignar cada curso al año natural de su inicio (2023-24 → 2023) y se documenta en el diccionario de datos, para permitir el </w:t>
      </w:r>
      <w:r>
        <w:rPr>
          <w:rFonts w:ascii="Inter" w:cs="Inter" w:eastAsia="Inter" w:hAnsi="Inter"/>
          <w:b w:val="false"/>
          <w:bCs w:val="false"/>
          <w:i/>
          <w:iCs/>
          <w:color w:val="1A2F45"/>
          <w:sz w:val="20"/>
          <w:szCs w:val="20"/>
        </w:rPr>
        <w:t xml:space="preserve">join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temporal con las series de la EPA y de Presupuestos.</w:t>
      </w:r>
    </w:p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6.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Perspectiva de género</w:t>
      </w:r>
    </w:p>
    <w:p>
      <w:pPr>
        <w:spacing w:after="14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A diferencia de los módulos de Vivienda, Salud Mental y Dependencia —donde el género debe imputarse a partir de brechas observadas—, en Educación el </w:t>
      </w:r>
      <w:r>
        <w:rPr>
          <w:rFonts w:ascii="Inter" w:cs="Inter" w:eastAsia="Inter" w:hAnsi="Inter"/>
          <w:b/>
          <w:bCs/>
          <w:i w:val="false"/>
          <w:iCs w:val="false"/>
          <w:color w:val="009E8E"/>
          <w:sz w:val="20"/>
          <w:szCs w:val="20"/>
        </w:rPr>
        <w:t xml:space="preserve">sexo es una variable observada en origen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: tanto la EPA como la mayoría de tablas del MEFP publican el desglose hombre/mujer directamente. Esto constituye una fortaleza metodológica: la tabla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ced_educacion_gen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contiene el género como dato real, no reconstruido.</w:t>
      </w:r>
    </w:p>
    <w:p>
      <w:pPr>
        <w:spacing w:after="14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Patrón esperado (a validar en cada actualización):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brecha invertida en los resultados. En España, los hombres presentan sistemáticamente mayor abandono educativo temprano y mayor proporción de NEET, mientras que las mujeres alcanzan mayor titulación superior y mejores tasas de graduación e idoneidad. Persiste, sin embargo, la </w:t>
      </w: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segregación horizontal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por ramas de conocimiento (infrarrepresentación femenina en STEM), que se propone como indicador de análisis a demanda (sección 7).</w:t>
      </w:r>
    </w:p>
    <w:p>
      <w:pPr>
        <w:spacing w:after="14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Los tres indicadores de esfuerzo/recursos (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escolarizacion_0_2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,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gasto_edu_pib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,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gasto_por_alumno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) no admiten desagregación por sexo; en la tabla de género se registran únicamente con la etiqueta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total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.</w:t>
      </w:r>
    </w:p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7.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Matriz de variables extendida (análisis a demanda)</w:t>
      </w:r>
    </w:p>
    <w:p>
      <w:pPr>
        <w:spacing w:after="140" w:line="288"/>
        <w:jc w:val="both"/>
      </w:pPr>
      <w:r>
        <w:rPr>
          <w:rFonts w:ascii="Inter" w:cs="Inter" w:eastAsia="Inter" w:hAnsi="Inter"/>
          <w:color w:val="1A2F45"/>
          <w:sz w:val="20"/>
          <w:szCs w:val="20"/>
        </w:rPr>
        <w:t xml:space="preserve">Además de los 10 indicadores del dashboard, el pipeline mantiene tablas de detalle que habilitan análisis más profundos sin sobrecargar la interfaz pública:</w:t>
      </w:r>
    </w:p>
    <w:p>
      <w:pPr>
        <w:keepNext/>
        <w:spacing w:after="70" w:before="200"/>
      </w:pPr>
      <w:r>
        <w:rPr>
          <w:rFonts w:ascii="Space Grotesk" w:cs="Space Grotesk" w:eastAsia="Space Grotesk" w:hAnsi="Space Grotesk"/>
          <w:b/>
          <w:bCs/>
          <w:caps/>
          <w:color w:val="009E8E"/>
          <w:sz w:val="17"/>
          <w:szCs w:val="17"/>
        </w:rPr>
        <w:t xml:space="preserve">Tabla 2. Indicadores extendidos</w:t>
      </w:r>
    </w:p>
    <w:tbl>
      <w:tblPr>
        <w:tblW w:type="dxa" w:w="9026"/>
        <w:tblBorders>
          <w:top w:val="single" w:color="D8E2EC" w:sz="2"/>
          <w:left w:val="none" w:color="FFFFFF" w:sz="0"/>
          <w:bottom w:val="single" w:color="D8E2EC" w:sz="2"/>
          <w:right w:val="none" w:color="FFFFFF" w:sz="0"/>
          <w:insideH w:val="single" w:color="E4EDF5" w:sz="2"/>
          <w:insideV w:val="single" w:color="E4EDF5" w:sz="2"/>
        </w:tblBorders>
      </w:tblPr>
      <w:tblGrid>
        <w:gridCol w:w="2100"/>
        <w:gridCol w:w="4326"/>
        <w:gridCol w:w="1500"/>
        <w:gridCol w:w="1100"/>
      </w:tblGrid>
      <w:tr>
        <w:trPr>
          <w:tblHeader/>
        </w:trPr>
        <w:tc>
          <w:tcPr>
            <w:tcW w:type="dxa" w:w="21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Variable</w:t>
            </w:r>
          </w:p>
        </w:tc>
        <w:tc>
          <w:tcPr>
            <w:tcW w:type="dxa" w:w="4326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  <w:tc>
          <w:tcPr>
            <w:tcW w:type="dxa" w:w="15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Fuente</w:t>
            </w:r>
          </w:p>
        </w:tc>
        <w:tc>
          <w:tcPr>
            <w:tcW w:type="dxa" w:w="11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Desagreg.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tasa_repeticion</w:t>
            </w:r>
          </w:p>
        </w:tc>
        <w:tc>
          <w:tcPr>
            <w:tcW w:type="dxa" w:w="4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% de alumnado que repite curso (por etapa: Primaria, ESO).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2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esperanza_vida_escolar</w:t>
            </w:r>
          </w:p>
        </w:tc>
        <w:tc>
          <w:tcPr>
            <w:tcW w:type="dxa" w:w="432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Años esperados de escolarización a los 6 años.</w:t>
            </w:r>
          </w:p>
        </w:tc>
        <w:tc>
          <w:tcPr>
            <w:tcW w:type="dxa" w:w="15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</w:t>
            </w:r>
          </w:p>
        </w:tc>
        <w:tc>
          <w:tcPr>
            <w:tcW w:type="dxa" w:w="1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mujeres_egresadas_stem</w:t>
            </w:r>
          </w:p>
        </w:tc>
        <w:tc>
          <w:tcPr>
            <w:tcW w:type="dxa" w:w="4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% de mujeres entre egresados universitarios de ramas STEM (segregación horizontal).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 · SIIU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2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alumnado_extranjero</w:t>
            </w:r>
          </w:p>
        </w:tc>
        <w:tc>
          <w:tcPr>
            <w:tcW w:type="dxa" w:w="432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% de alumnado extranjero sobre el total (diversidad / equidad).</w:t>
            </w:r>
          </w:p>
        </w:tc>
        <w:tc>
          <w:tcPr>
            <w:tcW w:type="dxa" w:w="15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</w:t>
            </w:r>
          </w:p>
        </w:tc>
        <w:tc>
          <w:tcPr>
            <w:tcW w:type="dxa" w:w="1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abandono_universitario</w:t>
            </w:r>
          </w:p>
        </w:tc>
        <w:tc>
          <w:tcPr>
            <w:tcW w:type="dxa" w:w="43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Tasa de abandono en el primer año de grado universitario.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 · SIIU</w:t>
            </w:r>
          </w:p>
        </w:tc>
        <w:tc>
          <w:tcPr>
            <w:tcW w:type="dxa" w:w="11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 × sexo</w:t>
            </w:r>
          </w:p>
        </w:tc>
      </w:tr>
      <w:tr>
        <w:tc>
          <w:tcPr>
            <w:tcW w:type="dxa" w:w="2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gasto_liquidado_pib</w:t>
            </w:r>
          </w:p>
        </w:tc>
        <w:tc>
          <w:tcPr>
            <w:tcW w:type="dxa" w:w="432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Gasto público liquidado en educación sobre PIB (contraste con el presupuestado).</w:t>
            </w:r>
          </w:p>
        </w:tc>
        <w:tc>
          <w:tcPr>
            <w:tcW w:type="dxa" w:w="15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MEFP · Gasto Público</w:t>
            </w:r>
          </w:p>
        </w:tc>
        <w:tc>
          <w:tcPr>
            <w:tcW w:type="dxa" w:w="11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CCAA</w:t>
            </w:r>
          </w:p>
        </w:tc>
      </w:tr>
    </w:tbl>
    <w:p>
      <w:pPr>
        <w:spacing w:after="180" w:before="60"/>
      </w:pPr>
      <w:r>
        <w:rPr>
          <w:rFonts w:ascii="Inter" w:cs="Inter" w:eastAsia="Inter" w:hAnsi="Inter"/>
          <w:i/>
          <w:iCs/>
          <w:color w:val="6B8CA5"/>
          <w:sz w:val="16"/>
          <w:szCs w:val="16"/>
        </w:rPr>
        <w:t xml:space="preserve">Fuente: elaboración propia. SIIU = Sistema Integrado de Información Universitaria (MEFP).</w:t>
      </w:r>
    </w:p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8.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Decisiones metodológicas</w:t>
      </w: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8.1 Granularidad temporal</w:t>
      </w:r>
    </w:p>
    <w:p>
      <w:pPr>
        <w:spacing w:after="140" w:line="288"/>
        <w:jc w:val="both"/>
      </w:pPr>
      <w:r>
        <w:rPr>
          <w:rFonts w:ascii="Inter" w:cs="Inter" w:eastAsia="Inter" w:hAnsi="Inter"/>
          <w:color w:val="1A2F45"/>
          <w:sz w:val="20"/>
          <w:szCs w:val="20"/>
        </w:rPr>
        <w:t xml:space="preserve">Granularidad anual. Las variables de la EPA se consolidan a nivel anual (media de los cuatro trimestres o, cuando la fuente lo publique así, el dato de referencia anual). Las del MEFP siguen el curso académico normalizado a año natural (§5.3). El pipeline se programa para ejecutarse tras la publicación efectiva de cada fuente, no contra una fecha fija de calendario.</w:t>
      </w: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8.2 Normalización territorial de CCAA</w:t>
      </w:r>
    </w:p>
    <w:p>
      <w:pPr>
        <w:spacing w:after="14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Se reutiliza el patrón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R/ccaa_dictionary.R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, que mapea las variantes ortográficas, códigos ISO y abreviaturas de las distintas fuentes (INE, MEFP, Presupuestos) a 18 niveles canónicos (17 CCAA oficiales + media estatal con código 00), con </w:t>
      </w:r>
      <w:r>
        <w:rPr>
          <w:rFonts w:ascii="Inter" w:cs="Inter" w:eastAsia="Inter" w:hAnsi="Inter"/>
          <w:b w:val="false"/>
          <w:bCs w:val="false"/>
          <w:i/>
          <w:iCs/>
          <w:color w:val="1A2F45"/>
          <w:sz w:val="20"/>
          <w:szCs w:val="20"/>
        </w:rPr>
        <w:t xml:space="preserve">fuzzy matching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por distancia de Levenshtein como red de seguridad. Ceuta y Melilla se tratan según la convención del proyecto.</w:t>
      </w: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8.3 Armonización de la clasificación educativa</w:t>
      </w:r>
    </w:p>
    <w:p>
      <w:pPr>
        <w:spacing w:after="140" w:line="288"/>
        <w:jc w:val="both"/>
      </w:pPr>
      <w:r>
        <w:rPr>
          <w:rFonts w:ascii="Inter" w:cs="Inter" w:eastAsia="Inter" w:hAnsi="Inter"/>
          <w:color w:val="1A2F45"/>
          <w:sz w:val="20"/>
          <w:szCs w:val="20"/>
        </w:rPr>
        <w:t xml:space="preserve">El mapeo de niveles CNED-2014/ISCED-2011 (§5.2) se centraliza en el diccionario de datos para garantizar que «educación superior» y «bajo nivel» se calculen de forma idéntica en todas las series y actualizaciones.</w:t>
      </w: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8.4 Parsing numérico en locale español</w:t>
      </w:r>
    </w:p>
    <w:p>
      <w:pPr>
        <w:spacing w:after="14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Se reutiliza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parse_number_es()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de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R/pipeline_utils.R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, que trata la coma como separador decimal y el punto como separador de miles, evitando los errores típicos de lectura de ficheros publicados en castellano.</w:t>
      </w: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8.5 Integración con el área de Presupuestos</w:t>
      </w:r>
    </w:p>
    <w:tbl>
      <w:tblPr>
        <w:tblW w:type="dxa" w:w="9026"/>
        <w:tblBorders>
          <w:top w:val="none" w:color="FFFFFF" w:sz="0"/>
          <w:left w:val="single" w:color="009E8E" w:sz="24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shd w:fill="F5F8FA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after="60"/>
            </w:pPr>
            <w:r>
              <w:rPr>
                <w:rFonts w:ascii="Space Grotesk" w:cs="Space Grotesk" w:eastAsia="Space Grotesk" w:hAnsi="Space Grotesk"/>
                <w:b/>
                <w:bCs/>
                <w:caps/>
                <w:color w:val="009E8E"/>
                <w:sz w:val="16"/>
                <w:szCs w:val="16"/>
              </w:rPr>
              <w:t xml:space="preserve">Decisión metodológica · gasto sobre PIB</w:t>
            </w:r>
          </w:p>
          <w:p>
            <w:pPr>
              <w:spacing w:after="60" w:line="288"/>
              <w:jc w:val="both"/>
            </w:pP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El indicador </w:t>
            </w:r>
            <w:r>
              <w:rPr>
                <w:rFonts w:ascii="Space Grotesk" w:cs="Space Grotesk" w:eastAsia="Space Grotesk" w:hAnsi="Space Grotesk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gasto_edu_pib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no se recalcula: se toma directamente del artefacto del área de Presupuestos </w:t>
            </w:r>
            <w:r>
              <w:rPr>
                <w:rFonts w:ascii="Space Grotesk" w:cs="Space Grotesk" w:eastAsia="Space Grotesk" w:hAnsi="Space Grotesk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presupuestos_pib_integrado_*_long.csv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, filtrando </w:t>
            </w:r>
            <w:r>
              <w:rPr>
                <w:rFonts w:ascii="Space Grotesk" w:cs="Space Grotesk" w:eastAsia="Space Grotesk" w:hAnsi="Space Grotesk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concepto = 'educacion'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 y tomando </w:t>
            </w:r>
            <w:r>
              <w:rPr>
                <w:rFonts w:ascii="Space Grotesk" w:cs="Space Grotesk" w:eastAsia="Space Grotesk" w:hAnsi="Space Grotesk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pct_pib_regional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. Educación es uno de los 13 conceptos de política social de ese pipeline; su serie cubre las 17 CCAA para 2015-2026 (2025-2026 con </w:t>
            </w:r>
            <w:r>
              <w:rPr>
                <w:rFonts w:ascii="Space Grotesk" w:cs="Space Grotesk" w:eastAsia="Space Grotesk" w:hAnsi="Space Grotesk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origen_pib = 'proyeccion'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).</w:t>
            </w:r>
          </w:p>
          <w:p>
            <w:pPr>
              <w:spacing w:after="60" w:line="288"/>
              <w:jc w:val="both"/>
            </w:pP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Cautela: 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el dato de Presupuestos es </w:t>
            </w:r>
            <w:r>
              <w:rPr>
                <w:rFonts w:ascii="Inter" w:cs="Inter" w:eastAsia="Inter" w:hAnsi="Inter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crédito presupuestado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, no gasto liquidado. Cuando se desee la ejecución real, debe usarse la Estadística del Gasto Público en Educación del MEFP (indicador extendido </w:t>
            </w:r>
            <w:r>
              <w:rPr>
                <w:rFonts w:ascii="Space Grotesk" w:cs="Space Grotesk" w:eastAsia="Space Grotesk" w:hAnsi="Space Grotesk"/>
                <w:b/>
                <w:bCs/>
                <w:i w:val="false"/>
                <w:iCs w:val="false"/>
                <w:color w:val="1A2F45"/>
                <w:sz w:val="19"/>
                <w:szCs w:val="19"/>
              </w:rPr>
              <w:t xml:space="preserve">gasto_liquidado_pib</w:t>
            </w:r>
            <w:r>
              <w:rPr>
                <w:rFonts w:ascii="Inter" w:cs="Inter" w:eastAsia="Inter" w:hAnsi="Inter"/>
                <w:b w:val="false"/>
                <w:bCs w:val="false"/>
                <w:i w:val="false"/>
                <w:iCs w:val="false"/>
                <w:color w:val="1A2F45"/>
                <w:sz w:val="19"/>
                <w:szCs w:val="19"/>
              </w:rPr>
              <w:t xml:space="preserve">). Esta distinción debe comunicarse en la nota metodológica pública.</w:t>
            </w:r>
          </w:p>
        </w:tc>
      </w:tr>
    </w:tbl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8.6 Fechas y claves estandarizadas</w:t>
      </w:r>
    </w:p>
    <w:p>
      <w:pPr>
        <w:spacing w:after="14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Todas las tablas se normalizan a clave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(ccaa, anio, genero)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con </w:t>
      </w:r>
      <w:r>
        <w:rPr>
          <w:rFonts w:ascii="Inter" w:cs="Inter" w:eastAsia="Inter" w:hAnsi="Inter"/>
          <w:b w:val="false"/>
          <w:bCs w:val="false"/>
          <w:i/>
          <w:iCs/>
          <w:color w:val="1A2F45"/>
          <w:sz w:val="20"/>
          <w:szCs w:val="20"/>
        </w:rPr>
        <w:t xml:space="preserve">full join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entre fuentes. Se verifica la unicidad de claves y se registra la cobertura temporal y territorial en el log antes de persistir cada artefacto.</w:t>
      </w: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8.7 Carga atómica con staging + swap</w:t>
      </w:r>
    </w:p>
    <w:p>
      <w:pPr>
        <w:spacing w:after="14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La capa de carga escribe primero en una tabla </w:t>
      </w: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20"/>
          <w:szCs w:val="20"/>
        </w:rPr>
        <w:t xml:space="preserve">{tabla}_staging_YYYYMMDDhhmmss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, elimina la versión anterior y renombra </w:t>
      </w:r>
      <w:r>
        <w:rPr>
          <w:rFonts w:ascii="Inter" w:cs="Inter" w:eastAsia="Inter" w:hAnsi="Inter"/>
          <w:b w:val="false"/>
          <w:bCs w:val="false"/>
          <w:i/>
          <w:iCs/>
          <w:color w:val="1A2F45"/>
          <w:sz w:val="20"/>
          <w:szCs w:val="20"/>
        </w:rPr>
        <w:t xml:space="preserve">staging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 a la tabla principal, garantizando que el dashboard nunca lea un estado intermedio (patrón heredado de Salud Mental y Dependencia).</w:t>
      </w:r>
    </w:p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9.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Pipeline técnico (arquitectura modular)</w:t>
      </w:r>
    </w:p>
    <w:p>
      <w:pPr>
        <w:spacing w:after="140" w:line="288"/>
        <w:jc w:val="both"/>
      </w:pPr>
      <w:r>
        <w:rPr>
          <w:rFonts w:ascii="Inter" w:cs="Inter" w:eastAsia="Inter" w:hAnsi="Inter"/>
          <w:color w:val="1A2F45"/>
          <w:sz w:val="20"/>
          <w:szCs w:val="20"/>
        </w:rPr>
        <w:t xml:space="preserve">La arquitectura replica la estructura estándar de Canarias en Datos (carpetas 1_extraccion … 5_visualizacion), hoy presentes pero vacías en el área de Educación.</w:t>
      </w:r>
    </w:p>
    <w:p>
      <w:pPr>
        <w:keepNext/>
        <w:spacing w:after="70" w:before="200"/>
      </w:pPr>
      <w:r>
        <w:rPr>
          <w:rFonts w:ascii="Space Grotesk" w:cs="Space Grotesk" w:eastAsia="Space Grotesk" w:hAnsi="Space Grotesk"/>
          <w:b/>
          <w:bCs/>
          <w:caps/>
          <w:color w:val="009E8E"/>
          <w:sz w:val="17"/>
          <w:szCs w:val="17"/>
        </w:rPr>
        <w:t xml:space="preserve">Tabla 3. Módulos del pipeline</w:t>
      </w:r>
    </w:p>
    <w:tbl>
      <w:tblPr>
        <w:tblW w:type="dxa" w:w="9026"/>
        <w:tblBorders>
          <w:top w:val="single" w:color="D8E2EC" w:sz="2"/>
          <w:left w:val="none" w:color="FFFFFF" w:sz="0"/>
          <w:bottom w:val="single" w:color="D8E2EC" w:sz="2"/>
          <w:right w:val="none" w:color="FFFFFF" w:sz="0"/>
          <w:insideH w:val="single" w:color="E4EDF5" w:sz="2"/>
          <w:insideV w:val="single" w:color="E4EDF5" w:sz="2"/>
        </w:tblBorders>
      </w:tblPr>
      <w:tblGrid>
        <w:gridCol w:w="2200"/>
        <w:gridCol w:w="3626"/>
        <w:gridCol w:w="1600"/>
        <w:gridCol w:w="1600"/>
      </w:tblGrid>
      <w:tr>
        <w:trPr>
          <w:tblHeader/>
        </w:trPr>
        <w:tc>
          <w:tcPr>
            <w:tcW w:type="dxa" w:w="22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Módulo</w:t>
            </w:r>
          </w:p>
        </w:tc>
        <w:tc>
          <w:tcPr>
            <w:tcW w:type="dxa" w:w="3626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Función principal</w:t>
            </w:r>
          </w:p>
        </w:tc>
        <w:tc>
          <w:tcPr>
            <w:tcW w:type="dxa" w:w="16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Entradas</w:t>
            </w:r>
          </w:p>
        </w:tc>
        <w:tc>
          <w:tcPr>
            <w:tcW w:type="dxa" w:w="16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Salidas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00_maestro.R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Orquesta el ETL mediante CLI y logging por etapa.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Flags --steps, --with-db, --horizon-year, --cv-folds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Ejecución secuencial ETL</w:t>
            </w:r>
          </w:p>
        </w:tc>
      </w:tr>
      <w:tr>
        <w:tc>
          <w:tcPr>
            <w:tcW w:type="dxa" w:w="2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R/ccaa_dictionary.R</w:t>
            </w:r>
          </w:p>
        </w:tc>
        <w:tc>
          <w:tcPr>
            <w:tcW w:type="dxa" w:w="362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Normaliza el catálogo territorial a 18 niveles canónicos.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Nombres de CCAA en múltiples formatos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Diccionario + equivalencias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R/pipeline_utils.R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Validaciones, logging, parse_number_es(), armonización CNED, carga Supabase.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Datasets + variables de entorno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Helpers reutilizables</w:t>
            </w:r>
          </w:p>
        </w:tc>
      </w:tr>
      <w:tr>
        <w:tc>
          <w:tcPr>
            <w:tcW w:type="dxa" w:w="2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1_extraccion/extraccion.R</w:t>
            </w:r>
          </w:p>
        </w:tc>
        <w:tc>
          <w:tcPr>
            <w:tcW w:type="dxa" w:w="362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Descarga variables educativas de la EPA (INE, vía ineapir), tablas del MEFP y el CSV de Presupuestos. Valida cada raw.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API INE, EDUCAbase, output de Presupuestos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RDS intermedios en 1_extraccion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2_transformacion/transformacion.R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Limpia, normaliza CCAA/sexo, armoniza niveles CNED, calcula los 10 indicadores y construye el dataset longitudinal.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RDS de extracción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Tablas normalizadas + indicadores</w:t>
            </w:r>
          </w:p>
        </w:tc>
      </w:tr>
      <w:tr>
        <w:tc>
          <w:tcPr>
            <w:tcW w:type="dxa" w:w="2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3_modelado/modelado.R</w:t>
            </w:r>
          </w:p>
        </w:tc>
        <w:tc>
          <w:tcPr>
            <w:tcW w:type="dxa" w:w="362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Proyecta series con selección multi-algoritmo y añade la bandera origen.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RDS de transformación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Series modeladas + CSV de selección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4_carga/carga.R</w:t>
            </w:r>
          </w:p>
        </w:tc>
        <w:tc>
          <w:tcPr>
            <w:tcW w:type="dxa" w:w="36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Full join, exporta CSV/XLSX y carga atómica en PostgreSQL/Supabase.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RDS de modelado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ced_educacion_global / _gen + tabla PG</w:t>
            </w:r>
          </w:p>
        </w:tc>
      </w:tr>
      <w:tr>
        <w:tc>
          <w:tcPr>
            <w:tcW w:type="dxa" w:w="22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/>
                <w:bCs/>
                <w:color w:val="1A2F45"/>
                <w:sz w:val="17"/>
                <w:szCs w:val="17"/>
              </w:rPr>
              <w:t xml:space="preserve">5_visualizacion/</w:t>
            </w:r>
          </w:p>
        </w:tc>
        <w:tc>
          <w:tcPr>
            <w:tcW w:type="dxa" w:w="362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Storytelling D3.js conectado a Supabase (topic educacion.js).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Tablas ced_educacion_*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educacion_storytelling_d3.html</w:t>
            </w:r>
          </w:p>
        </w:tc>
      </w:tr>
    </w:tbl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10.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Modelado y reglas de proyección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Todos los indicadores del dashboard son candidatos a proyección salvo los de esfuerzo presupuestario, cuya proyección ya la provee el área de Presupuestos (origen_pib).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El sistema evalúa automáticamente hasta cinco algoritmos (ARIMA, ETS, Prophet, Random Forest, XGBoost) según los paquetes disponibles y selecciona el de menor error RMSE normalizado por validación cruzada rolling-origin, siguiendo el estándar de Salud Mental.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El mínimo para modelar una serie es de 5 observaciones distintas por grupo (ccaa × sexo). Los grupos con menos datos se marcan como proyeccion sin valor.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La bandera origen toma valor real cuando el dato procede directamente de la fuente y proyeccion cuando se calcula por modelo, fila a fila en el dataset final.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El horizonte se configura con --horizon-year (por defecto: año en curso + 1) y los folds de CV con --cv-folds (por defecto: 5).</w:t>
      </w:r>
    </w:p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11.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Limitaciones y brechas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Latencia de las fuentes.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La EPA de resultados educativos y la estadística del MEFP se publican con desfase (el gasto público liquidado del MEFP puede ir 2-3 años por detrás). Los años más recientes dependerán de proyección.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Tamaño muestral de la EPA por CCAA.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En comunidades pequeñas y en desgloses finos (sexo × tramo de edad), el error muestral de la EPA crece; conviene vigilar la volatilidad interanual y valorar medias móviles.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Ruptura de serie EPA 2021.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El rediseño de la EPA introduce discontinuidades que deben señalarse en las notas de cada indicador poblacional.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Presupuestado vs. liquidado.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gasto_edu_pib mide crédito presupuestado (área Presupuestos), no ejecución real (§8.5).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Curso vs. año natural.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La conversión curso→año (§5.3) introduce un desajuste de calendario de hasta un año frente a las series de la EPA.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Sin desagregación de sexo en recursos.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Los indicadores de gasto y de escolarización 0-2 no admiten lectura de género.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1A2F45"/>
          <w:sz w:val="20"/>
          <w:szCs w:val="20"/>
        </w:rPr>
        <w:t xml:space="preserve">Dependencia de catálogos externos.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Cambios en los identificadores de tablas del INE o en la estructura de EDUCAbase pueden romper la extracción de forma silenciosa.</w:t>
      </w:r>
    </w:p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12.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Hoja de ruta de implementación</w:t>
      </w:r>
    </w:p>
    <w:p>
      <w:pPr>
        <w:keepNext/>
        <w:spacing w:after="70" w:before="200"/>
      </w:pPr>
      <w:r>
        <w:rPr>
          <w:rFonts w:ascii="Space Grotesk" w:cs="Space Grotesk" w:eastAsia="Space Grotesk" w:hAnsi="Space Grotesk"/>
          <w:b/>
          <w:bCs/>
          <w:caps/>
          <w:color w:val="009E8E"/>
          <w:sz w:val="17"/>
          <w:szCs w:val="17"/>
        </w:rPr>
        <w:t xml:space="preserve">Tabla 4. Acciones priorizadas</w:t>
      </w:r>
    </w:p>
    <w:tbl>
      <w:tblPr>
        <w:tblW w:type="dxa" w:w="9026"/>
        <w:tblBorders>
          <w:top w:val="single" w:color="D8E2EC" w:sz="2"/>
          <w:left w:val="none" w:color="FFFFFF" w:sz="0"/>
          <w:bottom w:val="single" w:color="D8E2EC" w:sz="2"/>
          <w:right w:val="none" w:color="FFFFFF" w:sz="0"/>
          <w:insideH w:val="single" w:color="E4EDF5" w:sz="2"/>
          <w:insideV w:val="single" w:color="E4EDF5" w:sz="2"/>
        </w:tblBorders>
      </w:tblPr>
      <w:tblGrid>
        <w:gridCol w:w="460"/>
        <w:gridCol w:w="2400"/>
        <w:gridCol w:w="4566"/>
        <w:gridCol w:w="1600"/>
      </w:tblGrid>
      <w:tr>
        <w:trPr>
          <w:tblHeader/>
        </w:trPr>
        <w:tc>
          <w:tcPr>
            <w:tcW w:type="dxa" w:w="46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4566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  <w:tc>
          <w:tcPr>
            <w:tcW w:type="dxa" w:w="16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Prioridad</w:t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Resolver identificadores de fuente</w:t>
            </w:r>
          </w:p>
        </w:tc>
        <w:tc>
          <w:tcPr>
            <w:tcW w:type="dxa" w:w="45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Fijar las tablas exactas del INE (variables educativas de la EPA) y las consultas de EDUCAbase para los 10 indicadores; documentarlas en fuentes.yml.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/>
                <w:bCs/>
                <w:color w:val="009E8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Implementar extracción EPA + MEFP</w:t>
            </w:r>
          </w:p>
        </w:tc>
        <w:tc>
          <w:tcPr>
            <w:tcW w:type="dxa" w:w="456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Codificar 1_extraccion/extraccion.R con ineapir para la EPA y descarga/parseo de EDUCAbase, con validación de raws.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/>
                <w:bCs/>
                <w:color w:val="009E8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Enlazar con Presupuestos</w:t>
            </w:r>
          </w:p>
        </w:tc>
        <w:tc>
          <w:tcPr>
            <w:tcW w:type="dxa" w:w="45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Consumir concepto='educacion' del output de Presupuestos para gasto_edu_pib (§8.5).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/>
                <w:bCs/>
                <w:color w:val="009E8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Calcular los 10 indicadores</w:t>
            </w:r>
          </w:p>
        </w:tc>
        <w:tc>
          <w:tcPr>
            <w:tcW w:type="dxa" w:w="456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Implementar la armonización CNED y el cálculo de la matriz (sección 4) en transformacion.R.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/>
                <w:bCs/>
                <w:color w:val="009E8E"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Tablas ced_educacion_global / _gen</w:t>
            </w:r>
          </w:p>
        </w:tc>
        <w:tc>
          <w:tcPr>
            <w:tcW w:type="dxa" w:w="45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Construir y cargar ambas tablas (clave ccaa × anio × género) en Supabase con carga atómica.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Modelado multi-algoritmo</w:t>
            </w:r>
          </w:p>
        </w:tc>
        <w:tc>
          <w:tcPr>
            <w:tcW w:type="dxa" w:w="456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Portar el estándar ARIMA/ETS/Prophet/RF/XGBoost con CV rolling-origin.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Topic web educacion.js</w:t>
            </w:r>
          </w:p>
        </w:tc>
        <w:tc>
          <w:tcPr>
            <w:tcW w:type="dxa" w:w="45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Crear la configuración D3 (métricas, escenas map/evolution/gender/method) siguiendo topics/_schema.md.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Workflow GitHub Actions</w:t>
            </w:r>
          </w:p>
        </w:tc>
        <w:tc>
          <w:tcPr>
            <w:tcW w:type="dxa" w:w="456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Programar el ETL anual tras publicación de fuentes, tomando como referencia el workflow de Salud Mental.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Media</w:t>
            </w:r>
          </w:p>
        </w:tc>
      </w:tr>
      <w:tr>
        <w:tc>
          <w:tcPr>
            <w:tcW w:type="dxa" w:w="46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Lockfile renv</w:t>
            </w:r>
          </w:p>
        </w:tc>
        <w:tc>
          <w:tcPr>
            <w:tcW w:type="dxa" w:w="456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Fijar versiones de ineapir, forecast, prophet, ranger y xgboost.</w:t>
            </w:r>
          </w:p>
        </w:tc>
        <w:tc>
          <w:tcPr>
            <w:tcW w:type="dxa" w:w="16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Baja</w:t>
            </w:r>
          </w:p>
        </w:tc>
      </w:tr>
      <w:tr>
        <w:tc>
          <w:tcPr>
            <w:tcW w:type="dxa" w:w="46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Confirmar código CED</w:t>
            </w:r>
          </w:p>
        </w:tc>
        <w:tc>
          <w:tcPr>
            <w:tcW w:type="dxa" w:w="4566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Asignar el código CED definitivo del área en el registro maestro (aquí provisional: CED-04).</w:t>
            </w:r>
          </w:p>
        </w:tc>
        <w:tc>
          <w:tcPr>
            <w:tcW w:type="dxa" w:w="1600"/>
            <w:shd w:fill="F5F8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Baja</w:t>
            </w:r>
          </w:p>
        </w:tc>
      </w:tr>
    </w:tbl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13.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Recomendaciones operativas de actualización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Programar la ejecución tras la publicación efectiva de cada fuente (EPA anual del INE, estadísticas del MEFP y cierre del ejercicio en Presupuestos), no contra fecha fija.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Ejecutar el pipeline completo sin base de datos (--with-db=false) para validar cobertura y calidad antes de publicar.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Revisar los logs de cobertura de los dos años más recientes, los más sensibles a proyección y a datos aún no publicados.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Vigilar la volatilidad interanual de las CCAA pequeñas en los indicadores de la EPA; una variación brusca puede deberse a error muestral, no a un cambio real.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Validar manualmente una muestra de registros de Canarias en ced_educacion_global tras cada actualización, contrastando con «Las cifras de la educación en España» (MEFP) y con los datos de Eurostat.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20"/>
          <w:szCs w:val="20"/>
        </w:rPr>
        <w:t xml:space="preserve">Comprobar que la serie de gasto_edu_pib coincide con la última versión del output de Presupuestos antes de publicar.</w:t>
      </w:r>
    </w:p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14.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Registro de decisiones</w:t>
      </w:r>
    </w:p>
    <w:tbl>
      <w:tblPr>
        <w:tblW w:type="dxa" w:w="9026"/>
        <w:tblBorders>
          <w:top w:val="single" w:color="D8E2EC" w:sz="2"/>
          <w:left w:val="none" w:color="FFFFFF" w:sz="0"/>
          <w:bottom w:val="single" w:color="D8E2EC" w:sz="2"/>
          <w:right w:val="none" w:color="FFFFFF" w:sz="0"/>
          <w:insideH w:val="single" w:color="E4EDF5" w:sz="2"/>
          <w:insideV w:val="single" w:color="E4EDF5" w:sz="2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7526"/>
            <w:shd w:fill="0D1B2A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Space Grotesk" w:cs="Space Grotesk" w:eastAsia="Space Grotesk" w:hAnsi="Space Grotesk"/>
                <w:b/>
                <w:bCs/>
                <w:color w:val="FFFFFF"/>
                <w:sz w:val="17"/>
                <w:szCs w:val="17"/>
              </w:rPr>
              <w:t xml:space="preserve">Decisión / Cambio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2026-07-21</w:t>
            </w:r>
          </w:p>
        </w:tc>
        <w:tc>
          <w:tcPr>
            <w:tcW w:type="dxa" w:w="7526"/>
            <w:shd w:fill="FFFFF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A2F45"/>
                <w:sz w:val="17"/>
                <w:szCs w:val="17"/>
              </w:rPr>
              <w:t xml:space="preserve">Versión 1.0 del cuaderno (CED-04, provisional). Diseño metodológico previo a la implementación: matriz de 10 indicadores en 4 bloques con la EPA como espina dorsal, MEFP para trayectoria escolar y enlace con Presupuestos para el esfuerzo/PIB. Se fija 2015 como año base y se documenta el género como dato observado (no imputado).</w:t>
            </w:r>
          </w:p>
        </w:tc>
      </w:tr>
    </w:tbl>
    <w:p>
      <w:pPr>
        <w:pStyle w:val="Heading1"/>
        <w:keepNext/>
        <w:spacing w:after="150" w:before="340"/>
      </w:pPr>
      <w:r>
        <w:rPr>
          <w:rFonts w:ascii="Space Grotesk" w:cs="Space Grotesk" w:eastAsia="Space Grotesk" w:hAnsi="Space Grotesk"/>
          <w:b/>
          <w:bCs/>
          <w:color w:val="009E8E"/>
          <w:sz w:val="30"/>
          <w:szCs w:val="30"/>
        </w:rPr>
        <w:t xml:space="preserve">15.  </w:t>
      </w:r>
      <w:r>
        <w:rPr>
          <w:rFonts w:ascii="Space Grotesk" w:cs="Space Grotesk" w:eastAsia="Space Grotesk" w:hAnsi="Space Grotesk"/>
          <w:b/>
          <w:bCs/>
          <w:color w:val="1A2F45"/>
          <w:sz w:val="30"/>
          <w:szCs w:val="30"/>
        </w:rPr>
        <w:t xml:space="preserve">Anexo · artefactos e integración web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Educación/00_maestro.R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orquestador con CLI (--steps, --with-db, --horizon-year, --cv-folds).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Educación/R/ccaa_dictionary.R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diccionario canónico de 18 CCAA.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Educación/R/pipeline_utils.R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validaciones, parsing numérico y armonización CNED.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Educación/1_extraccion/*.rds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raws validados de la EPA (INE) y del MEFP (EDUCAbase).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Educación/2_transformacion/*.rds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series depuradas y los 10 indicadores calculados.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Educación/3_modelado/*.rds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series reales/proyectadas con bandera origen y CSV de selección de algoritmo.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Educación/4_carga/ced_educacion_global.csv/.xlsx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tabla final territorial (clave ccaa × anio).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Educación/4_carga/ced_educacion_gen.csv/.xlsx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tabla final por género (clave ccaa × anio × género).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Educación/5_visualizacion/educacion_storytelling_d3.html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visualización D3.js.</w:t>
      </w:r>
    </w:p>
    <w:p>
      <w:pPr>
        <w:pStyle w:val="ListParagraph"/>
        <w:numPr>
          <w:ilvl w:val="0"/>
          <w:numId w:val="2"/>
        </w:numPr>
        <w:spacing w:after="80" w:line="288"/>
        <w:jc w:val="both"/>
      </w:pPr>
      <w:r>
        <w:rPr>
          <w:rFonts w:ascii="Space Grotesk" w:cs="Space Grotesk" w:eastAsia="Space Grotesk" w:hAnsi="Space Grotesk"/>
          <w:b/>
          <w:bCs/>
          <w:i w:val="false"/>
          <w:iCs w:val="false"/>
          <w:color w:val="1A2F45"/>
          <w:sz w:val="18"/>
          <w:szCs w:val="18"/>
        </w:rPr>
        <w:t xml:space="preserve">canarias-en-datos-web/topics/educacion.js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9"/>
          <w:szCs w:val="19"/>
        </w:rPr>
        <w:t xml:space="preserve"> — configuración del topic (globalTable: ced_educacion_global, genderTable: ced_educacion_gen).</w:t>
      </w:r>
    </w:p>
    <w:p>
      <w:pPr>
        <w:spacing w:after="120"/>
      </w:pPr>
    </w:p>
    <w:p>
      <w:pPr>
        <w:pBdr>
          <w:top w:val="single" w:color="009E8E" w:sz="8" w:space="4"/>
        </w:pBdr>
        <w:spacing w:after="60" w:before="200"/>
      </w:pPr>
    </w:p>
    <w:p>
      <w:pPr>
        <w:pStyle w:val="Heading2"/>
        <w:keepNext/>
        <w:spacing w:after="110" w:before="240"/>
      </w:pPr>
      <w:r>
        <w:rPr>
          <w:rFonts w:ascii="Space Grotesk" w:cs="Space Grotesk" w:eastAsia="Space Grotesk" w:hAnsi="Space Grotesk"/>
          <w:b/>
          <w:bCs/>
          <w:color w:val="1A2F45"/>
          <w:sz w:val="24"/>
          <w:szCs w:val="24"/>
        </w:rPr>
        <w:t xml:space="preserve">Fuentes</w:t>
      </w:r>
    </w:p>
    <w:p>
      <w:pPr>
        <w:spacing w:after="140" w:line="288"/>
        <w:jc w:val="both"/>
      </w:pPr>
      <w:r>
        <w:rPr>
          <w:rFonts w:ascii="Inter" w:cs="Inter" w:eastAsia="Inter" w:hAnsi="Inter"/>
          <w:b/>
          <w:bCs/>
          <w:i/>
          <w:iCs/>
          <w:color w:val="009E8E"/>
          <w:sz w:val="18"/>
          <w:szCs w:val="18"/>
        </w:rPr>
        <w:t xml:space="preserve">Fuentes estadísticas.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8"/>
          <w:szCs w:val="18"/>
        </w:rPr>
        <w:t xml:space="preserve">INE · Encuesta de Población Activa (explotación de las variables educativas: nivel de formación, formación permanente y abandono). MEFP · EDUCAbase, Sistema Estatal de Indicadores de la Educación, «Las cifras de la educación en España» y Estadística del Gasto Público en Educación. Eurostat · series edat_lfse_* y trng_lfse_*. Área de Presupuestos de Canarias en Datos (concepto educación · % PIB regional).</w:t>
      </w:r>
    </w:p>
    <w:p>
      <w:pPr>
        <w:spacing w:after="140" w:line="288"/>
        <w:jc w:val="both"/>
      </w:pPr>
      <w:r>
        <w:rPr>
          <w:rFonts w:ascii="Inter" w:cs="Inter" w:eastAsia="Inter" w:hAnsi="Inter"/>
          <w:b/>
          <w:bCs/>
          <w:i/>
          <w:iCs/>
          <w:color w:val="009E8E"/>
          <w:sz w:val="18"/>
          <w:szCs w:val="18"/>
        </w:rPr>
        <w:t xml:space="preserve">Normativa y marcos.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1A2F45"/>
          <w:sz w:val="18"/>
          <w:szCs w:val="18"/>
        </w:rPr>
        <w:t xml:space="preserve">Constitución Española, art. 27. Ley Orgánica 3/2020 (LOMLOE). Agenda 2030 · ODS 4. Marco Estratégico Europeo para la Educación y la Formación 2030 (metas de referencia UE).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DF5" w:sz="6" w:space="4"/>
      </w:pBdr>
      <w:tabs>
        <w:tab w:val="center" w:pos="4513"/>
        <w:tab w:val="right" w:pos="9026"/>
      </w:tabs>
      <w:spacing w:before="60"/>
    </w:pPr>
    <w:r>
      <w:rPr>
        <w:rFonts w:ascii="Inter" w:cs="Inter" w:eastAsia="Inter" w:hAnsi="Inter"/>
        <w:color w:val="6B8CA5"/>
        <w:sz w:val="15"/>
        <w:szCs w:val="15"/>
      </w:rPr>
      <w:t xml:space="preserve">Educación · Canarias en Datos</w:t>
    </w:r>
    <w:r>
      <w:rPr>
        <w:rFonts w:ascii="Space Grotesk" w:cs="Space Grotesk" w:eastAsia="Space Grotesk" w:hAnsi="Space Grotesk"/>
        <w:b/>
        <w:bCs/>
        <w:color w:val="009E8E"/>
        <w:sz w:val="15"/>
        <w:szCs w:val="15"/>
      </w:rPr>
      <w:t xml:space="preserve">	ODESOCAN	</w:t>
    </w:r>
    <w:r>
      <w:rPr>
        <w:rFonts w:ascii="Inter" w:cs="Inter" w:eastAsia="Inter" w:hAnsi="Inter"/>
        <w:color w:val="6B8CA5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E8E" w:sz="6" w:space="4"/>
      </w:pBdr>
      <w:tabs>
        <w:tab w:val="right" w:pos="9026"/>
      </w:tabs>
      <w:spacing w:after="120"/>
    </w:pPr>
    <w:r>
      <w:rPr>
        <w:rFonts w:ascii="Space Grotesk" w:cs="Space Grotesk" w:eastAsia="Space Grotesk" w:hAnsi="Space Grotesk"/>
        <w:color w:val="6B8CA5"/>
        <w:sz w:val="15"/>
        <w:szCs w:val="15"/>
      </w:rPr>
      <w:t xml:space="preserve">ODESOCAN · Observatorio de Derechos Sociales de Canarias</w:t>
    </w:r>
    <w:r>
      <w:rPr>
        <w:rFonts w:ascii="Space Grotesk" w:cs="Space Grotesk" w:eastAsia="Space Grotesk" w:hAnsi="Space Grotesk"/>
        <w:i/>
        <w:iCs/>
        <w:color w:val="6B8CA5"/>
        <w:sz w:val="15"/>
        <w:szCs w:val="15"/>
      </w:rPr>
      <w:t xml:space="preserve">	CUADERNO METODOLÓGICO · JULIO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color w:val="009E8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009E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A2F4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40"/>
      <w:outlineLvl w:val="0"/>
    </w:pPr>
    <w:rPr>
      <w:rFonts w:ascii="Space Grotesk" w:cs="Space Grotesk" w:eastAsia="Space Grotesk" w:hAnsi="Space Grotesk"/>
      <w:b/>
      <w:bCs/>
      <w:color w:val="1A2F45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Space Grotesk" w:cs="Space Grotesk" w:eastAsia="Space Grotesk" w:hAnsi="Space Grotesk"/>
      <w:b/>
      <w:bCs/>
      <w:color w:val="1A2F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Cuaderno Metodológico · Pipeline Educación</dc:title>
  <dc:creator>ODESOCAN · Canarias en Datos</dc:creator>
  <dc:description>Diseño metodológico y delimitación de variables del área de Educación</dc:description>
  <cp:lastModifiedBy>Un-named</cp:lastModifiedBy>
  <cp:revision>1</cp:revision>
  <dcterms:created xsi:type="dcterms:W3CDTF">2026-07-21T14:06:52.880Z</dcterms:created>
  <dcterms:modified xsi:type="dcterms:W3CDTF">2026-07-21T14:06:52.881Z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