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left"/>
      </w:pPr>
      <w:r>
        <w:rPr>
          <w:rFonts w:ascii="Calibri" w:cs="Calibri" w:eastAsia="Calibri" w:hAnsi="Calibri"/>
          <w:b/>
          <w:bCs/>
          <w:color w:val="1F7A8C"/>
          <w:sz w:val="22"/>
          <w:szCs w:val="22"/>
        </w:rPr>
        <w:t xml:space="preserve">ODESOCAN · Canarias en Datos</w:t>
      </w:r>
    </w:p>
    <w:p>
      <w:pPr>
        <w:spacing w:before="80"/>
      </w:pPr>
      <w:r>
        <w:rPr>
          <w:rFonts w:ascii="Calibri" w:cs="Calibri" w:eastAsia="Calibri" w:hAnsi="Calibri"/>
          <w:color w:val="5C6770"/>
          <w:sz w:val="18"/>
          <w:szCs w:val="18"/>
        </w:rPr>
        <w:t xml:space="preserve">Línea de investigación: Presupuestos autonómicos</w:t>
      </w:r>
    </w:p>
    <w:p>
      <w:pPr>
        <w:spacing w:before="600"/>
      </w:pPr>
      <w:r>
        <w:rPr>
          <w:rFonts w:ascii="Calibri" w:cs="Calibri" w:eastAsia="Calibri" w:hAnsi="Calibri"/>
          <w:b/>
          <w:bCs/>
          <w:color w:val="0E3A53"/>
          <w:sz w:val="52"/>
          <w:szCs w:val="52"/>
        </w:rPr>
        <w:t xml:space="preserve">Pipeline de extracción presupuestaria</w:t>
      </w:r>
    </w:p>
    <w:p>
      <w:pPr>
        <w:spacing w:before="120"/>
      </w:pPr>
      <w:r>
        <w:rPr>
          <w:rFonts w:ascii="Calibri" w:cs="Calibri" w:eastAsia="Calibri" w:hAnsi="Calibri"/>
          <w:color w:val="1F7A8C"/>
          <w:sz w:val="26"/>
          <w:szCs w:val="26"/>
        </w:rPr>
        <w:t xml:space="preserve">Documento metodológico complementario a la tabla de correspondencias</w:t>
      </w:r>
    </w:p>
    <w:p>
      <w:pPr>
        <w:spacing w:before="1800"/>
      </w:pPr>
      <w:r>
        <w:rPr>
          <w:rFonts w:ascii="Calibri" w:cs="Calibri" w:eastAsia="Calibri" w:hAnsi="Calibri"/>
          <w:color w:val="1B1F23"/>
          <w:sz w:val="20"/>
          <w:szCs w:val="20"/>
        </w:rPr>
        <w:t xml:space="preserve">Fecha: 11 de mayo de 2026 · Cristian C. P. V. · investigacion@odesocan.org</w:t>
      </w:r>
    </w:p>
    <w:p>
      <w:pPr>
        <w:pStyle w:val="Heading1"/>
        <w:pageBreakBefore/>
        <w:spacing w:after="160" w:before="320"/>
      </w:pPr>
      <w:r>
        <w:rPr>
          <w:rFonts w:ascii="Calibri" w:cs="Calibri" w:eastAsia="Calibri" w:hAnsi="Calibri"/>
          <w:b/>
          <w:bCs/>
          <w:color w:val="0E3A53"/>
          <w:sz w:val="40"/>
          <w:szCs w:val="40"/>
        </w:rPr>
        <w:t xml:space="preserve">1. Objetivo y alcance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Este documento describe la metodología del pipeline que extrae, normaliza y publica los presupuestos de las 17 Comunidades Autónomas para alimentar el Observatorio Canarias en Datos. Es el complemento operativo de la Tabla de correspondencias presupuestarias por CCAA y permite reconstruir cada cifra publicada hasta la línea original de la memoria de programas.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El pipeline está diseñado bajo tres principios: reproducibilidad (todo el código vive en GitHub y es ejecutable por cualquier tercero), trazabilidad (cada dato apunta al PDF/CSV de origen con hash y fecha de captura) y comparabilidad (los conceptos se unifican aplicando la tabla de correspondencias que neutraliza las diferencias de codificación interna entre CCAA).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7A8C" w:sz="4"/>
              <w:left w:val="single" w:color="1F7A8C" w:sz="4"/>
              <w:bottom w:val="single" w:color="1F7A8C" w:sz="4"/>
              <w:right w:val="single" w:color="1F7A8C" w:sz="4"/>
            </w:tcBorders>
            <w:shd w:fill="D4E4E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E3A53"/>
                <w:sz w:val="22"/>
                <w:szCs w:val="22"/>
              </w:rPr>
              <w:t xml:space="preserve">Hipótesis de comparabilidad</w:t>
            </w:r>
          </w:p>
          <w:p>
            <w:pPr>
              <w:spacing w:after="0" w:before="0"/>
              <w:jc w:val="both"/>
            </w:pPr>
            <w:r>
              <w:rPr>
                <w:rFonts w:ascii="Calibri" w:cs="Calibri" w:eastAsia="Calibri" w:hAnsi="Calibri"/>
                <w:color w:val="1B1F23"/>
                <w:sz w:val="22"/>
                <w:szCs w:val="22"/>
              </w:rPr>
              <w:t xml:space="preserve">La Orden HAP/419/2014 y sucesivas homogeneizan la clasificación funcional para garantizar agregaciones inter-CCAA. La realidad es que la clasificación por programas mantiene divergencias significativas, especialmente en Andalucía, Cataluña, Navarra y Euskadi. La tabla de correspondencias es la pieza que cierra esa brecha conceptual.</w:t>
            </w:r>
          </w:p>
        </w:tc>
      </w:tr>
    </w:tbl>
    <w:p>
      <w:pPr>
        <w:pStyle w:val="Heading1"/>
        <w:pageBreakBefore/>
        <w:spacing w:after="160" w:before="320"/>
      </w:pPr>
      <w:r>
        <w:rPr>
          <w:rFonts w:ascii="Calibri" w:cs="Calibri" w:eastAsia="Calibri" w:hAnsi="Calibri"/>
          <w:b/>
          <w:bCs/>
          <w:color w:val="0E3A53"/>
          <w:sz w:val="40"/>
          <w:szCs w:val="40"/>
        </w:rPr>
        <w:t xml:space="preserve">2. Catálogo de fuentes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El pipeline parte de un único objeto declarativo (fuentes.yml) donde cada CCAA tiene una entrada con su portal, las URLs por ejercicio del documento autoritativo y la convención de nomenclatura del fichero. Esto permite añadir un nuevo ejercicio modificando una sola línea YAML, sin tocar el código Python.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7A8C"/>
          <w:sz w:val="28"/>
          <w:szCs w:val="28"/>
        </w:rPr>
        <w:t xml:space="preserve">2.1. Fuentes transversales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Ministerio de Hacienda · Datos presupuestarios de las CCAA: portal oficial con cifras homogeneizadas y notas metodológicas. Sirve como contraste de validación frente a la extracción directa.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Aplicación de Presupuestos de CCAA (Servicios Telemáticos Externos): permite descarga unitaria por ejercicio.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Datos.gob.es y portales autonómicos de datos abiertos: ofrecen CSVs estructurados (Canarias, Castilla y León, Navarra, Euskadi, Andalucía 2015+).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INE (Cifras de población a 1 de enero y Contabilidad Regional) y AIReF (informes de ejecución): se incorporan como dimensiones complementarias para el cálculo de indicadores.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7A8C"/>
          <w:sz w:val="28"/>
          <w:szCs w:val="28"/>
        </w:rPr>
        <w:t xml:space="preserve">2.2. Fuentes por CCAA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La tabla de correspondencias presupuestarias por CCAA detalla, para cada comunidad, el portal y el documento o conjunto de ficheros analizados. El listado es vivo y se actualiza cada ejercicio. El pipeline lee las URLs desde fuentes.yml, descarga, calcula SHA-256, guarda la copia en /data/raw/ y registra la captura en la tabla manifest del esquema PostgreSQL.</w:t>
      </w:r>
    </w:p>
    <w:p>
      <w:pPr>
        <w:pStyle w:val="Heading1"/>
        <w:pageBreakBefore/>
        <w:spacing w:after="160" w:before="320"/>
      </w:pPr>
      <w:r>
        <w:rPr>
          <w:rFonts w:ascii="Calibri" w:cs="Calibri" w:eastAsia="Calibri" w:hAnsi="Calibri"/>
          <w:b/>
          <w:bCs/>
          <w:color w:val="0E3A53"/>
          <w:sz w:val="40"/>
          <w:szCs w:val="40"/>
        </w:rPr>
        <w:t xml:space="preserve">3. Arquitectura del pipeline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El pipeline está estructurado en siete fases secuenciales encadenables. Cada fase es idempotente, cachea resultados intermedios en disco y registra logs estructurados en JSON para que la trazabilidad sea auditable a posteriori.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900"/>
        <w:gridCol w:w="2400"/>
        <w:gridCol w:w="2360"/>
      </w:tblGrid>
      <w:tr>
        <w:trPr>
          <w:tblHeader/>
        </w:trPr>
        <w:tc>
          <w:tcPr>
            <w:tcW w:type="dxa" w:w="1700"/>
            <w:tcBorders>
              <w:top w:val="single" w:color="0E3A53" w:sz="4"/>
              <w:left w:val="single" w:color="0E3A53" w:sz="4"/>
              <w:bottom w:val="single" w:color="0E3A53" w:sz="4"/>
              <w:right w:val="single" w:color="0E3A53" w:sz="4"/>
            </w:tcBorders>
            <w:shd w:fill="0E3A53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Fase</w:t>
            </w:r>
          </w:p>
        </w:tc>
        <w:tc>
          <w:tcPr>
            <w:tcW w:type="dxa" w:w="2900"/>
            <w:tcBorders>
              <w:top w:val="single" w:color="0E3A53" w:sz="4"/>
              <w:left w:val="single" w:color="0E3A53" w:sz="4"/>
              <w:bottom w:val="single" w:color="0E3A53" w:sz="4"/>
              <w:right w:val="single" w:color="0E3A53" w:sz="4"/>
            </w:tcBorders>
            <w:shd w:fill="0E3A53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Objetivo</w:t>
            </w:r>
          </w:p>
        </w:tc>
        <w:tc>
          <w:tcPr>
            <w:tcW w:type="dxa" w:w="2400"/>
            <w:tcBorders>
              <w:top w:val="single" w:color="0E3A53" w:sz="4"/>
              <w:left w:val="single" w:color="0E3A53" w:sz="4"/>
              <w:bottom w:val="single" w:color="0E3A53" w:sz="4"/>
              <w:right w:val="single" w:color="0E3A53" w:sz="4"/>
            </w:tcBorders>
            <w:shd w:fill="0E3A53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Entrada</w:t>
            </w:r>
          </w:p>
        </w:tc>
        <w:tc>
          <w:tcPr>
            <w:tcW w:type="dxa" w:w="2360"/>
            <w:tcBorders>
              <w:top w:val="single" w:color="0E3A53" w:sz="4"/>
              <w:left w:val="single" w:color="0E3A53" w:sz="4"/>
              <w:bottom w:val="single" w:color="0E3A53" w:sz="4"/>
              <w:right w:val="single" w:color="0E3A53" w:sz="4"/>
            </w:tcBorders>
            <w:shd w:fill="0E3A53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Salida</w:t>
            </w:r>
          </w:p>
        </w:tc>
      </w:tr>
      <w:tr>
        <w:tc>
          <w:tcPr>
            <w:tcW w:type="dxa" w:w="1700"/>
            <w:tcBorders>
              <w:top w:val="single" w:color="B7C2C9" w:sz="4"/>
              <w:left w:val="single" w:color="B7C2C9" w:sz="4"/>
              <w:bottom w:val="single" w:color="B7C2C9" w:sz="4"/>
              <w:right w:val="single" w:color="B7C2C9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F23"/>
                <w:sz w:val="20"/>
                <w:szCs w:val="20"/>
              </w:rPr>
              <w:t xml:space="preserve">1. Extracción</w:t>
            </w:r>
          </w:p>
        </w:tc>
        <w:tc>
          <w:tcPr>
            <w:tcW w:type="dxa" w:w="2900"/>
            <w:tcBorders>
              <w:top w:val="single" w:color="B7C2C9" w:sz="4"/>
              <w:left w:val="single" w:color="B7C2C9" w:sz="4"/>
              <w:bottom w:val="single" w:color="B7C2C9" w:sz="4"/>
              <w:right w:val="single" w:color="B7C2C9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F23"/>
                <w:sz w:val="20"/>
                <w:szCs w:val="20"/>
              </w:rPr>
              <w:t xml:space="preserve">Descargar PDFs y CSVs publicados por cada CCAA, archivarlos versionados y registrar fecha de captura, hash y tamaño.</w:t>
            </w:r>
          </w:p>
        </w:tc>
        <w:tc>
          <w:tcPr>
            <w:tcW w:type="dxa" w:w="2400"/>
            <w:tcBorders>
              <w:top w:val="single" w:color="B7C2C9" w:sz="4"/>
              <w:left w:val="single" w:color="B7C2C9" w:sz="4"/>
              <w:bottom w:val="single" w:color="B7C2C9" w:sz="4"/>
              <w:right w:val="single" w:color="B7C2C9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F23"/>
                <w:sz w:val="20"/>
                <w:szCs w:val="20"/>
              </w:rPr>
              <w:t xml:space="preserve">URLs del catálogo de fuentes (objeto YAML).</w:t>
            </w:r>
          </w:p>
        </w:tc>
        <w:tc>
          <w:tcPr>
            <w:tcW w:type="dxa" w:w="2360"/>
            <w:tcBorders>
              <w:top w:val="single" w:color="B7C2C9" w:sz="4"/>
              <w:left w:val="single" w:color="B7C2C9" w:sz="4"/>
              <w:bottom w:val="single" w:color="B7C2C9" w:sz="4"/>
              <w:right w:val="single" w:color="B7C2C9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F23"/>
                <w:sz w:val="20"/>
                <w:szCs w:val="20"/>
              </w:rPr>
              <w:t xml:space="preserve">Ficheros crudos en /data/raw/{ccaa}/{anio}/ + tabla de manifiesto en PostgreSQL.</w:t>
            </w:r>
          </w:p>
        </w:tc>
      </w:tr>
      <w:tr>
        <w:tc>
          <w:tcPr>
            <w:tcW w:type="dxa" w:w="1700"/>
            <w:tcBorders>
              <w:top w:val="single" w:color="B7C2C9" w:sz="4"/>
              <w:left w:val="single" w:color="B7C2C9" w:sz="4"/>
              <w:bottom w:val="single" w:color="B7C2C9" w:sz="4"/>
              <w:right w:val="single" w:color="B7C2C9" w:sz="4"/>
            </w:tcBorders>
            <w:shd w:fill="F1F5F7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F23"/>
                <w:sz w:val="20"/>
                <w:szCs w:val="20"/>
              </w:rPr>
              <w:t xml:space="preserve">2. Parseo</w:t>
            </w:r>
          </w:p>
        </w:tc>
        <w:tc>
          <w:tcPr>
            <w:tcW w:type="dxa" w:w="2900"/>
            <w:tcBorders>
              <w:top w:val="single" w:color="B7C2C9" w:sz="4"/>
              <w:left w:val="single" w:color="B7C2C9" w:sz="4"/>
              <w:bottom w:val="single" w:color="B7C2C9" w:sz="4"/>
              <w:right w:val="single" w:color="B7C2C9" w:sz="4"/>
            </w:tcBorders>
            <w:shd w:fill="F1F5F7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F23"/>
                <w:sz w:val="20"/>
                <w:szCs w:val="20"/>
              </w:rPr>
              <w:t xml:space="preserve">Convertir PDFs a tablas (pdfplumber/camelot) y CSVs a dataframes (pandas).</w:t>
            </w:r>
          </w:p>
        </w:tc>
        <w:tc>
          <w:tcPr>
            <w:tcW w:type="dxa" w:w="2400"/>
            <w:tcBorders>
              <w:top w:val="single" w:color="B7C2C9" w:sz="4"/>
              <w:left w:val="single" w:color="B7C2C9" w:sz="4"/>
              <w:bottom w:val="single" w:color="B7C2C9" w:sz="4"/>
              <w:right w:val="single" w:color="B7C2C9" w:sz="4"/>
            </w:tcBorders>
            <w:shd w:fill="F1F5F7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F23"/>
                <w:sz w:val="20"/>
                <w:szCs w:val="20"/>
              </w:rPr>
              <w:t xml:space="preserve">Ficheros crudos.</w:t>
            </w:r>
          </w:p>
        </w:tc>
        <w:tc>
          <w:tcPr>
            <w:tcW w:type="dxa" w:w="2360"/>
            <w:tcBorders>
              <w:top w:val="single" w:color="B7C2C9" w:sz="4"/>
              <w:left w:val="single" w:color="B7C2C9" w:sz="4"/>
              <w:bottom w:val="single" w:color="B7C2C9" w:sz="4"/>
              <w:right w:val="single" w:color="B7C2C9" w:sz="4"/>
            </w:tcBorders>
            <w:shd w:fill="F1F5F7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F23"/>
                <w:sz w:val="20"/>
                <w:szCs w:val="20"/>
              </w:rPr>
              <w:t xml:space="preserve">DataFrames intermedios estandarizados en /data/parsed/.</w:t>
            </w:r>
          </w:p>
        </w:tc>
      </w:tr>
      <w:tr>
        <w:tc>
          <w:tcPr>
            <w:tcW w:type="dxa" w:w="1700"/>
            <w:tcBorders>
              <w:top w:val="single" w:color="B7C2C9" w:sz="4"/>
              <w:left w:val="single" w:color="B7C2C9" w:sz="4"/>
              <w:bottom w:val="single" w:color="B7C2C9" w:sz="4"/>
              <w:right w:val="single" w:color="B7C2C9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F23"/>
                <w:sz w:val="20"/>
                <w:szCs w:val="20"/>
              </w:rPr>
              <w:t xml:space="preserve">3. Normalización</w:t>
            </w:r>
          </w:p>
        </w:tc>
        <w:tc>
          <w:tcPr>
            <w:tcW w:type="dxa" w:w="2900"/>
            <w:tcBorders>
              <w:top w:val="single" w:color="B7C2C9" w:sz="4"/>
              <w:left w:val="single" w:color="B7C2C9" w:sz="4"/>
              <w:bottom w:val="single" w:color="B7C2C9" w:sz="4"/>
              <w:right w:val="single" w:color="B7C2C9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F23"/>
                <w:sz w:val="20"/>
                <w:szCs w:val="20"/>
              </w:rPr>
              <w:t xml:space="preserve">Aplicar la tabla de correspondencias para unificar conceptos y códigos a un esquema común.</w:t>
            </w:r>
          </w:p>
        </w:tc>
        <w:tc>
          <w:tcPr>
            <w:tcW w:type="dxa" w:w="2400"/>
            <w:tcBorders>
              <w:top w:val="single" w:color="B7C2C9" w:sz="4"/>
              <w:left w:val="single" w:color="B7C2C9" w:sz="4"/>
              <w:bottom w:val="single" w:color="B7C2C9" w:sz="4"/>
              <w:right w:val="single" w:color="B7C2C9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F23"/>
                <w:sz w:val="20"/>
                <w:szCs w:val="20"/>
              </w:rPr>
              <w:t xml:space="preserve">DataFrames parseados + correspondencias.yml.</w:t>
            </w:r>
          </w:p>
        </w:tc>
        <w:tc>
          <w:tcPr>
            <w:tcW w:type="dxa" w:w="2360"/>
            <w:tcBorders>
              <w:top w:val="single" w:color="B7C2C9" w:sz="4"/>
              <w:left w:val="single" w:color="B7C2C9" w:sz="4"/>
              <w:bottom w:val="single" w:color="B7C2C9" w:sz="4"/>
              <w:right w:val="single" w:color="B7C2C9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F23"/>
                <w:sz w:val="20"/>
                <w:szCs w:val="20"/>
              </w:rPr>
              <w:t xml:space="preserve">Tabla normalizada gasto_anio_ccaa con concepto, código, importe, capítulo, ejercicio, prórroga, fuente.</w:t>
            </w:r>
          </w:p>
        </w:tc>
      </w:tr>
      <w:tr>
        <w:tc>
          <w:tcPr>
            <w:tcW w:type="dxa" w:w="1700"/>
            <w:tcBorders>
              <w:top w:val="single" w:color="B7C2C9" w:sz="4"/>
              <w:left w:val="single" w:color="B7C2C9" w:sz="4"/>
              <w:bottom w:val="single" w:color="B7C2C9" w:sz="4"/>
              <w:right w:val="single" w:color="B7C2C9" w:sz="4"/>
            </w:tcBorders>
            <w:shd w:fill="F1F5F7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F23"/>
                <w:sz w:val="20"/>
                <w:szCs w:val="20"/>
              </w:rPr>
              <w:t xml:space="preserve">4. Modelado</w:t>
            </w:r>
          </w:p>
        </w:tc>
        <w:tc>
          <w:tcPr>
            <w:tcW w:type="dxa" w:w="2900"/>
            <w:tcBorders>
              <w:top w:val="single" w:color="B7C2C9" w:sz="4"/>
              <w:left w:val="single" w:color="B7C2C9" w:sz="4"/>
              <w:bottom w:val="single" w:color="B7C2C9" w:sz="4"/>
              <w:right w:val="single" w:color="B7C2C9" w:sz="4"/>
            </w:tcBorders>
            <w:shd w:fill="F1F5F7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F23"/>
                <w:sz w:val="20"/>
                <w:szCs w:val="20"/>
              </w:rPr>
              <w:t xml:space="preserve">Cargar en PostgreSQL bajo un modelo relacional con dimensiones (ccaa, concepto, ejercicio) y hechos (gasto).</w:t>
            </w:r>
          </w:p>
        </w:tc>
        <w:tc>
          <w:tcPr>
            <w:tcW w:type="dxa" w:w="2400"/>
            <w:tcBorders>
              <w:top w:val="single" w:color="B7C2C9" w:sz="4"/>
              <w:left w:val="single" w:color="B7C2C9" w:sz="4"/>
              <w:bottom w:val="single" w:color="B7C2C9" w:sz="4"/>
              <w:right w:val="single" w:color="B7C2C9" w:sz="4"/>
            </w:tcBorders>
            <w:shd w:fill="F1F5F7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F23"/>
                <w:sz w:val="20"/>
                <w:szCs w:val="20"/>
              </w:rPr>
              <w:t xml:space="preserve">Tabla normalizada.</w:t>
            </w:r>
          </w:p>
        </w:tc>
        <w:tc>
          <w:tcPr>
            <w:tcW w:type="dxa" w:w="2360"/>
            <w:tcBorders>
              <w:top w:val="single" w:color="B7C2C9" w:sz="4"/>
              <w:left w:val="single" w:color="B7C2C9" w:sz="4"/>
              <w:bottom w:val="single" w:color="B7C2C9" w:sz="4"/>
              <w:right w:val="single" w:color="B7C2C9" w:sz="4"/>
            </w:tcBorders>
            <w:shd w:fill="F1F5F7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F23"/>
                <w:sz w:val="20"/>
                <w:szCs w:val="20"/>
              </w:rPr>
              <w:t xml:space="preserve">Esquema 'presupuestos' poblado y vistas analíticas.</w:t>
            </w:r>
          </w:p>
        </w:tc>
      </w:tr>
      <w:tr>
        <w:tc>
          <w:tcPr>
            <w:tcW w:type="dxa" w:w="1700"/>
            <w:tcBorders>
              <w:top w:val="single" w:color="B7C2C9" w:sz="4"/>
              <w:left w:val="single" w:color="B7C2C9" w:sz="4"/>
              <w:bottom w:val="single" w:color="B7C2C9" w:sz="4"/>
              <w:right w:val="single" w:color="B7C2C9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F23"/>
                <w:sz w:val="20"/>
                <w:szCs w:val="20"/>
              </w:rPr>
              <w:t xml:space="preserve">5. Indicadores</w:t>
            </w:r>
          </w:p>
        </w:tc>
        <w:tc>
          <w:tcPr>
            <w:tcW w:type="dxa" w:w="2900"/>
            <w:tcBorders>
              <w:top w:val="single" w:color="B7C2C9" w:sz="4"/>
              <w:left w:val="single" w:color="B7C2C9" w:sz="4"/>
              <w:bottom w:val="single" w:color="B7C2C9" w:sz="4"/>
              <w:right w:val="single" w:color="B7C2C9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F23"/>
                <w:sz w:val="20"/>
                <w:szCs w:val="20"/>
              </w:rPr>
              <w:t xml:space="preserve">Calcular % PIB, per cápita, variación interanual y rankings.</w:t>
            </w:r>
          </w:p>
        </w:tc>
        <w:tc>
          <w:tcPr>
            <w:tcW w:type="dxa" w:w="2400"/>
            <w:tcBorders>
              <w:top w:val="single" w:color="B7C2C9" w:sz="4"/>
              <w:left w:val="single" w:color="B7C2C9" w:sz="4"/>
              <w:bottom w:val="single" w:color="B7C2C9" w:sz="4"/>
              <w:right w:val="single" w:color="B7C2C9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F23"/>
                <w:sz w:val="20"/>
                <w:szCs w:val="20"/>
              </w:rPr>
              <w:t xml:space="preserve">Datos relacionales + INE PIB y población.</w:t>
            </w:r>
          </w:p>
        </w:tc>
        <w:tc>
          <w:tcPr>
            <w:tcW w:type="dxa" w:w="2360"/>
            <w:tcBorders>
              <w:top w:val="single" w:color="B7C2C9" w:sz="4"/>
              <w:left w:val="single" w:color="B7C2C9" w:sz="4"/>
              <w:bottom w:val="single" w:color="B7C2C9" w:sz="4"/>
              <w:right w:val="single" w:color="B7C2C9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F23"/>
                <w:sz w:val="20"/>
                <w:szCs w:val="20"/>
              </w:rPr>
              <w:t xml:space="preserve">Vista materializada indicadores_ccaa con métricas listas para D3/Shiny.</w:t>
            </w:r>
          </w:p>
        </w:tc>
      </w:tr>
      <w:tr>
        <w:tc>
          <w:tcPr>
            <w:tcW w:type="dxa" w:w="1700"/>
            <w:tcBorders>
              <w:top w:val="single" w:color="B7C2C9" w:sz="4"/>
              <w:left w:val="single" w:color="B7C2C9" w:sz="4"/>
              <w:bottom w:val="single" w:color="B7C2C9" w:sz="4"/>
              <w:right w:val="single" w:color="B7C2C9" w:sz="4"/>
            </w:tcBorders>
            <w:shd w:fill="F1F5F7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F23"/>
                <w:sz w:val="20"/>
                <w:szCs w:val="20"/>
              </w:rPr>
              <w:t xml:space="preserve">6. Visualización</w:t>
            </w:r>
          </w:p>
        </w:tc>
        <w:tc>
          <w:tcPr>
            <w:tcW w:type="dxa" w:w="2900"/>
            <w:tcBorders>
              <w:top w:val="single" w:color="B7C2C9" w:sz="4"/>
              <w:left w:val="single" w:color="B7C2C9" w:sz="4"/>
              <w:bottom w:val="single" w:color="B7C2C9" w:sz="4"/>
              <w:right w:val="single" w:color="B7C2C9" w:sz="4"/>
            </w:tcBorders>
            <w:shd w:fill="F1F5F7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F23"/>
                <w:sz w:val="20"/>
                <w:szCs w:val="20"/>
              </w:rPr>
              <w:t xml:space="preserve">Servir dashboards en R (Shiny/Quarto) y D3 para la web del observatorio.</w:t>
            </w:r>
          </w:p>
        </w:tc>
        <w:tc>
          <w:tcPr>
            <w:tcW w:type="dxa" w:w="2400"/>
            <w:tcBorders>
              <w:top w:val="single" w:color="B7C2C9" w:sz="4"/>
              <w:left w:val="single" w:color="B7C2C9" w:sz="4"/>
              <w:bottom w:val="single" w:color="B7C2C9" w:sz="4"/>
              <w:right w:val="single" w:color="B7C2C9" w:sz="4"/>
            </w:tcBorders>
            <w:shd w:fill="F1F5F7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F23"/>
                <w:sz w:val="20"/>
                <w:szCs w:val="20"/>
              </w:rPr>
              <w:t xml:space="preserve">Vistas materializadas + APIs REST.</w:t>
            </w:r>
          </w:p>
        </w:tc>
        <w:tc>
          <w:tcPr>
            <w:tcW w:type="dxa" w:w="2360"/>
            <w:tcBorders>
              <w:top w:val="single" w:color="B7C2C9" w:sz="4"/>
              <w:left w:val="single" w:color="B7C2C9" w:sz="4"/>
              <w:bottom w:val="single" w:color="B7C2C9" w:sz="4"/>
              <w:right w:val="single" w:color="B7C2C9" w:sz="4"/>
            </w:tcBorders>
            <w:shd w:fill="F1F5F7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F23"/>
                <w:sz w:val="20"/>
                <w:szCs w:val="20"/>
              </w:rPr>
              <w:t xml:space="preserve">Visualizaciones públicas en canariasendatos.es.</w:t>
            </w:r>
          </w:p>
        </w:tc>
      </w:tr>
      <w:tr>
        <w:tc>
          <w:tcPr>
            <w:tcW w:type="dxa" w:w="1700"/>
            <w:tcBorders>
              <w:top w:val="single" w:color="B7C2C9" w:sz="4"/>
              <w:left w:val="single" w:color="B7C2C9" w:sz="4"/>
              <w:bottom w:val="single" w:color="B7C2C9" w:sz="4"/>
              <w:right w:val="single" w:color="B7C2C9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F23"/>
                <w:sz w:val="20"/>
                <w:szCs w:val="20"/>
              </w:rPr>
              <w:t xml:space="preserve">7. Validación</w:t>
            </w:r>
          </w:p>
        </w:tc>
        <w:tc>
          <w:tcPr>
            <w:tcW w:type="dxa" w:w="2900"/>
            <w:tcBorders>
              <w:top w:val="single" w:color="B7C2C9" w:sz="4"/>
              <w:left w:val="single" w:color="B7C2C9" w:sz="4"/>
              <w:bottom w:val="single" w:color="B7C2C9" w:sz="4"/>
              <w:right w:val="single" w:color="B7C2C9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F23"/>
                <w:sz w:val="20"/>
                <w:szCs w:val="20"/>
              </w:rPr>
              <w:t xml:space="preserve">QA estadística (Benford, conciliación con totales Hacienda), control de outliers y trazas.</w:t>
            </w:r>
          </w:p>
        </w:tc>
        <w:tc>
          <w:tcPr>
            <w:tcW w:type="dxa" w:w="2400"/>
            <w:tcBorders>
              <w:top w:val="single" w:color="B7C2C9" w:sz="4"/>
              <w:left w:val="single" w:color="B7C2C9" w:sz="4"/>
              <w:bottom w:val="single" w:color="B7C2C9" w:sz="4"/>
              <w:right w:val="single" w:color="B7C2C9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F23"/>
                <w:sz w:val="20"/>
                <w:szCs w:val="20"/>
              </w:rPr>
              <w:t xml:space="preserve">Tabla normalizada + datos Hacienda.</w:t>
            </w:r>
          </w:p>
        </w:tc>
        <w:tc>
          <w:tcPr>
            <w:tcW w:type="dxa" w:w="2360"/>
            <w:tcBorders>
              <w:top w:val="single" w:color="B7C2C9" w:sz="4"/>
              <w:left w:val="single" w:color="B7C2C9" w:sz="4"/>
              <w:bottom w:val="single" w:color="B7C2C9" w:sz="4"/>
              <w:right w:val="single" w:color="B7C2C9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F23"/>
                <w:sz w:val="20"/>
                <w:szCs w:val="20"/>
              </w:rPr>
              <w:t xml:space="preserve">Informe de validación y alertas en CI/CD.</w:t>
            </w:r>
          </w:p>
        </w:tc>
      </w:tr>
    </w:tbl>
    <w:p>
      <w:pPr>
        <w:pStyle w:val="Heading1"/>
        <w:pageBreakBefore/>
        <w:spacing w:after="160" w:before="320"/>
      </w:pPr>
      <w:r>
        <w:rPr>
          <w:rFonts w:ascii="Calibri" w:cs="Calibri" w:eastAsia="Calibri" w:hAnsi="Calibri"/>
          <w:b/>
          <w:bCs/>
          <w:color w:val="0E3A53"/>
          <w:sz w:val="40"/>
          <w:szCs w:val="40"/>
        </w:rPr>
        <w:t xml:space="preserve">4. Detalle por fase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7A8C"/>
          <w:sz w:val="28"/>
          <w:szCs w:val="28"/>
        </w:rPr>
        <w:t xml:space="preserve">4.1. Extracción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La función descargar_fuentes() recorre fuentes.yml, hace HTTP GET sobre cada URL con cabeceras realistas y reintentos exponenciales, y persiste en /data/raw/{ccaa}/{anio}/{tipo}.{ext}. Para cada descarga calcula SHA-256, content-length y fecha ISO, y graba una fila en la tabla manifest del esquema PostgreSQL presupuestos. Si el hash coincide con la captura anterior, marca skip=True y no procesa la fase siguiente.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7A8C" w:sz="4"/>
              <w:left w:val="single" w:color="1F7A8C" w:sz="4"/>
              <w:bottom w:val="single" w:color="1F7A8C" w:sz="4"/>
              <w:right w:val="single" w:color="1F7A8C" w:sz="4"/>
            </w:tcBorders>
            <w:shd w:fill="D4E4E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E3A53"/>
                <w:sz w:val="22"/>
                <w:szCs w:val="22"/>
              </w:rPr>
              <w:t xml:space="preserve">Documentos protegidos por Liferay o JavaScript</w:t>
            </w:r>
          </w:p>
          <w:p>
            <w:pPr>
              <w:spacing w:after="0" w:before="0"/>
              <w:jc w:val="both"/>
            </w:pPr>
            <w:r>
              <w:rPr>
                <w:rFonts w:ascii="Calibri" w:cs="Calibri" w:eastAsia="Calibri" w:hAnsi="Calibri"/>
                <w:color w:val="1B1F23"/>
                <w:sz w:val="22"/>
                <w:szCs w:val="22"/>
              </w:rPr>
              <w:t xml:space="preserve">Aragón y la Asamblea de Extremadura sirven sus PDFs a través de bibliotecas documentales con identificadores volátiles. El pipeline mantiene un canonical_url por documento y reintenta la resolución apoyándose en el atributo data-document-id cuando se rompe el enlace estable.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7A8C"/>
          <w:sz w:val="28"/>
          <w:szCs w:val="28"/>
        </w:rPr>
        <w:t xml:space="preserve">4.2. Parseo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Para PDFs el pipeline emplea pdfplumber como motor principal y camelot-py (lattice/stream) como respaldo cuando la primera no detecta tablas. La estrategia es la siguiente: (a) detectar páginas que contienen el rótulo "Memoria de programas" o "Estado de gastos"; (b) extraer las tablas; (c) limpiar saltos de línea espurios; (d) reconocer los códigos de programa con expresiones regulares específicas por CCAA. Para CSVs se usa pandas con detección automática de separador y encoding (chardet).</w:t>
      </w:r>
    </w:p>
    <w:p>
      <w:pPr>
        <w:pBdr>
          <w:left w:val="single" w:color="1F7A8C" w:sz="18" w:space="8"/>
        </w:pBdr>
        <w:shd w:fill="F1F5F7" w:color="auto" w:val="clear"/>
        <w:spacing w:after="80" w:before="80" w:line="260"/>
      </w:pPr>
      <w:r>
        <w:rPr>
          <w:rFonts w:ascii="Consolas" w:cs="Consolas" w:eastAsia="Consolas" w:hAnsi="Consolas"/>
          <w:color w:val="0B5C72"/>
          <w:sz w:val="20"/>
          <w:szCs w:val="20"/>
        </w:rPr>
        <w:t xml:space="preserve">re_codigo = re.compile(r'^(?P&lt;codigo&gt;\d{3}[A-Z]?)\s+(?P&lt;denominacion&gt;.+?)\s+(?P&lt;importe&gt;[\d.,]+)$')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Cada fila parseada se enriquece con metadatos: ccaa, ejercicio, fuente_url, fuente_hash, fecha_captura. El producto es un Parquet por CCAA y ejercicio en /data/parsed/.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7A8C"/>
          <w:sz w:val="28"/>
          <w:szCs w:val="28"/>
        </w:rPr>
        <w:t xml:space="preserve">4.3. Normalización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Aquí se aplica la tabla de correspondencias presupuestarias: para cada fila (ccaa, codigo, denominacion) se busca el concepto unificado. La lógica es jerárquica: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Primer intento: coincidencia exacta de código en la tabla de correspondencias.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Segundo intento: coincidencia por denominación normalizada (lower, sin acentos, sin stopwords) usando rapidfuzz con umbral ≥ 92.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Tercer intento: revisión manual asistida — la fila queda marcada concept=NULL y se incluye en un parquet de "pendientes" que se revisa en notebook semanal.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La normalización gestiona también las prórrogas presupuestarias (cuando una CCAA entra en un ejercicio con el presupuesto del año anterior): el campo es_prorroga=TRUE y se replica la fuente del ejercicio anterior con el nuevo año etiquetado para preservar la serie temporal sin saltos.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7A8C"/>
          <w:sz w:val="28"/>
          <w:szCs w:val="28"/>
        </w:rPr>
        <w:t xml:space="preserve">4.4. Modelado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El esquema en PostgreSQL es relacional clásico, optimizado para series temporales y agregaciones por concepto-ejercicio-CCAA.</w:t>
      </w:r>
    </w:p>
    <w:p>
      <w:pPr>
        <w:pBdr>
          <w:left w:val="single" w:color="1F7A8C" w:sz="18" w:space="8"/>
        </w:pBdr>
        <w:shd w:fill="F1F5F7" w:color="auto" w:val="clear"/>
        <w:spacing w:after="80" w:before="80" w:line="260"/>
      </w:pPr>
      <w:r>
        <w:rPr>
          <w:rFonts w:ascii="Consolas" w:cs="Consolas" w:eastAsia="Consolas" w:hAnsi="Consolas"/>
          <w:color w:val="0B5C72"/>
          <w:sz w:val="20"/>
          <w:szCs w:val="20"/>
        </w:rPr>
        <w:t xml:space="preserve">CREATE SCHEMA presupuestos;
CREATE TABLE presupuestos.dim_ccaa (
  id_ccaa     CHAR(3) PRIMARY KEY,
  nombre      TEXT NOT NULL,
  regimen     TEXT CHECK (regimen IN ('comun','foral')),
  pob_estimada INTEGER
);
CREATE TABLE presupuestos.dim_concepto (
  id_concepto SERIAL PRIMARY KEY,
  codigo      TEXT NOT NULL,
  nombre      TEXT NOT NULL,
  tipo        TEXT CHECK (tipo IN ('funcion','seccion','programa','ente')),
  UNIQUE (codigo, nombre)
);
CREATE TABLE presupuestos.dim_ejercicio (
  ejercicio   INTEGER PRIMARY KEY,
  estado      TEXT CHECK (estado IN ('aprobado','prorrogado','proyecto'))
);
CREATE TABLE presupuestos.fact_gasto (
  id              BIGSERIAL PRIMARY KEY,
  id_ccaa         CHAR(3) REFERENCES presupuestos.dim_ccaa(id_ccaa),
  id_concepto     INTEGER REFERENCES presupuestos.dim_concepto(id_concepto),
  ejercicio       INTEGER REFERENCES presupuestos.dim_ejercicio(ejercicio),
  importe_eur     NUMERIC(18,2) NOT NULL,
  capitulo        INTEGER,
  fuente_url      TEXT,
  fuente_hash     CHAR(64),
  fecha_captura   TIMESTAMP DEFAULT NOW(),
  es_prorroga     BOOLEAN DEFAULT FALSE,
  UNIQUE (id_ccaa, id_concepto, ejercicio, capitulo)
);
CREATE INDEX idx_fact_gasto_ccaa_ej ON presupuestos.fact_gasto (id_ccaa, ejercicio);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7A8C"/>
          <w:sz w:val="28"/>
          <w:szCs w:val="28"/>
        </w:rPr>
        <w:t xml:space="preserve">4.5. Indicadores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Sobre fact_gasto se materializan indicadores que se publican en la web. Los principales son: porcentaje sobre PIB (datos INE-Contabilidad Regional, último PIB disponible), euros por habitante (cifras de población a 1 de enero), variación interanual nominal y real (deflactado con IPC nacional y autonómico). Las vistas materializadas se refrescan tras cada carga.</w:t>
      </w:r>
    </w:p>
    <w:p>
      <w:pPr>
        <w:pBdr>
          <w:left w:val="single" w:color="1F7A8C" w:sz="18" w:space="8"/>
        </w:pBdr>
        <w:shd w:fill="F1F5F7" w:color="auto" w:val="clear"/>
        <w:spacing w:after="80" w:before="80" w:line="260"/>
      </w:pPr>
      <w:r>
        <w:rPr>
          <w:rFonts w:ascii="Consolas" w:cs="Consolas" w:eastAsia="Consolas" w:hAnsi="Consolas"/>
          <w:color w:val="0B5C72"/>
          <w:sz w:val="20"/>
          <w:szCs w:val="20"/>
        </w:rPr>
        <w:t xml:space="preserve">CREATE MATERIALIZED VIEW presupuestos.mv_indicadores AS
SELECT
  c.id_ccaa, c.nombre AS ccaa, e.ejercicio, k.nombre AS concepto,
  k.tipo AS procedencia, g.importe_eur,
  g.importe_eur / p.pib_eur * 100 AS pct_pib,
  g.importe_eur / p.poblacion AS eur_per_capita
FROM presupuestos.fact_gasto g
JOIN presupuestos.dim_ccaa c USING (id_ccaa)
JOIN presupuestos.dim_concepto k USING (id_concepto)
JOIN presupuestos.dim_ejercicio e USING (ejercicio)
JOIN externo.pib_poblacion p
  ON p.id_ccaa = g.id_ccaa AND p.ejercicio = g.ejercicio;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7A8C"/>
          <w:sz w:val="28"/>
          <w:szCs w:val="28"/>
        </w:rPr>
        <w:t xml:space="preserve">4.6. Visualización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La capa visual se sirve desde Shiny/Quarto (R, sintaxis principal del equipo) y desde D3.js para piezas interactivas embebibles. El backend expone una API REST en FastAPI con endpoints /indicadores y /gasto/{ccaa}/{ejercicio} que sirven JSON directamente desde las vistas materializadas. La caché HTTP se gestiona con cache-control: max-age=86400 (datos presupuestarios anuales, no cambian a diario).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7A8C"/>
          <w:sz w:val="28"/>
          <w:szCs w:val="28"/>
        </w:rPr>
        <w:t xml:space="preserve">4.7. Validación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Cada carga lanza una batería de chequeos en CI/CD: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Conciliación: la suma de fact_gasto por CCAA y ejercicio debe encajar (±0,5%) con los totales publicados por el Ministerio de Hacienda en su tabla de "Gasto consolidado por política de gasto".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Cobertura: cada uno de los 13 conceptos de la matriz debe tener al menos una fila por CCAA y ejercicio. Si falta, se emite alerta.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Outliers: si el importe de un concepto se aparta más de tres desviaciones típicas de su media histórica, se levanta un flag.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Ley de Benford: se aplica a la primera cifra significativa de fact_gasto. Desviaciones superiores a chi-cuadrado p&lt;0,01 disparan revisión manual.</w:t>
      </w:r>
    </w:p>
    <w:p>
      <w:pPr>
        <w:pStyle w:val="Heading1"/>
        <w:pageBreakBefore/>
        <w:spacing w:after="160" w:before="320"/>
      </w:pPr>
      <w:r>
        <w:rPr>
          <w:rFonts w:ascii="Calibri" w:cs="Calibri" w:eastAsia="Calibri" w:hAnsi="Calibri"/>
          <w:b/>
          <w:bCs/>
          <w:color w:val="0E3A53"/>
          <w:sz w:val="40"/>
          <w:szCs w:val="40"/>
        </w:rPr>
        <w:t xml:space="preserve">5. Automatización con GitHub Actions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Tres workflows componen la cadena CI/CD: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7A8C"/>
          <w:sz w:val="28"/>
          <w:szCs w:val="28"/>
        </w:rPr>
        <w:t xml:space="preserve">5.1. extract.yml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Programado con cron en cada 28 del mes. Recorre fuentes.yml, descarga novedades, ejecuta parseo y normalización, y abre un Pull Request automático si detecta filas nuevas o cambios de hash. El PR contiene el diff sobre la tabla normalizada para revisión humana antes del merge.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7A8C"/>
          <w:sz w:val="28"/>
          <w:szCs w:val="28"/>
        </w:rPr>
        <w:t xml:space="preserve">5.2. validate.yml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Disparado en push a main y en cada PR. Levanta una instancia efímera de PostgreSQL en contenedor, carga el dataset y ejecuta la batería de validaciones. Falla la build si algún chequeo crítico no pasa.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7A8C"/>
          <w:sz w:val="28"/>
          <w:szCs w:val="28"/>
        </w:rPr>
        <w:t xml:space="preserve">5.3. deploy.yml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Disparado tras merge a main. Refresca las vistas materializadas en el PostgreSQL de producción (Supabase) y purga la caché del CDN que sirve los dashboards.</w:t>
      </w:r>
    </w:p>
    <w:p>
      <w:pPr>
        <w:pStyle w:val="Heading1"/>
        <w:pageBreakBefore/>
        <w:spacing w:after="160" w:before="320"/>
      </w:pPr>
      <w:r>
        <w:rPr>
          <w:rFonts w:ascii="Calibri" w:cs="Calibri" w:eastAsia="Calibri" w:hAnsi="Calibri"/>
          <w:b/>
          <w:bCs/>
          <w:color w:val="0E3A53"/>
          <w:sz w:val="40"/>
          <w:szCs w:val="40"/>
        </w:rPr>
        <w:t xml:space="preserve">6. Limitaciones conocidas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Salud mental: en al menos siete CCAA (Aragón, Cantabria, CyL, CLM, Extremadura, La Rioja, Murcia, Galicia, Euskadi) no se publica como programa diferenciado y la cifra solo es deducible vía subprograma o partida orgánica. Se anota explícitamente en la columna procedencia y el dato lleva flag estimado=TRUE.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Diversidad: el concepto es multidimensional (LGTBI, migraciones, etnias). El pipeline produce tres subconceptos diferenciados; la agregación a "Diversidad" debe leerse como una suma técnica más que como una política pública unificada.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Igualdad: cuando no existe ente independiente, el dato proviene de programas. La comparación se realiza con la suma del programa de la mujer + violencia de género.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Andalucía y Cataluña aplican codificación interna divergente del estándar Hacienda. La tabla de correspondencias resuelve la traducción concepto a concepto.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Euskadi cambió el formato CSV en 2022 (paso a tidy). El parser tiene dos motores y se selecciona automáticamente por ejercicio.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Cataluña y Comunitat Valenciana han operado con presupuestos prorrogados en varios ejercicios. El campo es_prorroga marca esta condición y el dashboard lo sombrea para que el usuario lo distinga.</w:t>
      </w:r>
    </w:p>
    <w:p>
      <w:pPr>
        <w:pStyle w:val="Heading1"/>
        <w:pageBreakBefore/>
        <w:spacing w:after="160" w:before="320"/>
      </w:pPr>
      <w:r>
        <w:rPr>
          <w:rFonts w:ascii="Calibri" w:cs="Calibri" w:eastAsia="Calibri" w:hAnsi="Calibri"/>
          <w:b/>
          <w:bCs/>
          <w:color w:val="0E3A53"/>
          <w:sz w:val="40"/>
          <w:szCs w:val="40"/>
        </w:rPr>
        <w:t xml:space="preserve">7. Roadmap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Q3 2026: incorporar liquidaciones (presupuesto ejecutado) además de presupuesto inicial.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Q4 2026: integrar ejecución mensual del SGCIEF (Hacienda) para series infraanuales.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Q1 2027: añadir cabildos y ayuntamientos de Canarias (capa local).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Q2 2027: abrir API pública con autenticación opcional vía API key.</w:t>
      </w:r>
    </w:p>
    <w:p>
      <w:pPr>
        <w:pStyle w:val="Heading1"/>
        <w:pageBreakBefore/>
        <w:spacing w:after="160" w:before="320"/>
      </w:pPr>
      <w:r>
        <w:rPr>
          <w:rFonts w:ascii="Calibri" w:cs="Calibri" w:eastAsia="Calibri" w:hAnsi="Calibri"/>
          <w:b/>
          <w:bCs/>
          <w:color w:val="0E3A53"/>
          <w:sz w:val="40"/>
          <w:szCs w:val="40"/>
        </w:rPr>
        <w:t xml:space="preserve">8. Cierre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El pipeline está pensado para crecer sin reescrituras: la única pieza que debe actualizarse al añadir un ejercicio es fuentes.yml; la única pieza que cambia al añadir una CCAA o un concepto es la tabla de correspondencias. Todo lo demás —parseo, normalización, modelado, indicadores, validación— es ortogonal a estos cambios y se mantiene estable.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0"/>
      </w:tabs>
    </w:pPr>
    <w:r>
      <w:rPr>
        <w:rFonts w:ascii="Calibri" w:cs="Calibri" w:eastAsia="Calibri" w:hAnsi="Calibri"/>
        <w:color w:val="5C6770"/>
        <w:sz w:val="16"/>
        <w:szCs w:val="16"/>
      </w:rPr>
      <w:t xml:space="preserve">Pipeline de extracción presupuestaria — metodología</w:t>
    </w:r>
    <w:r>
      <w:rPr>
        <w:sz w:val="16"/>
        <w:szCs w:val="16"/>
      </w:rPr>
      <w:t xml:space="preserve">	</w:t>
    </w:r>
    <w:r>
      <w:rPr>
        <w:rFonts w:ascii="Calibri" w:cs="Calibri" w:eastAsia="Calibri" w:hAnsi="Calibri"/>
        <w:color w:val="5C6770"/>
        <w:sz w:val="16"/>
        <w:szCs w:val="16"/>
      </w:rPr>
      <w:t xml:space="preserve">Página </w:t>
    </w:r>
    <w:r>
      <w:rPr>
        <w:rFonts w:ascii="Calibri" w:cs="Calibri" w:eastAsia="Calibri" w:hAnsi="Calibri"/>
        <w:color w:val="5C67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C6770"/>
        <w:sz w:val="16"/>
        <w:szCs w:val="16"/>
      </w:rPr>
      <w:t xml:space="preserve"> · </w:t>
    </w:r>
    <w:r>
      <w:rPr>
        <w:rFonts w:ascii="Calibri" w:cs="Calibri" w:eastAsia="Calibri" w:hAnsi="Calibri"/>
        <w:color w:val="5C677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C6770"/>
        <w:sz w:val="16"/>
        <w:szCs w:val="16"/>
      </w:rPr>
      <w:t xml:space="preserve">ODESOCAN · Canarias en Datos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1F2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0E3A53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F7A8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0E3A5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Pipeline de extracción presupuestaria — metodología</dc:title>
  <dc:creator>ODESOCAN — Canarias en Datos</dc:creator>
  <dc:description>Documento metodológico complementario a la tabla de correspondencias.</dc:description>
  <cp:lastModifiedBy>Un-named</cp:lastModifiedBy>
  <cp:revision>1</cp:revision>
  <dcterms:created xsi:type="dcterms:W3CDTF">2026-05-11T12:30:53.670Z</dcterms:created>
  <dcterms:modified xsi:type="dcterms:W3CDTF">2026-05-11T12:30:53.670Z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