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39958B" w14:textId="77777777" w:rsidR="00F34245" w:rsidRDefault="00000000">
      <w:pPr>
        <w:pBdr>
          <w:bottom w:val="single" w:sz="18" w:space="6" w:color="44E597"/>
        </w:pBdr>
        <w:spacing w:before="200" w:after="160"/>
      </w:pPr>
      <w:r>
        <w:rPr>
          <w:b/>
          <w:bCs/>
          <w:sz w:val="52"/>
          <w:szCs w:val="52"/>
        </w:rPr>
        <w:t>Cuaderno metodológico</w:t>
      </w:r>
    </w:p>
    <w:p w14:paraId="1D2AEB23" w14:textId="77777777" w:rsidR="00F34245" w:rsidRDefault="00000000">
      <w:pPr>
        <w:spacing w:after="280"/>
      </w:pPr>
      <w:r>
        <w:rPr>
          <w:color w:val="1DB96A"/>
          <w:sz w:val="40"/>
          <w:szCs w:val="40"/>
        </w:rPr>
        <w:t>Pipeline Sanidad</w:t>
      </w:r>
    </w:p>
    <w:p w14:paraId="128B57F0" w14:textId="77777777" w:rsidR="00F34245" w:rsidRDefault="00000000">
      <w:pPr>
        <w:spacing w:after="80"/>
      </w:pPr>
      <w:r>
        <w:rPr>
          <w:b/>
          <w:bCs/>
        </w:rPr>
        <w:t>Canarias en Datos</w:t>
      </w:r>
    </w:p>
    <w:p w14:paraId="06B94AD6" w14:textId="77777777" w:rsidR="00F34245" w:rsidRDefault="00000000">
      <w:pPr>
        <w:spacing w:after="280"/>
      </w:pPr>
      <w:r>
        <w:rPr>
          <w:color w:val="5A6472"/>
        </w:rPr>
        <w:t>Versión del documento: 22/07/2026 · rev. selección de indicadores</w:t>
      </w:r>
    </w:p>
    <w:p w14:paraId="0D78B382" w14:textId="73A781C3" w:rsidR="00F34245" w:rsidRDefault="00000000">
      <w:pPr>
        <w:shd w:val="clear" w:color="auto" w:fill="D4F7E8"/>
        <w:spacing w:before="160" w:after="160"/>
        <w:ind w:left="200" w:right="200"/>
      </w:pPr>
      <w:r>
        <w:rPr>
          <w:b/>
          <w:bCs/>
          <w:color w:val="1DB96A"/>
        </w:rPr>
        <w:t xml:space="preserve">Objeto del documento: </w:t>
      </w:r>
      <w:r>
        <w:t xml:space="preserve">documentar la arquitectura modular del pipeline del área de Sanidad de Canarias en Datos, su fuente troncal -los Indicadores Clave del Sistema Nacional de Salud (INCLASNS) del Ministerio de Sanidad-, el catálogo de indicadores disponibles y sus criterios de selección, el marco de evaluación intercomunitaria de modelos sanitarios, las reglas de estandarización, ajuste por necesidad y proyección, las zonas sensibles de actualización y la hoja de ruta para su automatización y mantenimiento.</w:t>
      </w:r>
    </w:p>
    <w:p w14:paraId="6A8B4BCE" w14:textId="77777777" w:rsidR="00F34245" w:rsidRDefault="00F34245">
      <w:pPr>
        <w:spacing w:after="400"/>
      </w:pPr>
    </w:p>
    <w:p w14:paraId="7CE805E8" w14:textId="77777777" w:rsidR="00F34245" w:rsidRDefault="00000000">
      <w:pPr>
        <w:pStyle w:val="Ttulo1"/>
      </w:pPr>
      <w:r>
        <w:t>1. Organización modular del pipeline</w:t>
      </w:r>
    </w:p>
    <w:p w14:paraId="6C37A0F2" w14:textId="077557D2" w:rsidR="00F34245" w:rsidRDefault="00000000">
      <w:pPr>
        <w:spacing w:after="160"/>
      </w:pPr>
      <w:r>
        <w:t xml:space="preserve">El área de Sanidad se estructura sobre la arquitectura modular estándar de Canarias en Datos, ya consolidada y probada en el área hermana de Salud Mental, con la que comparte la fuente troncal (INCLASNS) y la infraestructura común de R. El pipeline separa las cinco etapas canónicas del observatorio -extracción, transformación, modelado, carga y visualización- orquestadas por un maestro con interfaz de línea de comandos. A la fecha de este documento el área se encuentra en fase fundacional: la arquitectura y las funciones compartidas están disponibles y verificadas contra la API del Ministerio de Sanidad; la implementación de los scripts específicos de Sanidad es el paso inmediatamente posterior a la validación de este cuaderno.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2477"/>
        <w:gridCol w:w="1882"/>
        <w:gridCol w:w="2031"/>
      </w:tblGrid>
      <w:tr w:rsidR="00F34245" w14:paraId="3D4AB5B1" w14:textId="77777777">
        <w:tblPrEx>
          <w:tblCellMar>
            <w:top w:w="0" w:type="dxa"/>
            <w:bottom w:w="0" w:type="dxa"/>
          </w:tblCellMar>
        </w:tblPrEx>
        <w:trPr>
          <w:tblHeader/>
        </w:trPr>
        <w:tc>
          <w:tcPr>
            <w:tcW w:w="2200"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2D2653EF" w14:textId="77777777" w:rsidR="00F34245" w:rsidRDefault="00000000">
            <w:pPr>
              <w:jc w:val="center"/>
            </w:pPr>
            <w:r>
              <w:rPr>
                <w:b/>
                <w:bCs/>
                <w:sz w:val="20"/>
                <w:szCs w:val="20"/>
              </w:rPr>
              <w:t>Módulo</w:t>
            </w:r>
          </w:p>
        </w:tc>
        <w:tc>
          <w:tcPr>
            <w:tcW w:w="3000"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326EC095" w14:textId="77777777" w:rsidR="00F34245" w:rsidRDefault="00000000">
            <w:pPr>
              <w:jc w:val="center"/>
            </w:pPr>
            <w:r>
              <w:rPr>
                <w:b/>
                <w:bCs/>
                <w:sz w:val="20"/>
                <w:szCs w:val="20"/>
              </w:rPr>
              <w:t>Función principal</w:t>
            </w:r>
          </w:p>
        </w:tc>
        <w:tc>
          <w:tcPr>
            <w:tcW w:w="2100"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5DDED5EA" w14:textId="77777777" w:rsidR="00F34245" w:rsidRDefault="00000000">
            <w:pPr>
              <w:jc w:val="center"/>
            </w:pPr>
            <w:r>
              <w:rPr>
                <w:b/>
                <w:bCs/>
                <w:sz w:val="20"/>
                <w:szCs w:val="20"/>
              </w:rPr>
              <w:t>Entradas</w:t>
            </w:r>
          </w:p>
        </w:tc>
        <w:tc>
          <w:tcPr>
            <w:tcW w:w="2338"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48C15E47" w14:textId="77777777" w:rsidR="00F34245" w:rsidRDefault="00000000">
            <w:pPr>
              <w:jc w:val="center"/>
            </w:pPr>
            <w:r>
              <w:rPr>
                <w:b/>
                <w:bCs/>
                <w:sz w:val="20"/>
                <w:szCs w:val="20"/>
              </w:rPr>
              <w:t>Salidas</w:t>
            </w:r>
          </w:p>
        </w:tc>
      </w:tr>
      <w:tr w:rsidR="00F34245" w14:paraId="6E01666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629105A" w14:textId="77777777" w:rsidR="00F34245" w:rsidRDefault="00000000">
            <w:r>
              <w:rPr>
                <w:b/>
                <w:bCs/>
                <w:color w:val="1DB96A"/>
                <w:sz w:val="20"/>
                <w:szCs w:val="20"/>
              </w:rPr>
              <w:t>00_maestro.R</w:t>
            </w:r>
          </w:p>
        </w:tc>
        <w:tc>
          <w:tcPr>
            <w:tcW w:w="30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206550B9" w14:textId="77777777" w:rsidR="00F34245" w:rsidRDefault="00000000">
            <w:r>
              <w:rPr>
                <w:sz w:val="20"/>
                <w:szCs w:val="20"/>
              </w:rPr>
              <w:t>Orquesta las cinco etapas mediante CLI; detecta la raíz del proyecto y ejecuta cada fase según los parámetros recibidos.</w:t>
            </w:r>
          </w:p>
        </w:tc>
        <w:tc>
          <w:tcPr>
            <w:tcW w:w="21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9D67EA1" w14:textId="77777777" w:rsidR="00F34245" w:rsidRDefault="00000000">
            <w:r>
              <w:rPr>
                <w:sz w:val="20"/>
                <w:szCs w:val="20"/>
              </w:rPr>
              <w:t>Parámetros --steps, --with-db, --horizon-year, --cv-folds</w:t>
            </w:r>
          </w:p>
        </w:tc>
        <w:tc>
          <w:tcPr>
            <w:tcW w:w="23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4C4D3E2" w14:textId="77777777" w:rsidR="00F34245" w:rsidRDefault="00000000">
            <w:r>
              <w:rPr>
                <w:sz w:val="20"/>
                <w:szCs w:val="20"/>
              </w:rPr>
              <w:t>Ejecución secuencial y verificación de artefactos finales</w:t>
            </w:r>
          </w:p>
        </w:tc>
      </w:tr>
      <w:tr w:rsidR="00F34245" w14:paraId="3719F8C3"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C3884A" w14:textId="77777777" w:rsidR="00F34245" w:rsidRDefault="00000000">
            <w:r>
              <w:rPr>
                <w:b/>
                <w:bCs/>
                <w:color w:val="1DB96A"/>
                <w:sz w:val="20"/>
                <w:szCs w:val="20"/>
              </w:rPr>
              <w:t>R/ccaa_dictionary.R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6506229" w14:textId="77777777" w:rsidR="00F34245" w:rsidRDefault="00000000">
            <w:r>
              <w:rPr>
                <w:sz w:val="20"/>
                <w:szCs w:val="20"/>
              </w:rPr>
              <w:t>Normaliza el catálogo territorial y unifica las variantes de nombre de las comunidades autónomas procedentes de la API INCLASNS y del INE (incluye el literal «espana» como media estatal).</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D2B295" w14:textId="77777777" w:rsidR="00F34245" w:rsidRDefault="00000000">
            <w:r>
              <w:rPr>
                <w:sz w:val="20"/>
                <w:szCs w:val="20"/>
              </w:rPr>
              <w:t>Nombres de CCAA en múltiples formatos y codificaciones</w:t>
            </w:r>
          </w:p>
        </w:tc>
        <w:tc>
          <w:tcPr>
            <w:tcW w:w="23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19E95B" w14:textId="77777777" w:rsidR="00F34245" w:rsidRDefault="00000000">
            <w:r>
              <w:rPr>
                <w:sz w:val="20"/>
                <w:szCs w:val="20"/>
              </w:rPr>
              <w:t>Diccionario canónico de niveles territoriales y tabla de equivalencias</w:t>
            </w:r>
          </w:p>
        </w:tc>
      </w:tr>
      <w:tr w:rsidR="00F34245" w14:paraId="21435B71"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A692D3A" w14:textId="77777777" w:rsidR="00F34245" w:rsidRDefault="00000000">
            <w:r>
              <w:rPr>
                <w:b/>
                <w:bCs/>
                <w:color w:val="1DB96A"/>
                <w:sz w:val="20"/>
                <w:szCs w:val="20"/>
              </w:rPr>
              <w:t>R/pipeline_utils.R</w:t>
            </w:r>
          </w:p>
        </w:tc>
        <w:tc>
          <w:tcPr>
            <w:tcW w:w="30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2FF8F97D" w14:textId="77777777" w:rsidR="00F34245" w:rsidRDefault="00000000">
            <w:r>
              <w:rPr>
                <w:sz w:val="20"/>
                <w:szCs w:val="20"/>
              </w:rPr>
              <w:t xml:space="preserve">Aporta el cliente de la API INCLASNS (sns_get_indicador), validaciones, logging, parseo de argumentos, configuración de rutas e indicadores y funciones de calidad compartidas.</w:t>
            </w:r>
          </w:p>
        </w:tc>
        <w:tc>
          <w:tcPr>
            <w:tcW w:w="21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D880E24" w14:textId="77777777" w:rsidR="00F34245" w:rsidRDefault="00000000">
            <w:r>
              <w:rPr>
                <w:sz w:val="20"/>
                <w:szCs w:val="20"/>
              </w:rPr>
              <w:t xml:space="preserve">Argumentos CLI, variables de entorno y datasets intermedios</w:t>
            </w:r>
          </w:p>
        </w:tc>
        <w:tc>
          <w:tcPr>
            <w:tcW w:w="23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7938432" w14:textId="77777777" w:rsidR="00F34245" w:rsidRDefault="00000000">
            <w:r>
              <w:rPr>
                <w:sz w:val="20"/>
                <w:szCs w:val="20"/>
              </w:rPr>
              <w:t>Funciones auxiliares reutilizables y configuración centralizada</w:t>
            </w:r>
          </w:p>
        </w:tc>
      </w:tr>
      <w:tr w:rsidR="00F34245" w14:paraId="4071E4A8"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17B965" w14:textId="77777777" w:rsidR="00F34245" w:rsidRDefault="00000000">
            <w:r>
              <w:rPr>
                <w:b/>
                <w:bCs/>
                <w:color w:val="1DB96A"/>
                <w:sz w:val="20"/>
                <w:szCs w:val="20"/>
              </w:rPr>
              <w:lastRenderedPageBreak/>
              <w:t>1_extraccion/extraccion.R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302C23" w14:textId="77777777" w:rsidR="00F34245" w:rsidRDefault="00000000">
            <w:r>
              <w:rPr>
                <w:sz w:val="20"/>
                <w:szCs w:val="20"/>
              </w:rPr>
              <w:t>Descarga los indicadores seleccionados del INCLASNS y las series poblacionales de denominador; valida cada raw antes de persistirlo.</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1A0963" w14:textId="77777777" w:rsidR="00F34245" w:rsidRDefault="00000000">
            <w:r>
              <w:rPr>
                <w:sz w:val="20"/>
                <w:szCs w:val="20"/>
              </w:rPr>
              <w:t>API INCLASNS (Ministerio de Sanidad), INE (denominadores)</w:t>
            </w:r>
          </w:p>
        </w:tc>
        <w:tc>
          <w:tcPr>
            <w:tcW w:w="23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E71087" w14:textId="77777777" w:rsidR="00F34245" w:rsidRDefault="00000000">
            <w:r>
              <w:rPr>
                <w:sz w:val="20"/>
                <w:szCs w:val="20"/>
              </w:rPr>
              <w:t xml:space="preserve">Datasets RDS en 1_extraccion</w:t>
            </w:r>
          </w:p>
        </w:tc>
      </w:tr>
      <w:tr w:rsidR="00F34245" w14:paraId="454C0983"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C5DE429" w14:textId="77777777" w:rsidR="00F34245" w:rsidRDefault="00000000">
            <w:r>
              <w:rPr>
                <w:b/>
                <w:bCs/>
                <w:color w:val="1DB96A"/>
                <w:sz w:val="20"/>
                <w:szCs w:val="20"/>
              </w:rPr>
              <w:t>2_transformacion/transformacion.R</w:t>
            </w:r>
          </w:p>
        </w:tc>
        <w:tc>
          <w:tcPr>
            <w:tcW w:w="30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906DEA5" w14:textId="1B521202" w:rsidR="00F34245" w:rsidRDefault="00000000">
            <w:r>
              <w:rPr>
                <w:sz w:val="20"/>
                <w:szCs w:val="20"/>
              </w:rPr>
              <w:t xml:space="preserve">Homogeneíza cada indicador, normaliza género y territorio, aplica la estandarización por edad y el ajuste por necesidad, y construye el dataset longitudinal dimensional.</w:t>
            </w:r>
          </w:p>
        </w:tc>
        <w:tc>
          <w:tcPr>
            <w:tcW w:w="21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47985368" w14:textId="77777777" w:rsidR="00F34245" w:rsidRDefault="00000000">
            <w:r>
              <w:rPr>
                <w:sz w:val="20"/>
                <w:szCs w:val="20"/>
              </w:rPr>
              <w:t>RDS de extracción</w:t>
            </w:r>
          </w:p>
        </w:tc>
        <w:tc>
          <w:tcPr>
            <w:tcW w:w="23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39C49319" w14:textId="77777777" w:rsidR="00F34245" w:rsidRDefault="00000000">
            <w:r>
              <w:rPr>
                <w:sz w:val="20"/>
                <w:szCs w:val="20"/>
              </w:rPr>
              <w:t xml:space="preserve">ced_sanidad.rds en 2_transformacion</w:t>
            </w:r>
          </w:p>
        </w:tc>
      </w:tr>
      <w:tr w:rsidR="00F34245" w14:paraId="6632A683"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15C1DB" w14:textId="77777777" w:rsidR="00F34245" w:rsidRDefault="00000000">
            <w:r>
              <w:rPr>
                <w:b/>
                <w:bCs/>
                <w:color w:val="1DB96A"/>
                <w:sz w:val="20"/>
                <w:szCs w:val="20"/>
              </w:rPr>
              <w:t>3_modelado/modelado.R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BAAB2E" w14:textId="77777777" w:rsidR="00F34245" w:rsidRDefault="00000000">
            <w:r>
              <w:rPr>
                <w:sz w:val="20"/>
                <w:szCs w:val="20"/>
              </w:rPr>
              <w:t>Proyecta las series temporales aptas mediante selección automática de algoritmo y marca cada fila con la bandera origen (real/proyección).</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45B52A" w14:textId="77777777" w:rsidR="00F34245" w:rsidRDefault="00000000">
            <w:r>
              <w:rPr>
                <w:sz w:val="20"/>
                <w:szCs w:val="20"/>
              </w:rPr>
              <w:t>RDS de transformación</w:t>
            </w:r>
          </w:p>
        </w:tc>
        <w:tc>
          <w:tcPr>
            <w:tcW w:w="23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43E19A" w14:textId="77777777" w:rsidR="00F34245" w:rsidRDefault="00000000">
            <w:r>
              <w:rPr>
                <w:sz w:val="20"/>
                <w:szCs w:val="20"/>
              </w:rPr>
              <w:t xml:space="preserve">ced_sanidad.rds en 3_modelado y CSVs de selección de algoritmo</w:t>
            </w:r>
          </w:p>
        </w:tc>
      </w:tr>
      <w:tr w:rsidR="00F34245" w14:paraId="2E88C76C"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402ADA10" w14:textId="77777777" w:rsidR="00F34245" w:rsidRDefault="00000000">
            <w:r>
              <w:rPr>
                <w:b/>
                <w:bCs/>
                <w:color w:val="1DB96A"/>
                <w:sz w:val="20"/>
                <w:szCs w:val="20"/>
              </w:rPr>
              <w:t>4_carga/carga.R</w:t>
            </w:r>
          </w:p>
        </w:tc>
        <w:tc>
          <w:tcPr>
            <w:tcW w:w="30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46FC75EC" w14:textId="77777777" w:rsidR="00F34245" w:rsidRDefault="00000000">
            <w:r>
              <w:rPr>
                <w:sz w:val="20"/>
                <w:szCs w:val="20"/>
              </w:rPr>
              <w:t xml:space="preserve">Construye las tablas de distribución global_sanidad (género total) y gen_sanidad (hombres/mujeres), exporta CSV y XLSX y, con --with-db, las carga en Supabase (schema canendatos).</w:t>
            </w:r>
          </w:p>
        </w:tc>
        <w:tc>
          <w:tcPr>
            <w:tcW w:w="21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5E44BDF7" w14:textId="77777777" w:rsidR="00F34245" w:rsidRDefault="00000000">
            <w:r>
              <w:rPr>
                <w:sz w:val="20"/>
                <w:szCs w:val="20"/>
              </w:rPr>
              <w:t>RDS de modelado</w:t>
            </w:r>
          </w:p>
        </w:tc>
        <w:tc>
          <w:tcPr>
            <w:tcW w:w="23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0E38A7C4" w14:textId="77777777" w:rsidR="00F34245" w:rsidRDefault="00000000">
            <w:r>
              <w:rPr>
                <w:sz w:val="20"/>
                <w:szCs w:val="20"/>
              </w:rPr>
              <w:t xml:space="preserve">global_sanidad y gen_sanidad (CSV, XLSX y tablas en Supabase)</w:t>
            </w:r>
          </w:p>
        </w:tc>
      </w:tr>
      <w:tr w:rsidR="00F34245" w14:paraId="3B7150E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573D12" w14:textId="77777777" w:rsidR="00F34245" w:rsidRDefault="00000000">
            <w:r>
              <w:rPr>
                <w:b/>
                <w:bCs/>
                <w:color w:val="1DB96A"/>
                <w:sz w:val="20"/>
                <w:szCs w:val="20"/>
              </w:rPr>
              <w:t>5_visualizacion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CEB647" w14:textId="77777777" w:rsidR="00F34245" w:rsidRDefault="00000000">
            <w:r>
              <w:rPr>
                <w:sz w:val="20"/>
                <w:szCs w:val="20"/>
              </w:rPr>
              <w:t xml:space="preserve">Alberga los artefactos de difusión (storytelling D3, cuadros de mando, libros de Tableau/Power BI) construidos sobre la tabla final.</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339A5C" w14:textId="77777777" w:rsidR="00F34245" w:rsidRDefault="00000000">
            <w:r>
              <w:rPr>
                <w:sz w:val="20"/>
                <w:szCs w:val="20"/>
              </w:rPr>
              <w:t xml:space="preserve">global_sanidad / gen_sanidad</w:t>
            </w:r>
          </w:p>
        </w:tc>
        <w:tc>
          <w:tcPr>
            <w:tcW w:w="23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B589B8" w14:textId="77777777" w:rsidR="00F34245" w:rsidRDefault="00000000">
            <w:r>
              <w:rPr>
                <w:sz w:val="20"/>
                <w:szCs w:val="20"/>
              </w:rPr>
              <w:t>Visualizaciones y cuadros de mando públicos</w:t>
            </w:r>
          </w:p>
        </w:tc>
      </w:tr>
    </w:tbl>
    <w:p w14:paraId="053A8252" w14:textId="77777777" w:rsidR="00F34245" w:rsidRDefault="00F34245">
      <w:pPr>
        <w:spacing w:after="200"/>
      </w:pPr>
    </w:p>
    <w:p w14:paraId="30A63EAF" w14:textId="77777777" w:rsidR="00F34245" w:rsidRDefault="00000000">
      <w:pPr>
        <w:spacing w:after="160"/>
      </w:pPr>
      <w:r>
        <w:t xml:space="preserve">Parámetros operativos relevantes: el pipeline admite ejecución parcial por etapas (--steps), activación o no de la escritura en base de datos (--with-db), horizonte temporal de proyección (--horizon-year) y número de folds de validación cruzada (--cv-folds). El directorio raíz se detecta automáticamente mediante los marcadores R/ccaa_dictionary.R, R/pipeline_utils.R y 1_extraccion/extraccion.R, de forma idéntica al resto de áreas del observatorio.</w:t>
      </w:r>
    </w:p>
    <w:p w14:paraId="74BF9092" w14:textId="77777777" w:rsidR="00F34245" w:rsidRDefault="00000000">
      <w:pPr>
        <w:pStyle w:val="Ttulo1"/>
      </w:pPr>
      <w:r>
        <w:t>2. Fuentes y variables tratadas</w:t>
      </w:r>
    </w:p>
    <w:p w14:paraId="741A1870" w14:textId="3079C320" w:rsidR="00F34245" w:rsidRDefault="00000000">
      <w:pPr>
        <w:spacing w:after="160"/>
      </w:pPr>
      <w:r>
        <w:t xml:space="preserve">La fuente troncal del área es el sistema de Indicadores Clave del Sistema Nacional de Salud (INCLASNS) del Ministerio de Sanidad, consultado mediante su API REST autenticada. Frente a un indicador temático único, INCLASNS ofrece un cuadro de mando integral del sistema sanitario que permite la comparación homogénea entre comunidades autónomas -el objeto analítico central de esta área-. El acceso se realiza con las credenciales institucionales de ODESOCAN (usuario investigacion@odesocan.org y token de API), ya provisionadas y compartidas con el área de Salud Mental.</w:t>
      </w:r>
    </w:p>
    <w:p w14:paraId="28287401" w14:textId="77777777" w:rsidR="00F34245" w:rsidRDefault="00000000">
      <w:pPr>
        <w:spacing w:after="160"/>
      </w:pPr>
      <w:r>
        <w:t xml:space="preserve">El catálogo vigente, verificado contra la API el 22/07/2026, contiene 205 indicadores organizados en doce dimensiones sustantivas más una serie poblacional de denominadores (códigos 9000 y siguientes). Las dimensiones cubren de forma equilibrada tanto los resultados en salud de la población como los recursos, el gasto, la accesibilidad, la seguridad y la opinión ciudadana, lo que habilita una evaluación de los modelos </w:t>
        <w:lastRenderedPageBreak/>
        <w:t>sanitarios autonómicos que no se limita al gasto o a la actividad, sino que los pone en relación con los resultados y la equidad.</w:t>
      </w:r>
    </w:p>
    <w:p w14:paraId="32F712D2" w14:textId="4CD23E41" w:rsidR="00F34245" w:rsidRDefault="00000000">
      <w:pPr>
        <w:spacing w:after="160"/>
      </w:pPr>
      <w:r>
        <w:t xml:space="preserve">Los indicadores no son datos primarios del Ministerio: INCLASNS actúa como capa de integración que armoniza fuentes de origen heterogéneas. Las principales son los sistemas de información del propio Ministerio de Sanidad (SIAP, SIAE-ESCRI, Barómetro Sanitario, Encuesta Nacional de Salud y encuestas de determinantes), el INE (indicadores demográficos y de mortalidad), el Instituto de Salud Carlos III (vigilancia epidemiológica, RENAVE), la Organización Nacional de Trasplantes, la DGT, la AEMPS y el PNSD. Esta heterogeneidad de orígenes tiene consecuencias metodológicas -distinta latencia, periodicidad y método- que se documentan en las secciones 3 y 6.</w:t>
      </w:r>
    </w:p>
    <w:p w14:paraId="4B99CE91" w14:textId="77777777" w:rsidR="00F34245" w:rsidRDefault="00F34245">
      <w:pPr>
        <w:spacing w:after="120"/>
      </w:pPr>
    </w:p>
    <w:p w14:paraId="66966711" w14:textId="77777777" w:rsidR="00F34245" w:rsidRDefault="00000000">
      <w:pPr>
        <w:spacing w:after="80"/>
      </w:pPr>
      <w:r>
        <w:rPr>
          <w:b/>
          <w:bCs/>
          <w:color w:val="1DB96A"/>
          <w:sz w:val="20"/>
          <w:szCs w:val="20"/>
        </w:rPr>
        <w:t xml:space="preserve">Tabla 1. </w:t>
      </w:r>
      <w:r>
        <w:rPr>
          <w:color w:val="5A6472"/>
          <w:sz w:val="20"/>
          <w:szCs w:val="20"/>
        </w:rPr>
        <w:t>Dimensiones del catálogo INCLASNS y su papel en la evaluación intercomunitaria.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2600"/>
        <w:gridCol w:w="3538"/>
      </w:tblGrid>
      <w:tr w:rsidR="00F34245" w14:paraId="342D7B83" w14:textId="77777777">
        <w:tblPrEx>
          <w:tblCellMar>
            <w:top w:w="0" w:type="dxa"/>
            <w:bottom w:w="0" w:type="dxa"/>
          </w:tblCellMar>
        </w:tblPrEx>
        <w:trPr>
          <w:tblHeader/>
        </w:trPr>
        <w:tc>
          <w:tcPr>
            <w:tcW w:w="2600"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32FCE193" w14:textId="77777777" w:rsidR="00F34245" w:rsidRDefault="00000000">
            <w:pPr>
              <w:jc w:val="center"/>
            </w:pPr>
            <w:r>
              <w:rPr>
                <w:b/>
                <w:bCs/>
                <w:sz w:val="20"/>
                <w:szCs w:val="20"/>
              </w:rPr>
              <w:t>Dimensión INCLASNS</w:t>
            </w:r>
          </w:p>
        </w:tc>
        <w:tc>
          <w:tcPr>
            <w:tcW w:w="900"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2A669B8C" w14:textId="77777777" w:rsidR="00F34245" w:rsidRDefault="00000000">
            <w:pPr>
              <w:jc w:val="center"/>
            </w:pPr>
            <w:r>
              <w:rPr>
                <w:b/>
                <w:bCs/>
                <w:sz w:val="20"/>
                <w:szCs w:val="20"/>
              </w:rPr>
              <w:t>Indic.</w:t>
            </w:r>
          </w:p>
        </w:tc>
        <w:tc>
          <w:tcPr>
            <w:tcW w:w="2600"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3D6A06DA" w14:textId="77777777" w:rsidR="00F34245" w:rsidRDefault="00000000">
            <w:pPr>
              <w:jc w:val="center"/>
            </w:pPr>
            <w:r>
              <w:rPr>
                <w:b/>
                <w:bCs/>
                <w:sz w:val="20"/>
                <w:szCs w:val="20"/>
              </w:rPr>
              <w:t>Fuente subyacente principal</w:t>
            </w:r>
          </w:p>
        </w:tc>
        <w:tc>
          <w:tcPr>
            <w:tcW w:w="3538"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2795AD7E" w14:textId="77777777" w:rsidR="00F34245" w:rsidRDefault="00000000">
            <w:pPr>
              <w:jc w:val="center"/>
            </w:pPr>
            <w:r>
              <w:rPr>
                <w:b/>
                <w:bCs/>
                <w:sz w:val="20"/>
                <w:szCs w:val="20"/>
              </w:rPr>
              <w:t>Rol en la evaluación intercomunitaria</w:t>
            </w:r>
          </w:p>
        </w:tc>
      </w:tr>
      <w:tr w:rsidR="00F34245" w14:paraId="469648B2"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4FE82808" w14:textId="77777777" w:rsidR="00F34245" w:rsidRDefault="00000000">
            <w:r>
              <w:rPr>
                <w:b/>
                <w:bCs/>
                <w:color w:val="1DB96A"/>
                <w:sz w:val="20"/>
                <w:szCs w:val="20"/>
              </w:rPr>
              <w:t>1. Población y estado de salud</w:t>
            </w:r>
          </w:p>
        </w:tc>
        <w:tc>
          <w:tcPr>
            <w:tcW w:w="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85493C6" w14:textId="77777777" w:rsidR="00F34245" w:rsidRDefault="00000000">
            <w:r>
              <w:rPr>
                <w:sz w:val="20"/>
                <w:szCs w:val="20"/>
              </w:rPr>
              <w:t>11</w:t>
            </w:r>
          </w:p>
        </w:tc>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FB5D6BC" w14:textId="77777777" w:rsidR="00F34245" w:rsidRDefault="00000000">
            <w:r>
              <w:rPr>
                <w:sz w:val="20"/>
                <w:szCs w:val="20"/>
              </w:rPr>
              <w:t>INE · Encuesta Nacional de Salud (ENSE)</w:t>
            </w:r>
          </w:p>
        </w:tc>
        <w:tc>
          <w:tcPr>
            <w:tcW w:w="35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DFBF942" w14:textId="77777777" w:rsidR="00F34245" w:rsidRDefault="00000000">
            <w:r>
              <w:rPr>
                <w:sz w:val="20"/>
                <w:szCs w:val="20"/>
              </w:rPr>
              <w:t>Resultado final: cuánto y con qué calidad de vida se vive (esperanza de vida, años de vida saludable, autopercepción de salud).</w:t>
            </w:r>
          </w:p>
        </w:tc>
      </w:tr>
      <w:tr w:rsidR="00F34245" w14:paraId="3A10847D"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6FA7EA" w14:textId="77777777" w:rsidR="00F34245" w:rsidRDefault="00000000">
            <w:r>
              <w:rPr>
                <w:b/>
                <w:bCs/>
                <w:color w:val="1DB96A"/>
                <w:sz w:val="20"/>
                <w:szCs w:val="20"/>
              </w:rPr>
              <w:t>2. Mortalidad</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8967EA" w14:textId="77777777" w:rsidR="00F34245" w:rsidRDefault="00000000">
            <w:r>
              <w:rPr>
                <w:sz w:val="20"/>
                <w:szCs w:val="20"/>
              </w:rPr>
              <w:t>15</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6466C7" w14:textId="77777777" w:rsidR="00F34245" w:rsidRDefault="00000000">
            <w:r>
              <w:rPr>
                <w:sz w:val="20"/>
                <w:szCs w:val="20"/>
              </w:rPr>
              <w:t>INE · Defunciones por causa</w:t>
            </w:r>
          </w:p>
        </w:tc>
        <w:tc>
          <w:tcPr>
            <w:tcW w:w="35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C7DA5B" w14:textId="77777777" w:rsidR="00F34245" w:rsidRDefault="00000000">
            <w:r>
              <w:rPr>
                <w:sz w:val="20"/>
                <w:szCs w:val="20"/>
              </w:rPr>
              <w:t>Resultado: mortalidad ajustada por edad por grandes causas; base de la mortalidad evitable.</w:t>
            </w:r>
          </w:p>
        </w:tc>
      </w:tr>
      <w:tr w:rsidR="00F34245" w14:paraId="137ADAE4"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26B7886D" w14:textId="77777777" w:rsidR="00F34245" w:rsidRDefault="00000000">
            <w:r>
              <w:rPr>
                <w:b/>
                <w:bCs/>
                <w:color w:val="1DB96A"/>
                <w:sz w:val="20"/>
                <w:szCs w:val="20"/>
              </w:rPr>
              <w:t>3. Morbilidad</w:t>
            </w:r>
          </w:p>
        </w:tc>
        <w:tc>
          <w:tcPr>
            <w:tcW w:w="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9F98F58" w14:textId="77777777" w:rsidR="00F34245" w:rsidRDefault="00000000">
            <w:r>
              <w:rPr>
                <w:sz w:val="20"/>
                <w:szCs w:val="20"/>
              </w:rPr>
              <w:t>19</w:t>
            </w:r>
          </w:p>
        </w:tc>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25FD0354" w14:textId="77777777" w:rsidR="00F34245" w:rsidRDefault="00000000">
            <w:r>
              <w:rPr>
                <w:sz w:val="20"/>
                <w:szCs w:val="20"/>
              </w:rPr>
              <w:t>ISCIII (RENAVE) · SIAE (altas hospitalarias)</w:t>
            </w:r>
          </w:p>
        </w:tc>
        <w:tc>
          <w:tcPr>
            <w:tcW w:w="35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675779E" w14:textId="77777777" w:rsidR="00F34245" w:rsidRDefault="00000000">
            <w:r>
              <w:rPr>
                <w:sz w:val="20"/>
                <w:szCs w:val="20"/>
              </w:rPr>
              <w:t>Carga de enfermedad e ingresos evitables (hospitalizaciones por causas sensibles a la atención primaria).</w:t>
            </w:r>
          </w:p>
        </w:tc>
      </w:tr>
      <w:tr w:rsidR="00F34245" w14:paraId="1A888FB3"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2C2548" w14:textId="77777777" w:rsidR="00F34245" w:rsidRDefault="00000000">
            <w:r>
              <w:rPr>
                <w:b/>
                <w:bCs/>
                <w:color w:val="1DB96A"/>
                <w:sz w:val="20"/>
                <w:szCs w:val="20"/>
              </w:rPr>
              <w:t>4. Estilos de vida</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9F2DCD" w14:textId="77777777" w:rsidR="00F34245" w:rsidRDefault="00000000">
            <w:r>
              <w:rPr>
                <w:sz w:val="20"/>
                <w:szCs w:val="20"/>
              </w:rPr>
              <w:t>12</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ACC180" w14:textId="77777777" w:rsidR="00F34245" w:rsidRDefault="00000000">
            <w:r>
              <w:rPr>
                <w:sz w:val="20"/>
                <w:szCs w:val="20"/>
              </w:rPr>
              <w:t>ENSE · EDADES · ESTUDES</w:t>
            </w:r>
          </w:p>
        </w:tc>
        <w:tc>
          <w:tcPr>
            <w:tcW w:w="35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8835E7" w14:textId="77777777" w:rsidR="00F34245" w:rsidRDefault="00000000">
            <w:r>
              <w:rPr>
                <w:sz w:val="20"/>
                <w:szCs w:val="20"/>
              </w:rPr>
              <w:t>Determinantes proximales: tabaco, alcohol, obesidad, sedentarismo; contextualizan los resultados.</w:t>
            </w:r>
          </w:p>
        </w:tc>
      </w:tr>
      <w:tr w:rsidR="00F34245" w14:paraId="30923FF4"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03FD8306" w14:textId="77777777" w:rsidR="00F34245" w:rsidRDefault="00000000">
            <w:r>
              <w:rPr>
                <w:b/>
                <w:bCs/>
                <w:color w:val="1DB96A"/>
                <w:sz w:val="20"/>
                <w:szCs w:val="20"/>
              </w:rPr>
              <w:t>5. Determinantes socioeconómicos</w:t>
            </w:r>
          </w:p>
        </w:tc>
        <w:tc>
          <w:tcPr>
            <w:tcW w:w="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2F982B1D" w14:textId="77777777" w:rsidR="00F34245" w:rsidRDefault="00000000">
            <w:r>
              <w:rPr>
                <w:sz w:val="20"/>
                <w:szCs w:val="20"/>
              </w:rPr>
              <w:t>12</w:t>
            </w:r>
          </w:p>
        </w:tc>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BBAB845" w14:textId="77777777" w:rsidR="00F34245" w:rsidRDefault="00000000">
            <w:r>
              <w:rPr>
                <w:sz w:val="20"/>
                <w:szCs w:val="20"/>
              </w:rPr>
              <w:t>INE</w:t>
            </w:r>
          </w:p>
        </w:tc>
        <w:tc>
          <w:tcPr>
            <w:tcW w:w="35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453C2CDF" w14:textId="77777777" w:rsidR="00F34245" w:rsidRDefault="00000000">
            <w:r>
              <w:rPr>
                <w:sz w:val="20"/>
                <w:szCs w:val="20"/>
              </w:rPr>
              <w:t>Base del ajuste por necesidad: dependencia demográfica, natalidad, nivel de estudios, clase social.</w:t>
            </w:r>
          </w:p>
        </w:tc>
      </w:tr>
      <w:tr w:rsidR="00F34245" w14:paraId="340C3DB6"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AC3E6B" w14:textId="77777777" w:rsidR="00F34245" w:rsidRDefault="00000000">
            <w:r>
              <w:rPr>
                <w:b/>
                <w:bCs/>
                <w:color w:val="1DB96A"/>
                <w:sz w:val="20"/>
                <w:szCs w:val="20"/>
              </w:rPr>
              <w:t>6. Determinantes medioambientales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E37359" w14:textId="77777777" w:rsidR="00F34245" w:rsidRDefault="00000000">
            <w:r>
              <w:rPr>
                <w:sz w:val="20"/>
                <w:szCs w:val="20"/>
              </w:rPr>
              <w:t>3</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CD0D81" w14:textId="77777777" w:rsidR="00F34245" w:rsidRDefault="00000000">
            <w:r>
              <w:rPr>
                <w:sz w:val="20"/>
                <w:szCs w:val="20"/>
              </w:rPr>
              <w:t>Sanidad · ENSE</w:t>
            </w:r>
          </w:p>
        </w:tc>
        <w:tc>
          <w:tcPr>
            <w:tcW w:w="35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8BBE31" w14:textId="77777777" w:rsidR="00F34245" w:rsidRDefault="00000000">
            <w:r>
              <w:rPr>
                <w:sz w:val="20"/>
                <w:szCs w:val="20"/>
              </w:rPr>
              <w:t>Contexto de exposición: calidad del agua de consumo, ruido y escasez de zonas verdes.</w:t>
            </w:r>
          </w:p>
        </w:tc>
      </w:tr>
      <w:tr w:rsidR="00F34245" w14:paraId="635B1341"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54A835C6" w14:textId="77777777" w:rsidR="00F34245" w:rsidRDefault="00000000">
            <w:r>
              <w:rPr>
                <w:b/>
                <w:bCs/>
                <w:color w:val="1DB96A"/>
                <w:sz w:val="20"/>
                <w:szCs w:val="20"/>
              </w:rPr>
              <w:t>7. Recursos del sistema sanitario</w:t>
            </w:r>
          </w:p>
        </w:tc>
        <w:tc>
          <w:tcPr>
            <w:tcW w:w="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5423D1C8" w14:textId="77777777" w:rsidR="00F34245" w:rsidRDefault="00000000">
            <w:r>
              <w:rPr>
                <w:sz w:val="20"/>
                <w:szCs w:val="20"/>
              </w:rPr>
              <w:t>36</w:t>
            </w:r>
          </w:p>
        </w:tc>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D33D239" w14:textId="77777777" w:rsidR="00F34245" w:rsidRDefault="00000000">
            <w:r>
              <w:rPr>
                <w:sz w:val="20"/>
                <w:szCs w:val="20"/>
              </w:rPr>
              <w:t>SIAP · SIAE-ESCRI</w:t>
            </w:r>
          </w:p>
        </w:tc>
        <w:tc>
          <w:tcPr>
            <w:tcW w:w="35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4814DC7A" w14:textId="77777777" w:rsidR="00F34245" w:rsidRDefault="00000000">
            <w:r>
              <w:rPr>
                <w:sz w:val="20"/>
                <w:szCs w:val="20"/>
              </w:rPr>
              <w:t>Insumos: profesionales, camas y alta tecnología por habitante; es la dimensión más extensa.</w:t>
            </w:r>
          </w:p>
        </w:tc>
      </w:tr>
      <w:tr w:rsidR="00F34245" w14:paraId="7B15F299"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FE83C6" w14:textId="77777777" w:rsidR="00F34245" w:rsidRDefault="00000000">
            <w:r>
              <w:rPr>
                <w:b/>
                <w:bCs/>
                <w:color w:val="1DB96A"/>
                <w:sz w:val="20"/>
                <w:szCs w:val="20"/>
              </w:rPr>
              <w:t>8. Gasto sanitario</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1210A2" w14:textId="77777777" w:rsidR="00F34245" w:rsidRDefault="00000000">
            <w:r>
              <w:rPr>
                <w:sz w:val="20"/>
                <w:szCs w:val="20"/>
              </w:rPr>
              <w:t>12</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14D830" w14:textId="77777777" w:rsidR="00F34245" w:rsidRDefault="00000000">
            <w:r>
              <w:rPr>
                <w:sz w:val="20"/>
                <w:szCs w:val="20"/>
              </w:rPr>
              <w:t>Estadística de Gasto Sanitario Público</w:t>
            </w:r>
          </w:p>
        </w:tc>
        <w:tc>
          <w:tcPr>
            <w:tcW w:w="35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B69243" w14:textId="77777777" w:rsidR="00F34245" w:rsidRDefault="00000000">
            <w:r>
              <w:rPr>
                <w:sz w:val="20"/>
                <w:szCs w:val="20"/>
              </w:rPr>
              <w:t>Esfuerzo financiero: gasto público per cápita, gestionado por CCAA, y su reparto (AP, farmacia).</w:t>
            </w:r>
          </w:p>
        </w:tc>
      </w:tr>
      <w:tr w:rsidR="00F34245" w14:paraId="2FB4F946"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408C4C1" w14:textId="77777777" w:rsidR="00F34245" w:rsidRDefault="00000000">
            <w:r>
              <w:rPr>
                <w:b/>
                <w:bCs/>
                <w:color w:val="1DB96A"/>
                <w:sz w:val="20"/>
                <w:szCs w:val="20"/>
              </w:rPr>
              <w:t>9. Accesibilidad y uso de servicios</w:t>
            </w:r>
          </w:p>
        </w:tc>
        <w:tc>
          <w:tcPr>
            <w:tcW w:w="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2F70EC9E" w14:textId="77777777" w:rsidR="00F34245" w:rsidRDefault="00000000">
            <w:r>
              <w:rPr>
                <w:sz w:val="20"/>
                <w:szCs w:val="20"/>
              </w:rPr>
              <w:t>16</w:t>
            </w:r>
          </w:p>
        </w:tc>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A322E56" w14:textId="77777777" w:rsidR="00F34245" w:rsidRDefault="00000000">
            <w:r>
              <w:rPr>
                <w:sz w:val="20"/>
                <w:szCs w:val="20"/>
              </w:rPr>
              <w:t>SIAP · SISLE · coberturas vacunales</w:t>
            </w:r>
          </w:p>
        </w:tc>
        <w:tc>
          <w:tcPr>
            <w:tcW w:w="35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22850EB" w14:textId="77777777" w:rsidR="00F34245" w:rsidRDefault="00000000">
            <w:r>
              <w:rPr>
                <w:sz w:val="20"/>
                <w:szCs w:val="20"/>
              </w:rPr>
              <w:t>Acceso efectivo: listas y tiempos de espera, frecuentación y cobertura vacunal.</w:t>
            </w:r>
          </w:p>
        </w:tc>
      </w:tr>
      <w:tr w:rsidR="00F34245" w14:paraId="183A0EDE"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CBCB38" w14:textId="77777777" w:rsidR="00F34245" w:rsidRDefault="00000000">
            <w:r>
              <w:rPr>
                <w:b/>
                <w:bCs/>
                <w:color w:val="1DB96A"/>
                <w:sz w:val="20"/>
                <w:szCs w:val="20"/>
              </w:rPr>
              <w:t>10. Seguridad del paciente y calidad</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140068D" w14:textId="77777777" w:rsidR="00F34245" w:rsidRDefault="00000000">
            <w:r>
              <w:rPr>
                <w:sz w:val="20"/>
                <w:szCs w:val="20"/>
              </w:rPr>
              <w:t>20</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481594" w14:textId="77777777" w:rsidR="00F34245" w:rsidRDefault="00000000">
            <w:r>
              <w:rPr>
                <w:sz w:val="20"/>
                <w:szCs w:val="20"/>
              </w:rPr>
              <w:t>SIAE · CMBD</w:t>
            </w:r>
          </w:p>
        </w:tc>
        <w:tc>
          <w:tcPr>
            <w:tcW w:w="35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70BE1B" w14:textId="77777777" w:rsidR="00F34245" w:rsidRDefault="00000000">
            <w:r>
              <w:rPr>
                <w:sz w:val="20"/>
                <w:szCs w:val="20"/>
              </w:rPr>
              <w:t>Proceso y seguridad: mortalidad intrahospitalaria, eventos adversos y reingresos.</w:t>
            </w:r>
          </w:p>
        </w:tc>
      </w:tr>
      <w:tr w:rsidR="00F34245" w14:paraId="173CB315"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06591446" w14:textId="77777777" w:rsidR="00F34245" w:rsidRDefault="00000000">
            <w:r>
              <w:rPr>
                <w:b/>
                <w:bCs/>
                <w:color w:val="1DB96A"/>
                <w:sz w:val="20"/>
                <w:szCs w:val="20"/>
              </w:rPr>
              <w:t>11. Resultados / efectividad</w:t>
            </w:r>
          </w:p>
        </w:tc>
        <w:tc>
          <w:tcPr>
            <w:tcW w:w="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226B68B2" w14:textId="77777777" w:rsidR="00F34245" w:rsidRDefault="00000000">
            <w:r>
              <w:rPr>
                <w:sz w:val="20"/>
                <w:szCs w:val="20"/>
              </w:rPr>
              <w:t>20</w:t>
            </w:r>
          </w:p>
        </w:tc>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0D9C2F09" w14:textId="77777777" w:rsidR="00F34245" w:rsidRDefault="00000000">
            <w:r>
              <w:rPr>
                <w:sz w:val="20"/>
                <w:szCs w:val="20"/>
              </w:rPr>
              <w:t>SIAE · Organización Nacional de Trasplantes</w:t>
            </w:r>
          </w:p>
        </w:tc>
        <w:tc>
          <w:tcPr>
            <w:tcW w:w="35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3BC532DA" w14:textId="77777777" w:rsidR="00F34245" w:rsidRDefault="00000000">
            <w:r>
              <w:rPr>
                <w:sz w:val="20"/>
                <w:szCs w:val="20"/>
              </w:rPr>
              <w:t>Efectividad clínica: cirugía conservadora, intervención precoz y supervivencia de trasplantes.</w:t>
            </w:r>
          </w:p>
        </w:tc>
      </w:tr>
      <w:tr w:rsidR="00F34245" w14:paraId="77C4B948"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AEF6F6" w14:textId="77777777" w:rsidR="00F34245" w:rsidRDefault="00000000">
            <w:r>
              <w:rPr>
                <w:b/>
                <w:bCs/>
                <w:color w:val="1DB96A"/>
                <w:sz w:val="20"/>
                <w:szCs w:val="20"/>
              </w:rPr>
              <w:lastRenderedPageBreak/>
              <w:t>12. Opinión de la ciudadanía</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44F609" w14:textId="77777777" w:rsidR="00F34245" w:rsidRDefault="00000000">
            <w:r>
              <w:rPr>
                <w:sz w:val="20"/>
                <w:szCs w:val="20"/>
              </w:rPr>
              <w:t>10</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9F99BA" w14:textId="77777777" w:rsidR="00F34245" w:rsidRDefault="00000000">
            <w:r>
              <w:rPr>
                <w:sz w:val="20"/>
                <w:szCs w:val="20"/>
              </w:rPr>
              <w:t>Barómetro Sanitario</w:t>
            </w:r>
          </w:p>
        </w:tc>
        <w:tc>
          <w:tcPr>
            <w:tcW w:w="35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D941F9" w14:textId="77777777" w:rsidR="00F34245" w:rsidRDefault="00000000">
            <w:r>
              <w:rPr>
                <w:sz w:val="20"/>
                <w:szCs w:val="20"/>
              </w:rPr>
              <w:t>Legitimidad y experiencia: satisfacción con el sistema y valoración de AP y AE.</w:t>
            </w:r>
          </w:p>
        </w:tc>
      </w:tr>
      <w:tr w:rsidR="00F34245" w14:paraId="2325B710"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5104F877" w14:textId="77777777" w:rsidR="00F34245" w:rsidRDefault="00000000">
            <w:r>
              <w:rPr>
                <w:b/>
                <w:bCs/>
                <w:color w:val="1DB96A"/>
                <w:sz w:val="20"/>
                <w:szCs w:val="20"/>
              </w:rPr>
              <w:t>Serie poblacional (9000+)</w:t>
            </w:r>
          </w:p>
        </w:tc>
        <w:tc>
          <w:tcPr>
            <w:tcW w:w="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46BCCA11" w14:textId="77777777" w:rsidR="00F34245" w:rsidRDefault="00000000">
            <w:r>
              <w:rPr>
                <w:sz w:val="20"/>
                <w:szCs w:val="20"/>
              </w:rPr>
              <w:t>19</w:t>
            </w:r>
          </w:p>
        </w:tc>
        <w:tc>
          <w:tcPr>
            <w:tcW w:w="26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53A0CA09" w14:textId="77777777" w:rsidR="00F34245" w:rsidRDefault="00000000">
            <w:r>
              <w:rPr>
                <w:sz w:val="20"/>
                <w:szCs w:val="20"/>
              </w:rPr>
              <w:t>INE</w:t>
            </w:r>
          </w:p>
        </w:tc>
        <w:tc>
          <w:tcPr>
            <w:tcW w:w="35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5A73AFA2" w14:textId="77777777" w:rsidR="00F34245" w:rsidRDefault="00000000">
            <w:r>
              <w:rPr>
                <w:sz w:val="20"/>
                <w:szCs w:val="20"/>
              </w:rPr>
              <w:t>Denominadores para tasas per cápita y estandarización; no es una dimensión de resultado.</w:t>
            </w:r>
          </w:p>
        </w:tc>
      </w:tr>
    </w:tbl>
    <w:p w14:paraId="78ECB926" w14:textId="77777777" w:rsidR="00F34245" w:rsidRDefault="00F34245">
      <w:pPr>
        <w:spacing w:after="200"/>
      </w:pPr>
    </w:p>
    <w:p w14:paraId="2C87ECEE" w14:textId="77777777" w:rsidR="00F34245" w:rsidRDefault="00000000">
      <w:pPr>
        <w:spacing w:after="160"/>
      </w:pPr>
      <w:r>
        <w:t>Sobre este catálogo, el área define un cuadro de mando de indicadores núcleo (headline) que garantiza la comparabilidad interanual e intercomunitaria y evita la sobrecarga de las más de doscientas series. La selección prioriza indicadores con serie temporal suficiente, cobertura autonómica completa y ajuste por edad ya incorporado en origen, equilibrando las cuatro grandes preguntas de la evaluación de sistemas: ¿con qué recursos y gasto?, ¿con qué acceso?, ¿con qué calidad y seguridad?, y ¿con qué resultados y equidad?</w:t>
      </w:r>
    </w:p>
    <w:p w14:paraId="75991F2E" w14:textId="77777777" w:rsidR="00F34245" w:rsidRDefault="00F34245">
      <w:pPr>
        <w:spacing w:after="120"/>
      </w:pPr>
    </w:p>
    <w:p w14:paraId="0E4E14CF" w14:textId="77777777" w:rsidR="00F34245" w:rsidRDefault="00000000">
      <w:pPr>
        <w:spacing w:after="80"/>
      </w:pPr>
      <w:r>
        <w:rPr>
          <w:b/>
          <w:bCs/>
          <w:color w:val="1DB96A"/>
          <w:sz w:val="20"/>
          <w:szCs w:val="20"/>
        </w:rPr>
        <w:t xml:space="preserve">Tabla 2. </w:t>
      </w:r>
      <w:r>
        <w:rPr>
          <w:color w:val="5A6472"/>
          <w:sz w:val="20"/>
          <w:szCs w:val="20"/>
        </w:rPr>
        <w:t>Selección de indicadores núcleo del área de Sanidad.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900"/>
        <w:gridCol w:w="2438"/>
      </w:tblGrid>
      <w:tr w:rsidR="00F34245" w14:paraId="083B83A6" w14:textId="77777777" w:rsidTr="005935D4">
        <w:tblPrEx>
          <w:tblCellMar>
            <w:top w:w="0" w:type="dxa"/>
            <w:bottom w:w="0" w:type="dxa"/>
          </w:tblCellMar>
        </w:tblPrEx>
        <w:trPr>
          <w:tblHeader/>
        </w:trPr>
        <w:tc>
          <w:tcPr>
            <w:tcW w:w="2300"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64810EA8" w14:textId="77777777" w:rsidR="00F34245" w:rsidRDefault="00000000">
            <w:pPr>
              <w:jc w:val="center"/>
            </w:pPr>
            <w:r>
              <w:rPr>
                <w:b/>
                <w:bCs/>
                <w:sz w:val="20"/>
                <w:szCs w:val="20"/>
              </w:rPr>
              <w:t>Dimensión</w:t>
            </w:r>
          </w:p>
        </w:tc>
        <w:tc>
          <w:tcPr>
            <w:tcW w:w="4900"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461C2B7B" w14:textId="77777777" w:rsidR="00F34245" w:rsidRDefault="00000000">
            <w:pPr>
              <w:jc w:val="center"/>
            </w:pPr>
            <w:r>
              <w:rPr>
                <w:b/>
                <w:bCs/>
                <w:sz w:val="20"/>
                <w:szCs w:val="20"/>
              </w:rPr>
              <w:t>Indicadores núcleo (código INCLASNS)</w:t>
            </w:r>
          </w:p>
        </w:tc>
        <w:tc>
          <w:tcPr>
            <w:tcW w:w="2438"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41BCEF77" w14:textId="77777777" w:rsidR="00F34245" w:rsidRDefault="00000000">
            <w:pPr>
              <w:jc w:val="center"/>
            </w:pPr>
            <w:r>
              <w:rPr>
                <w:b/>
                <w:bCs/>
                <w:sz w:val="20"/>
                <w:szCs w:val="20"/>
              </w:rPr>
              <w:t>Unidad / uso analítico</w:t>
            </w:r>
          </w:p>
        </w:tc>
      </w:tr>
      <w:tr w:rsidR="00F34245" w14:paraId="50B06824" w14:textId="77777777" w:rsidTr="005935D4">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E361B7E" w14:textId="77777777" w:rsidR="00F34245" w:rsidRDefault="00000000">
            <w:r>
              <w:rPr>
                <w:b/>
                <w:bCs/>
                <w:color w:val="1DB96A"/>
                <w:sz w:val="20"/>
                <w:szCs w:val="20"/>
              </w:rPr>
              <w:t>Estado de salud</w:t>
            </w:r>
          </w:p>
        </w:tc>
        <w:tc>
          <w:tcPr>
            <w:tcW w:w="4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2CC9A6B6" w14:textId="16D22036" w:rsidR="00F34245" w:rsidRDefault="00877D21">
            <w:r>
              <w:rPr>
                <w:sz w:val="20"/>
                <w:szCs w:val="20"/>
              </w:rPr>
              <w:t xml:space="preserve">Años de vida saludable a los 65 años (1050).</w:t>
            </w:r>
          </w:p>
        </w:tc>
        <w:tc>
          <w:tcPr>
            <w:tcW w:w="24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4F0D6A36" w14:textId="77777777" w:rsidR="00F34245" w:rsidRDefault="00000000">
            <w:r>
              <w:rPr>
                <w:sz w:val="20"/>
                <w:szCs w:val="20"/>
              </w:rPr>
              <w:t xml:space="preserve">Años · resultado de salud y proxy de calidad de vida</w:t>
            </w:r>
          </w:p>
        </w:tc>
      </w:tr>
      <w:tr w:rsidR="00F34245" w14:paraId="37179B80" w14:textId="77777777" w:rsidTr="005935D4">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A9814B5" w14:textId="21DC8E9F" w:rsidR="00F34245" w:rsidRDefault="00000000">
            <w:r>
              <w:rPr>
                <w:b/>
                <w:bCs/>
                <w:color w:val="1DB96A"/>
                <w:sz w:val="20"/>
                <w:szCs w:val="20"/>
              </w:rPr>
              <w:t xml:space="preserve">Mortalidad evitable</w:t>
            </w:r>
          </w:p>
        </w:tc>
        <w:tc>
          <w:tcPr>
            <w:tcW w:w="49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75F1F3F" w14:textId="7446293F" w:rsidR="00F34245" w:rsidRDefault="005935D4">
            <w:r>
              <w:rPr>
                <w:sz w:val="20"/>
                <w:szCs w:val="20"/>
              </w:rPr>
              <w:t xml:space="preserve">Índice de mortalidad evitable, construido por ODESOCAN a partir de la mortalidad prematura ajustada por edad por cáncer (1240), cardiopatía isquémica (1250), diabetes mellitus (1260), enfermedad vascular cerebral / ictus (1270) y EPOC (1280).</w:t>
            </w:r>
          </w:p>
        </w:tc>
        <w:tc>
          <w:tcPr>
            <w:tcW w:w="2438"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73E9644" w14:textId="78F024A7" w:rsidR="00F34245" w:rsidRDefault="005935D4">
            <w:r>
              <w:rPr>
                <w:sz w:val="20"/>
                <w:szCs w:val="20"/>
              </w:rPr>
              <w:t xml:space="preserve">Índice sintético reescalado 0–100 (mayor valor = mayor mortalidad evitable)</w:t>
            </w:r>
          </w:p>
        </w:tc>
      </w:tr>
      <w:tr w:rsidR="005935D4" w14:paraId="7E4F8D88" w14:textId="77777777" w:rsidTr="005935D4">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FB54D73" w14:textId="2BCA3B60" w:rsidR="005935D4" w:rsidRDefault="005935D4">
            <w:r>
              <w:rPr>
                <w:b/>
                <w:bCs/>
                <w:color w:val="1DB96A"/>
                <w:sz w:val="20"/>
                <w:szCs w:val="20"/>
              </w:rPr>
              <w:t>Recursos</w:t>
            </w:r>
          </w:p>
        </w:tc>
        <w:tc>
          <w:tcPr>
            <w:tcW w:w="4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0969075A" w14:textId="2F94E7F6" w:rsidR="005935D4" w:rsidRDefault="005935D4">
            <w:r>
              <w:rPr>
                <w:sz w:val="20"/>
                <w:szCs w:val="20"/>
              </w:rPr>
              <w:t>Personal médico en AE (4050) y AP (4060); enfermería en AE (4070) y AP (4080); camas en funcionamiento (4090).</w:t>
            </w:r>
          </w:p>
        </w:tc>
        <w:tc>
          <w:tcPr>
            <w:tcW w:w="24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D4BC19E" w14:textId="7E24DB0E" w:rsidR="005935D4" w:rsidRDefault="005935D4">
            <w:r>
              <w:rPr>
                <w:sz w:val="20"/>
                <w:szCs w:val="20"/>
              </w:rPr>
              <w:t>Ratios por 1.000 hab. · dotación estructural</w:t>
            </w:r>
          </w:p>
        </w:tc>
      </w:tr>
      <w:tr w:rsidR="005935D4" w14:paraId="3E757096" w14:textId="77777777" w:rsidTr="005935D4">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F59104" w14:textId="5305AF56" w:rsidR="005935D4" w:rsidRDefault="005935D4">
            <w:r>
              <w:rPr>
                <w:b/>
                <w:bCs/>
                <w:color w:val="1DB96A"/>
                <w:sz w:val="20"/>
                <w:szCs w:val="20"/>
              </w:rPr>
              <w:t>Gasto</w:t>
            </w:r>
          </w:p>
        </w:tc>
        <w:tc>
          <w:tcPr>
            <w:tcW w:w="4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C934FA" w14:textId="38ADE0F7" w:rsidR="005935D4" w:rsidRDefault="005935D4">
            <w:r>
              <w:rPr>
                <w:sz w:val="20"/>
                <w:szCs w:val="20"/>
              </w:rPr>
              <w:t xml:space="preserve">Gasto sanitario autonómico sobre PIB (importado del área de Presupuestos de Canarias en Datos); porcentaje del gasto en farmacia (6060).</w:t>
            </w:r>
          </w:p>
        </w:tc>
        <w:tc>
          <w:tcPr>
            <w:tcW w:w="24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020B39" w14:textId="605D8DF2" w:rsidR="005935D4" w:rsidRDefault="005935D4">
            <w:r>
              <w:rPr>
                <w:sz w:val="20"/>
                <w:szCs w:val="20"/>
              </w:rPr>
              <w:t xml:space="preserve">% del PIB y % · esfuerzo y orientación del gasto</w:t>
            </w:r>
          </w:p>
        </w:tc>
      </w:tr>
      <w:tr w:rsidR="005935D4" w14:paraId="320A4A33" w14:textId="77777777" w:rsidTr="005935D4">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3A6CED07" w14:textId="34A25E54" w:rsidR="005935D4" w:rsidRDefault="005935D4">
            <w:r>
              <w:rPr>
                <w:b/>
                <w:bCs/>
                <w:color w:val="1DB96A"/>
                <w:sz w:val="20"/>
                <w:szCs w:val="20"/>
              </w:rPr>
              <w:t>Accesibilidad</w:t>
            </w:r>
          </w:p>
        </w:tc>
        <w:tc>
          <w:tcPr>
            <w:tcW w:w="4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FCE0AC4" w14:textId="0B36AB06" w:rsidR="005935D4" w:rsidRDefault="005935D4">
            <w:r>
              <w:rPr>
                <w:sz w:val="20"/>
                <w:szCs w:val="20"/>
              </w:rPr>
              <w:t>Tiempo (8200) en espera quirúrgica; y tiempo (8290) en espera de 1ª consulta en AE.</w:t>
            </w:r>
          </w:p>
        </w:tc>
        <w:tc>
          <w:tcPr>
            <w:tcW w:w="24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E80109E" w14:textId="310F2CB1" w:rsidR="005935D4" w:rsidRDefault="005935D4">
            <w:r>
              <w:rPr>
                <w:sz w:val="20"/>
                <w:szCs w:val="20"/>
              </w:rPr>
              <w:t xml:space="preserve">Nº de días</w:t>
            </w:r>
          </w:p>
        </w:tc>
      </w:tr>
      <w:tr w:rsidR="005935D4" w14:paraId="60ACB04B" w14:textId="77777777" w:rsidTr="005935D4">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4FCD6756" w14:textId="6AFD393C" w:rsidR="005935D4" w:rsidRDefault="005935D4">
            <w:r>
              <w:rPr>
                <w:b/>
                <w:bCs/>
                <w:color w:val="1DB96A"/>
                <w:sz w:val="20"/>
                <w:szCs w:val="20"/>
              </w:rPr>
              <w:t>Resultados</w:t>
            </w:r>
          </w:p>
        </w:tc>
        <w:tc>
          <w:tcPr>
            <w:tcW w:w="4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6021BCC" w14:textId="65F1697F" w:rsidR="005935D4" w:rsidRDefault="005935D4">
            <w:r>
              <w:rPr>
                <w:sz w:val="20"/>
                <w:szCs w:val="20"/>
              </w:rPr>
              <w:t>Reingresos urgentes psiquiátricos (7140)</w:t>
            </w:r>
          </w:p>
        </w:tc>
        <w:tc>
          <w:tcPr>
            <w:tcW w:w="24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9F11482" w14:textId="68EE1CC6" w:rsidR="005935D4" w:rsidRDefault="002C48ED">
            <w:r>
              <w:t>Porcentaje sobre el total de altas psiquiátricas</w:t>
            </w:r>
          </w:p>
        </w:tc>
      </w:tr>
      <w:tr w:rsidR="005935D4" w14:paraId="4837E8F7" w14:textId="77777777" w:rsidTr="005935D4">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5BF40AC1" w14:textId="2F747FA2" w:rsidR="005935D4" w:rsidRDefault="005935D4">
            <w:r>
              <w:rPr>
                <w:b/>
                <w:bCs/>
                <w:color w:val="1DB96A"/>
                <w:sz w:val="20"/>
                <w:szCs w:val="20"/>
              </w:rPr>
              <w:t>Denominadores</w:t>
            </w:r>
          </w:p>
        </w:tc>
        <w:tc>
          <w:tcPr>
            <w:tcW w:w="49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3C4D8254" w14:textId="014AF1FE" w:rsidR="005935D4" w:rsidRDefault="005935D4">
            <w:r>
              <w:rPr>
                <w:sz w:val="20"/>
                <w:szCs w:val="20"/>
              </w:rPr>
              <w:t>Serie de población por grupos de edad y género (9000 y siguientes) y cifras de población del INE.</w:t>
            </w:r>
          </w:p>
        </w:tc>
        <w:tc>
          <w:tcPr>
            <w:tcW w:w="24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048D9FCB" w14:textId="34EB57C1" w:rsidR="005935D4" w:rsidRDefault="005935D4">
            <w:r>
              <w:rPr>
                <w:sz w:val="20"/>
                <w:szCs w:val="20"/>
              </w:rPr>
              <w:t xml:space="preserve">Nº de personas · base de tasas y estandarización</w:t>
            </w:r>
          </w:p>
        </w:tc>
      </w:tr>
    </w:tbl>
    <w:p w14:paraId="18AE4412" w14:textId="77777777" w:rsidR="00F34245" w:rsidRDefault="00F34245">
      <w:pPr>
        <w:spacing w:after="200"/>
      </w:pPr>
    </w:p>
    <w:p>
      <w:pPr>
        <w:spacing w:after="160"/>
      </w:pPr>
      <w:r>
        <w:rPr>
          <w:b/>
          <w:bCs/>
          <w:color w:val="1DB96A"/>
        </w:rPr>
        <w:t xml:space="preserve">Nota metodológica — Índice de mortalidad evitable (ODESOCAN). </w:t>
      </w:r>
      <w:r>
        <w:t xml:space="preserve">Este indicador sintético reconstruye en el pipeline de Sanidad el índice desarrollado en el proyecto Prevención de ODESOCAN. Se construye a partir de las cinco series de mortalidad prematura ajustada por edad del INCLASNS —cáncer (1240), cardiopatía isquémica (1250), diabetes mellitus (1260), enfermedad vascular cerebral (1270) y EPOC (1280)—, todas expresadas como tasas por 100.000 habitantes. Cada componente se normaliza dividiéndolo por su media histórica nacional, de modo que todas las causas contribuyan por igual con independencia de su escala absoluta (las tasas de cáncer multiplican por diez a las de diabetes). El índice es el promedio simple de los componentes normalizados, calculado por comunidad autónoma, año y género: los valores por encima de 1 señalan una mortalidad prematura superior a la media histórica nacional y los inferiores a 1, una mortalidad menor. Para su difusión pública en el área de Sanidad el índice relativo se reescala a una banda 0–100 conservando el orden y las distancias relativas entre comunidades. La gestión de ausencias replica el criterio del proyecto original: el índice se calcula con los componentes disponibles y solo es NA cuando faltan los cinco.</w:t>
      </w:r>
    </w:p>
    <w:p>
      <w:pPr>
        <w:spacing w:after="160"/>
      </w:pPr>
      <w:r>
        <w:rPr>
          <w:b/>
          <w:bCs/>
          <w:color w:val="1DB96A"/>
        </w:rPr>
        <w:t xml:space="preserve">Nota metodológica — Gasto sanitario sobre PIB (Presupuestos). </w:t>
      </w:r>
      <w:r>
        <w:t xml:space="preserve">El indicador de esfuerzo financiero se importa del área de Presupuestos de Canarias en Datos, que integra el gasto presupuestado en la función Sanidad de cada comunidad autónoma con su PIB regional. La variable pct_pib_sanidad expresa el porcentaje del PIB regional destinado a sanidad (17 CCAA, 2015–2026), con Canarias incluida y serie continua. Se emplea en sustitución del indicador INCLASNS 6020 (gasto público por habitante), que la API solo publica a nivel nacional. Debe interpretarse como gasto presupuestado —esfuerzo—, no liquidado; los años más recientes (2025–2026) utilizan PIB proyectado, señalado en el campo origen_pib.</w:t>
      </w:r>
    </w:p>
    <w:p w14:paraId="707633DD" w14:textId="55B5BC7E" w:rsidR="00F34245" w:rsidRDefault="00000000">
      <w:pPr>
        <w:spacing w:after="160"/>
      </w:pPr>
      <w:r>
        <w:t xml:space="preserve">La desagregación disponible en la API varía por indicador. Todos exponen el eje territorial (17 comunidades autónomas, las ciudades de Ceuta y Melilla y el agregado nacional «espana») y la mayoría el eje de género (hombres/mujeres/total). Un subconjunto ofrece además ejes de estratificación socioeconómica -nivel de estudios, clase social y nivel de ingresos (campos nse, nsc y nsi de la respuesta)-, idóneos para el análisis de desigualdades sociales en salud, uno de los objetivos declarados del área.</w:t>
      </w:r>
    </w:p>
    <w:p w14:paraId="01B09083" w14:textId="77777777" w:rsidR="00F34245" w:rsidRDefault="00000000">
      <w:pPr>
        <w:pStyle w:val="Ttulo1"/>
      </w:pPr>
      <w:r>
        <w:t>3. Proceso de depuración y estandarización</w:t>
      </w:r>
    </w:p>
    <w:p w14:paraId="6DA4A25E" w14:textId="05EB45A7" w:rsidR="00F34245" w:rsidRDefault="00000000">
      <w:pPr>
        <w:pStyle w:val="Prrafodelista"/>
        <w:numPr>
          <w:ilvl w:val="0"/>
          <w:numId w:val="2"/>
        </w:numPr>
        <w:spacing w:after="100"/>
      </w:pPr>
      <w:r>
        <w:rPr>
          <w:b/>
          <w:bCs/>
          <w:color w:val="1DB96A"/>
        </w:rPr>
        <w:t xml:space="preserve">Extracción vía API INCLASNS. </w:t>
      </w:r>
      <w:r>
        <w:t xml:space="preserve">El cliente sns_get_indicador() consulta el endpoint /api/v2/datos del dominio inclasns.sanidad.gob.es con los parámetros indicador, ccaa, anio y género, autenticando con el token SNS_API_TOKEN. La descarga es indicador a indicador; cada respuesta se aplana a un data.frame con columnas indicador_codigo, indicador_nombre, ccaa_raw, anio, género y valor, con reintentos y espera exponencial ante fallos de red.</w:t>
      </w:r>
    </w:p>
    <w:p w14:paraId="5FF5D381" w14:textId="63D95E70" w:rsidR="00F34245" w:rsidRDefault="00000000">
      <w:pPr>
        <w:pStyle w:val="Prrafodelista"/>
        <w:numPr>
          <w:ilvl w:val="0"/>
          <w:numId w:val="2"/>
        </w:numPr>
        <w:spacing w:after="100"/>
      </w:pPr>
      <w:r>
        <w:rPr>
          <w:b/>
          <w:bCs/>
          <w:color w:val="1DB96A"/>
        </w:rPr>
        <w:lastRenderedPageBreak/>
        <w:t xml:space="preserve">Tratamiento de valores no informados. </w:t>
      </w:r>
      <w:r>
        <w:t xml:space="preserve">La API devuelve el literal «NaN» -y, en algunos indicadores, un «Total» vacío- cuando no hay dato observado. Estos valores se convierten a NA de forma explícita y no se imputan con cero, para no confundir ausencia de dato con valor nulo real. Nunca se solicita el parámetro género en blanco, porque fuerza respuestas NaN en toda la serie.</w:t>
      </w:r>
    </w:p>
    <w:p w14:paraId="74BFE715" w14:textId="77777777" w:rsidR="00F34245" w:rsidRDefault="00000000">
      <w:pPr>
        <w:pStyle w:val="Prrafodelista"/>
        <w:numPr>
          <w:ilvl w:val="0"/>
          <w:numId w:val="2"/>
        </w:numPr>
        <w:spacing w:after="100"/>
      </w:pPr>
      <w:r>
        <w:rPr>
          <w:b/>
          <w:bCs/>
          <w:color w:val="1DB96A"/>
        </w:rPr>
        <w:t xml:space="preserve">Normalización territorial. </w:t>
      </w:r>
      <w:r>
        <w:t>Los literales de CCAA de la API (en minúscula y sin tildes: «canarias», «paisvasco», «castillaleon»…) se resuelven contra el diccionario canónico R/ccaa_dictionary.R, que mapea también el agregado «espana» a la media estatal y contempla Ceuta y Melilla. Un literal no contemplado se conserva sin mapear y queda señalado en los logs de cobertura.</w:t>
      </w:r>
    </w:p>
    <w:p w14:paraId="01110E10" w14:textId="1BFB7DF2" w:rsidR="00F34245" w:rsidRDefault="00000000">
      <w:pPr>
        <w:pStyle w:val="Prrafodelista"/>
        <w:numPr>
          <w:ilvl w:val="0"/>
          <w:numId w:val="2"/>
        </w:numPr>
        <w:spacing w:after="100"/>
      </w:pPr>
      <w:r>
        <w:rPr>
          <w:b/>
          <w:bCs/>
          <w:color w:val="1DB96A"/>
        </w:rPr>
        <w:t xml:space="preserve">Normalización de género. </w:t>
      </w:r>
      <w:r>
        <w:t xml:space="preserve">Los valores de género se unifican a tres categorías canónicas (total, hombres, mujeres) antes de cualquier operación de join o agregación, homogeneizando las variantes de la API y de las fuentes de origen.</w:t>
      </w:r>
    </w:p>
    <w:p w14:paraId="065531D7" w14:textId="77777777" w:rsidR="00F34245" w:rsidRDefault="00000000">
      <w:pPr>
        <w:pStyle w:val="Prrafodelista"/>
        <w:numPr>
          <w:ilvl w:val="0"/>
          <w:numId w:val="2"/>
        </w:numPr>
        <w:spacing w:after="100"/>
      </w:pPr>
      <w:r>
        <w:rPr>
          <w:b/>
          <w:bCs/>
          <w:color w:val="1DB96A"/>
        </w:rPr>
        <w:t xml:space="preserve">Homogeneización de unidades y periodo. </w:t>
      </w:r>
      <w:r>
        <w:t>Cada indicador conserva su unidad nativa (años, tasa por 100.000, ratio por 1.000, porcentaje, euros), documentada en el diccionario de datos. El año de referencia se normaliza a entero y se registra cuándo un indicador corresponde a un promedio móvil o a una encuesta plurianual, para evitar comparaciones espurias entre CCAA con años de referencia distintos.</w:t>
      </w:r>
    </w:p>
    <w:p w14:paraId="0D65B72A" w14:textId="77777777" w:rsidR="00F34245" w:rsidRDefault="00000000">
      <w:pPr>
        <w:pStyle w:val="Prrafodelista"/>
        <w:numPr>
          <w:ilvl w:val="0"/>
          <w:numId w:val="2"/>
        </w:numPr>
        <w:spacing w:after="100"/>
      </w:pPr>
      <w:r>
        <w:rPr>
          <w:b/>
          <w:bCs/>
          <w:color w:val="1DB96A"/>
        </w:rPr>
        <w:t xml:space="preserve">Denominadores poblacionales. </w:t>
      </w:r>
      <w:r>
        <w:t>Para los indicadores per cápita construidos por el observatorio se emplean como denominador la serie poblacional 9000+ del propio INCLASNS o las cifras de población del INE, agregadas al mismo nivel territorial y anual que el numerador.</w:t>
      </w:r>
    </w:p>
    <w:p w14:paraId="12306BC3" w14:textId="77777777" w:rsidR="00F34245" w:rsidRDefault="00000000">
      <w:pPr>
        <w:pStyle w:val="Prrafodelista"/>
        <w:numPr>
          <w:ilvl w:val="0"/>
          <w:numId w:val="2"/>
        </w:numPr>
        <w:spacing w:after="100"/>
      </w:pPr>
      <w:r>
        <w:rPr>
          <w:b/>
          <w:bCs/>
          <w:color w:val="1DB96A"/>
        </w:rPr>
        <w:t xml:space="preserve">Estandarización por edad. </w:t>
      </w:r>
      <w:r>
        <w:t xml:space="preserve">La mayoría de indicadores de mortalidad y hospitalización se descargan ya ajustados por edad en origen, lo que los hace directamente comparables entre comunidades con estructuras demográficas distintas. Cuando se derivan indicadores propios no ajustados, se aplica estandarización directa por edad con la población estándar europea para preservar la comparabilidad.</w:t>
      </w:r>
    </w:p>
    <w:p w14:paraId="66A2DB16" w14:textId="77777777" w:rsidR="00F34245" w:rsidRDefault="00000000">
      <w:pPr>
        <w:pStyle w:val="Prrafodelista"/>
        <w:numPr>
          <w:ilvl w:val="0"/>
          <w:numId w:val="2"/>
        </w:numPr>
        <w:spacing w:after="100"/>
      </w:pPr>
      <w:r>
        <w:rPr>
          <w:b/>
          <w:bCs/>
          <w:color w:val="1DB96A"/>
        </w:rPr>
        <w:t xml:space="preserve">Ajuste por necesidad. </w:t>
      </w:r>
      <w:r>
        <w:t>Para la evaluación de eficiencia (relación recursos y gasto → resultados) los indicadores se contextualizan con los determinantes socioeconómicos y demográficos de la dimensión 5 (índice de dependencia, nivel de estudios, clase social), de modo que las diferencias entre CCAA no se atribuyan al desempeño del sistema cuando en realidad responden a la composición de su población.</w:t>
      </w:r>
    </w:p>
    <w:p w14:paraId="10BBC8E1" w14:textId="290E19D4" w:rsidR="00F34245" w:rsidRDefault="00000000">
      <w:pPr>
        <w:pStyle w:val="Prrafodelista"/>
        <w:numPr>
          <w:ilvl w:val="0"/>
          <w:numId w:val="2"/>
        </w:numPr>
        <w:spacing w:after="100"/>
      </w:pPr>
      <w:r>
        <w:rPr>
          <w:b/>
          <w:bCs/>
          <w:color w:val="1DB96A"/>
        </w:rPr>
        <w:t xml:space="preserve">Consolidación dimensional. </w:t>
      </w:r>
      <w:r>
        <w:t xml:space="preserve">Los indicadores depurados se consolidan en un dataset longitudinal por las claves (ccaa, periodo, género, indicador) mediante uniones completas; las filas sin ninguna métrica válida se eliminan de la tabla final.</w:t>
      </w:r>
    </w:p>
    <w:p w14:paraId="0F160E7F" w14:textId="77777777" w:rsidR="00F34245" w:rsidRDefault="00000000">
      <w:pPr>
        <w:pStyle w:val="Prrafodelista"/>
        <w:numPr>
          <w:ilvl w:val="0"/>
          <w:numId w:val="2"/>
        </w:numPr>
        <w:spacing w:after="100"/>
      </w:pPr>
      <w:r>
        <w:rPr>
          <w:b/>
          <w:bCs/>
          <w:color w:val="1DB96A"/>
        </w:rPr>
        <w:t xml:space="preserve">Validación y logging. </w:t>
      </w:r>
      <w:r>
        <w:t>Antes de persistir cada artefacto se verifica la unicidad de claves y se registra la cobertura temporal y territorial, señalando las comunidades ausentes en los años más recientes de cada indicador.</w:t>
      </w:r>
    </w:p>
    <w:p w14:paraId="5C36DECC" w14:textId="77777777" w:rsidR="00F34245" w:rsidRDefault="00000000">
      <w:pPr>
        <w:pStyle w:val="Ttulo1"/>
      </w:pPr>
      <w:r>
        <w:t>4. Modelado y reglas de proyección</w:t>
      </w:r>
    </w:p>
    <w:p w14:paraId="400E2EF2" w14:textId="77777777" w:rsidR="00F34245" w:rsidRDefault="00000000">
      <w:pPr>
        <w:pStyle w:val="Prrafodelista"/>
        <w:numPr>
          <w:ilvl w:val="0"/>
          <w:numId w:val="2"/>
        </w:numPr>
        <w:spacing w:after="100"/>
      </w:pPr>
      <w:r>
        <w:rPr>
          <w:b/>
          <w:bCs/>
          <w:color w:val="1DB96A"/>
        </w:rPr>
        <w:t xml:space="preserve">Series candidatas. </w:t>
      </w:r>
      <w:r>
        <w:t>Solo se proyectan los indicadores con serie temporal continua y suficiente. La población y los determinantes se usan como covariables o contexto, no como series a proyectar.</w:t>
      </w:r>
    </w:p>
    <w:p w14:paraId="7B2BD6E6" w14:textId="77777777" w:rsidR="00F34245" w:rsidRDefault="00000000">
      <w:pPr>
        <w:pStyle w:val="Prrafodelista"/>
        <w:numPr>
          <w:ilvl w:val="0"/>
          <w:numId w:val="2"/>
        </w:numPr>
        <w:spacing w:after="100"/>
      </w:pPr>
      <w:r>
        <w:rPr>
          <w:b/>
          <w:bCs/>
          <w:color w:val="1DB96A"/>
        </w:rPr>
        <w:t xml:space="preserve">Método (bagged ETS bootstrap). </w:t>
      </w:r>
      <w:r>
        <w:t xml:space="preserve">Las series se proyectan mediante bagged ETS —bootstrap por bloques combinado con suavizado exponencial—, emulando el método del proyecto Prevención de ODESOCAN (Bergmeir, Hyndman y Benítez, 2016): la serie se descompone por STL, se generan B = 100 réplicas mediante moving-block bootstrap de los residuos, se ajusta un modelo ETS automático a cada réplica y la predicción central es el promedio de las B previsiones. Se conservan las 100 simulaciones individuales y el intervalo de confianza al 95 %.</w:t>
      </w:r>
    </w:p>
    <w:p w14:paraId="5BE01F5A" w14:textId="60F11D2F" w:rsidR="00F34245" w:rsidRDefault="00000000">
      <w:pPr>
        <w:pStyle w:val="Prrafodelista"/>
        <w:numPr>
          <w:ilvl w:val="0"/>
          <w:numId w:val="2"/>
        </w:numPr>
        <w:spacing w:after="100"/>
      </w:pPr>
      <w:r>
        <w:rPr>
          <w:b/>
          <w:bCs/>
          <w:color w:val="1DB96A"/>
        </w:rPr>
        <w:t xml:space="preserve">Mínimo de observaciones. </w:t>
      </w:r>
      <w:r>
        <w:t xml:space="preserve">El umbral para modelar una serie es de diez observaciones anuales consecutivas por grupo (ccaa × género × variable), tomando siempre el tramo continuo más reciente. Las series con menos puntos, o con huecos internos en los años recientes, se dejan sin proyectar.</w:t>
      </w:r>
    </w:p>
    <w:p w14:paraId="401FABD1" w14:textId="77777777" w:rsidR="00F34245" w:rsidRDefault="00000000">
      <w:pPr>
        <w:pStyle w:val="Prrafodelista"/>
        <w:numPr>
          <w:ilvl w:val="0"/>
          <w:numId w:val="2"/>
        </w:numPr>
        <w:spacing w:after="100"/>
      </w:pPr>
      <w:r>
        <w:rPr>
          <w:b/>
          <w:bCs/>
          <w:color w:val="1DB96A"/>
        </w:rPr>
        <w:t xml:space="preserve">Trazabilidad del origen. </w:t>
      </w:r>
      <w:r>
        <w:t xml:space="preserve">La bandera origen toma el valor real cuando el dato procede directamente de la fuente y proyección cuando se ha estimado con el bootstrap; se aplica celda a celda en la tabla larga ced_sanidad_largo. Las predicciones centrales con su IC 95 % se guardan en imputaciones_centrales y las 100 simulaciones por celda en imputaciones_bootstrap.</w:t>
      </w:r>
    </w:p>
    <w:p w14:paraId="1A0F4EE3" w14:textId="77777777" w:rsidR="00F34245" w:rsidRDefault="00000000">
      <w:pPr>
        <w:pStyle w:val="Prrafodelista"/>
        <w:numPr>
          <w:ilvl w:val="0"/>
          <w:numId w:val="2"/>
        </w:numPr>
        <w:spacing w:after="100"/>
      </w:pPr>
      <w:r>
        <w:rPr>
          <w:b/>
          <w:bCs/>
          <w:color w:val="1DB96A"/>
        </w:rPr>
        <w:lastRenderedPageBreak/>
        <w:t xml:space="preserve">Cautelas específicas de Sanidad. </w:t>
      </w:r>
      <w:r>
        <w:t>Los indicadores de encuesta (ENSE, Barómetro Sanitario, EDADES/ESTUDES) tienen periodicidad plurianual e irregular y saltos metodológicos entre oleadas; se proyectan con extrema cautela o se excluyen de la proyección para no fabricar tendencias inexistentes. Los indicadores de opinión no se extrapolan más allá de la última oleada disponible.</w:t>
      </w:r>
    </w:p>
    <w:p w14:paraId="58522BC3" w14:textId="77777777" w:rsidR="00F34245" w:rsidRDefault="00000000">
      <w:pPr>
        <w:pStyle w:val="Prrafodelista"/>
        <w:numPr>
          <w:ilvl w:val="0"/>
          <w:numId w:val="2"/>
        </w:numPr>
        <w:spacing w:after="100"/>
      </w:pPr>
      <w:r>
        <w:rPr>
          <w:b/>
          <w:bCs/>
          <w:color w:val="1DB96A"/>
        </w:rPr>
        <w:t xml:space="preserve">Parámetros configurables. </w:t>
      </w:r>
      <w:r>
        <w:t xml:space="preserve">Los años objetivo a imputar (por defecto 2024 y 2025) y el número de réplicas bootstrap (B = 100) son configurables; el horizonte máximo admitido es de cinco años desde el último dato observado.</w:t>
      </w:r>
    </w:p>
    <w:p w14:paraId="6365B4C0" w14:textId="77777777" w:rsidR="00F34245" w:rsidRDefault="00000000">
      <w:pPr>
        <w:pStyle w:val="Ttulo1"/>
      </w:pPr>
      <w:r>
        <w:t>5. Estado de implementación y cobertura esperada</w:t>
      </w:r>
    </w:p>
    <w:p w14:paraId="4FD40C94" w14:textId="26398B5E" w:rsidR="00F34245" w:rsidRDefault="00000000">
      <w:pPr>
        <w:spacing w:after="160"/>
      </w:pPr>
      <w:r>
        <w:t xml:space="preserve">A la fecha de este documento el área de Sanidad se encuentra en fase fundacional. Este cuaderno fija la arquitectura, la fuente y el marco metodológico; la construcción de los scripts de extracción, transformación, modelado y carga es el paso inmediato. En consecuencia, esta sección distingue con claridad entre los hechos ya verificados -acceso a la API, catálogo de indicadores y estructura de la respuesta- y los objetivos de cobertura de diseño, que se confirmarán con la primera ejecución completa del pipeline.</w:t>
      </w:r>
    </w:p>
    <w:p w14:paraId="14F37A03" w14:textId="77777777" w:rsidR="00F34245" w:rsidRDefault="00000000">
      <w:pPr>
        <w:pStyle w:val="Ttulo2"/>
      </w:pPr>
      <w:r>
        <w:t>Hechos verificados contra la API (22/07/2026)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34245" w14:paraId="1BA1F242" w14:textId="77777777">
        <w:tblPrEx>
          <w:tblCellMar>
            <w:top w:w="0" w:type="dxa"/>
            <w:bottom w:w="0" w:type="dxa"/>
          </w:tblCellMar>
        </w:tblPrEx>
        <w:trPr>
          <w:tblHeader/>
        </w:trPr>
        <w:tc>
          <w:tcPr>
            <w:tcW w:w="4819"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5B9C7C50" w14:textId="77777777" w:rsidR="00F34245" w:rsidRDefault="00000000">
            <w:pPr>
              <w:jc w:val="center"/>
            </w:pPr>
            <w:r>
              <w:rPr>
                <w:b/>
                <w:bCs/>
                <w:sz w:val="20"/>
                <w:szCs w:val="20"/>
              </w:rPr>
              <w:t>Elemento</w:t>
            </w:r>
          </w:p>
        </w:tc>
        <w:tc>
          <w:tcPr>
            <w:tcW w:w="4819"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1D59DDE2" w14:textId="77777777" w:rsidR="00F34245" w:rsidRDefault="00000000">
            <w:pPr>
              <w:jc w:val="center"/>
            </w:pPr>
            <w:r>
              <w:rPr>
                <w:b/>
                <w:bCs/>
                <w:sz w:val="20"/>
                <w:szCs w:val="20"/>
              </w:rPr>
              <w:t>Valor verificado</w:t>
            </w:r>
          </w:p>
        </w:tc>
      </w:tr>
      <w:tr w:rsidR="00F34245" w14:paraId="7D492090" w14:textId="77777777">
        <w:tblPrEx>
          <w:tblCellMar>
            <w:top w:w="0" w:type="dxa"/>
            <w:bottom w:w="0" w:type="dxa"/>
          </w:tblCellMar>
        </w:tblPrEx>
        <w:tc>
          <w:tcPr>
            <w:tcW w:w="4819"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2ED78892" w14:textId="77777777" w:rsidR="00F34245" w:rsidRDefault="00000000">
            <w:r>
              <w:rPr>
                <w:b/>
                <w:bCs/>
                <w:color w:val="1DB96A"/>
                <w:sz w:val="20"/>
                <w:szCs w:val="20"/>
              </w:rPr>
              <w:t>Fuente troncal</w:t>
            </w:r>
          </w:p>
        </w:tc>
        <w:tc>
          <w:tcPr>
            <w:tcW w:w="4819"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D9F2487" w14:textId="77777777" w:rsidR="00F34245" w:rsidRDefault="00000000">
            <w:r>
              <w:rPr>
                <w:sz w:val="20"/>
                <w:szCs w:val="20"/>
              </w:rPr>
              <w:t>INCLASNS · Ministerio de Sanidad (API REST v2)</w:t>
            </w:r>
          </w:p>
        </w:tc>
      </w:tr>
      <w:tr w:rsidR="00F34245" w14:paraId="4CBDB174" w14:textId="77777777">
        <w:tblPrEx>
          <w:tblCellMar>
            <w:top w:w="0" w:type="dxa"/>
            <w:bottom w:w="0" w:type="dxa"/>
          </w:tblCellMar>
        </w:tblPrEx>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732620" w14:textId="77777777" w:rsidR="00F34245" w:rsidRDefault="00000000">
            <w:r>
              <w:rPr>
                <w:b/>
                <w:bCs/>
                <w:color w:val="1DB96A"/>
                <w:sz w:val="20"/>
                <w:szCs w:val="20"/>
              </w:rPr>
              <w:t xml:space="preserve">Endpoint de datos</w:t>
            </w:r>
          </w:p>
        </w:tc>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8A9688" w14:textId="77777777" w:rsidR="00F34245" w:rsidRDefault="00000000">
            <w:r>
              <w:rPr>
                <w:sz w:val="20"/>
                <w:szCs w:val="20"/>
              </w:rPr>
              <w:t>https://inclasns.sanidad.gob.es/api/v2/datos</w:t>
            </w:r>
          </w:p>
        </w:tc>
      </w:tr>
      <w:tr w:rsidR="00F34245" w14:paraId="5A877CBE" w14:textId="77777777">
        <w:tblPrEx>
          <w:tblCellMar>
            <w:top w:w="0" w:type="dxa"/>
            <w:bottom w:w="0" w:type="dxa"/>
          </w:tblCellMar>
        </w:tblPrEx>
        <w:tc>
          <w:tcPr>
            <w:tcW w:w="4819"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244D8503" w14:textId="77777777" w:rsidR="00F34245" w:rsidRDefault="00000000">
            <w:r>
              <w:rPr>
                <w:b/>
                <w:bCs/>
                <w:color w:val="1DB96A"/>
                <w:sz w:val="20"/>
                <w:szCs w:val="20"/>
              </w:rPr>
              <w:t xml:space="preserve">Endpoint de catálogo</w:t>
            </w:r>
          </w:p>
        </w:tc>
        <w:tc>
          <w:tcPr>
            <w:tcW w:w="4819"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4CF47DB6" w14:textId="77777777" w:rsidR="00F34245" w:rsidRDefault="00000000">
            <w:r>
              <w:rPr>
                <w:sz w:val="20"/>
                <w:szCs w:val="20"/>
              </w:rPr>
              <w:t>https://inclasns.sanidad.gob.es/api/v2/indicador</w:t>
            </w:r>
          </w:p>
        </w:tc>
      </w:tr>
      <w:tr w:rsidR="00F34245" w14:paraId="422A3F56" w14:textId="77777777">
        <w:tblPrEx>
          <w:tblCellMar>
            <w:top w:w="0" w:type="dxa"/>
            <w:bottom w:w="0" w:type="dxa"/>
          </w:tblCellMar>
        </w:tblPrEx>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C965C2" w14:textId="77777777" w:rsidR="00F34245" w:rsidRDefault="00000000">
            <w:r>
              <w:rPr>
                <w:b/>
                <w:bCs/>
                <w:color w:val="1DB96A"/>
                <w:sz w:val="20"/>
                <w:szCs w:val="20"/>
              </w:rPr>
              <w:t>Autenticación</w:t>
            </w:r>
          </w:p>
        </w:tc>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518A0F" w14:textId="77777777" w:rsidR="00F34245" w:rsidRDefault="00000000">
            <w:r>
              <w:rPr>
                <w:sz w:val="20"/>
                <w:szCs w:val="20"/>
              </w:rPr>
              <w:t>Verificada (usuario investigacion@odesocan.org + token de API)</w:t>
            </w:r>
          </w:p>
        </w:tc>
      </w:tr>
      <w:tr w:rsidR="00F34245" w14:paraId="27691EFF" w14:textId="77777777">
        <w:tblPrEx>
          <w:tblCellMar>
            <w:top w:w="0" w:type="dxa"/>
            <w:bottom w:w="0" w:type="dxa"/>
          </w:tblCellMar>
        </w:tblPrEx>
        <w:tc>
          <w:tcPr>
            <w:tcW w:w="4819"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9CC9092" w14:textId="77777777" w:rsidR="00F34245" w:rsidRDefault="00000000">
            <w:r>
              <w:rPr>
                <w:b/>
                <w:bCs/>
                <w:color w:val="1DB96A"/>
                <w:sz w:val="20"/>
                <w:szCs w:val="20"/>
              </w:rPr>
              <w:t>Indicadores en el catálogo</w:t>
            </w:r>
          </w:p>
        </w:tc>
        <w:tc>
          <w:tcPr>
            <w:tcW w:w="4819"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7D31212" w14:textId="77777777" w:rsidR="00F34245" w:rsidRDefault="00000000">
            <w:r>
              <w:rPr>
                <w:sz w:val="20"/>
                <w:szCs w:val="20"/>
              </w:rPr>
              <w:t>205</w:t>
            </w:r>
          </w:p>
        </w:tc>
      </w:tr>
      <w:tr w:rsidR="00F34245" w14:paraId="2DF17AD0" w14:textId="77777777">
        <w:tblPrEx>
          <w:tblCellMar>
            <w:top w:w="0" w:type="dxa"/>
            <w:bottom w:w="0" w:type="dxa"/>
          </w:tblCellMar>
        </w:tblPrEx>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D6EA0B" w14:textId="77777777" w:rsidR="00F34245" w:rsidRDefault="00000000">
            <w:r>
              <w:rPr>
                <w:b/>
                <w:bCs/>
                <w:color w:val="1DB96A"/>
                <w:sz w:val="20"/>
                <w:szCs w:val="20"/>
              </w:rPr>
              <w:t>Dimensiones sustantivas</w:t>
            </w:r>
          </w:p>
        </w:tc>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DD4D75" w14:textId="77777777" w:rsidR="00F34245" w:rsidRDefault="00000000">
            <w:r>
              <w:rPr>
                <w:sz w:val="20"/>
                <w:szCs w:val="20"/>
              </w:rPr>
              <w:t>12 (más la serie poblacional de denominadores)</w:t>
            </w:r>
          </w:p>
        </w:tc>
      </w:tr>
      <w:tr w:rsidR="00F34245" w14:paraId="0C42C360" w14:textId="77777777">
        <w:tblPrEx>
          <w:tblCellMar>
            <w:top w:w="0" w:type="dxa"/>
            <w:bottom w:w="0" w:type="dxa"/>
          </w:tblCellMar>
        </w:tblPrEx>
        <w:tc>
          <w:tcPr>
            <w:tcW w:w="4819"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24015A67" w14:textId="77777777" w:rsidR="00F34245" w:rsidRDefault="00000000">
            <w:r>
              <w:rPr>
                <w:b/>
                <w:bCs/>
                <w:color w:val="1DB96A"/>
                <w:sz w:val="20"/>
                <w:szCs w:val="20"/>
              </w:rPr>
              <w:t>Cobertura territorial de la API</w:t>
            </w:r>
          </w:p>
        </w:tc>
        <w:tc>
          <w:tcPr>
            <w:tcW w:w="4819"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2F5D6EA" w14:textId="77777777" w:rsidR="00F34245" w:rsidRDefault="00000000">
            <w:r>
              <w:rPr>
                <w:sz w:val="20"/>
                <w:szCs w:val="20"/>
              </w:rPr>
              <w:t>17 CCAA + Ceuta + Melilla + agregado nacional</w:t>
            </w:r>
          </w:p>
        </w:tc>
      </w:tr>
      <w:tr w:rsidR="00F34245" w14:paraId="0DC5F7B2" w14:textId="77777777">
        <w:tblPrEx>
          <w:tblCellMar>
            <w:top w:w="0" w:type="dxa"/>
            <w:bottom w:w="0" w:type="dxa"/>
          </w:tblCellMar>
        </w:tblPrEx>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4DF0B8" w14:textId="77777777" w:rsidR="00F34245" w:rsidRDefault="00000000">
            <w:r>
              <w:rPr>
                <w:b/>
                <w:bCs/>
                <w:color w:val="1DB96A"/>
                <w:sz w:val="20"/>
                <w:szCs w:val="20"/>
              </w:rPr>
              <w:t>Ejes de desagregación</w:t>
            </w:r>
          </w:p>
        </w:tc>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18C18C" w14:textId="29C666FD" w:rsidR="00F34245" w:rsidRDefault="00000000">
            <w:r>
              <w:rPr>
                <w:sz w:val="20"/>
                <w:szCs w:val="20"/>
              </w:rPr>
              <w:t xml:space="preserve">Territorio, género y, en un subconjunto, estratificación socioeconómica</w:t>
            </w:r>
          </w:p>
        </w:tc>
      </w:tr>
      <w:tr w:rsidR="00F34245" w14:paraId="6240DC64" w14:textId="77777777">
        <w:tblPrEx>
          <w:tblCellMar>
            <w:top w:w="0" w:type="dxa"/>
            <w:bottom w:w="0" w:type="dxa"/>
          </w:tblCellMar>
        </w:tblPrEx>
        <w:tc>
          <w:tcPr>
            <w:tcW w:w="4819"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EBC275A" w14:textId="77777777" w:rsidR="00F34245" w:rsidRDefault="00000000">
            <w:r>
              <w:rPr>
                <w:b/>
                <w:bCs/>
                <w:color w:val="1DB96A"/>
                <w:sz w:val="20"/>
                <w:szCs w:val="20"/>
              </w:rPr>
              <w:t>Orígenes de datos integrados</w:t>
            </w:r>
          </w:p>
        </w:tc>
        <w:tc>
          <w:tcPr>
            <w:tcW w:w="4819"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33E90AC" w14:textId="77777777" w:rsidR="00F34245" w:rsidRDefault="00000000">
            <w:r>
              <w:rPr>
                <w:sz w:val="20"/>
                <w:szCs w:val="20"/>
              </w:rPr>
              <w:t>Sanidad (SIAP, SIAE, Barómetro, ENSE), INE, ISCIII, ONT, DGT, AEMPS, PNSD</w:t>
            </w:r>
          </w:p>
        </w:tc>
      </w:tr>
    </w:tbl>
    <w:p w14:paraId="6D53D439" w14:textId="77777777" w:rsidR="00F34245" w:rsidRDefault="00F34245">
      <w:pPr>
        <w:spacing w:after="200"/>
      </w:pPr>
    </w:p>
    <w:p w14:paraId="44017E20" w14:textId="77777777" w:rsidR="00F34245" w:rsidRDefault="00000000">
      <w:pPr>
        <w:pStyle w:val="Ttulo2"/>
      </w:pPr>
      <w:r>
        <w:t>Objetivos de cobertura de diseño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2200"/>
        <w:gridCol w:w="1838"/>
      </w:tblGrid>
      <w:tr w:rsidR="00F34245" w14:paraId="7044AB09" w14:textId="77777777">
        <w:tblPrEx>
          <w:tblCellMar>
            <w:top w:w="0" w:type="dxa"/>
            <w:bottom w:w="0" w:type="dxa"/>
          </w:tblCellMar>
        </w:tblPrEx>
        <w:trPr>
          <w:tblHeader/>
        </w:trPr>
        <w:tc>
          <w:tcPr>
            <w:tcW w:w="3200"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08506F5D" w14:textId="77777777" w:rsidR="00F34245" w:rsidRDefault="00000000">
            <w:pPr>
              <w:jc w:val="center"/>
            </w:pPr>
            <w:r>
              <w:rPr>
                <w:b/>
                <w:bCs/>
                <w:sz w:val="20"/>
                <w:szCs w:val="20"/>
              </w:rPr>
              <w:t>Grupo de dimensiones</w:t>
            </w:r>
          </w:p>
        </w:tc>
        <w:tc>
          <w:tcPr>
            <w:tcW w:w="2400"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10CCFF2E" w14:textId="77777777" w:rsidR="00F34245" w:rsidRDefault="00000000">
            <w:pPr>
              <w:jc w:val="center"/>
            </w:pPr>
            <w:r>
              <w:rPr>
                <w:b/>
                <w:bCs/>
                <w:sz w:val="20"/>
                <w:szCs w:val="20"/>
              </w:rPr>
              <w:t>Profundidad temporal</w:t>
            </w:r>
          </w:p>
        </w:tc>
        <w:tc>
          <w:tcPr>
            <w:tcW w:w="2200"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23664AA0" w14:textId="77777777" w:rsidR="00F34245" w:rsidRDefault="00000000">
            <w:pPr>
              <w:jc w:val="center"/>
            </w:pPr>
            <w:r>
              <w:rPr>
                <w:b/>
                <w:bCs/>
                <w:sz w:val="20"/>
                <w:szCs w:val="20"/>
              </w:rPr>
              <w:t>Desagregación</w:t>
            </w:r>
          </w:p>
        </w:tc>
        <w:tc>
          <w:tcPr>
            <w:tcW w:w="1838" w:type="dxa"/>
            <w:tcBorders>
              <w:top w:val="single" w:sz="8" w:space="0" w:color="44E597"/>
              <w:left w:val="single" w:sz="8" w:space="0" w:color="44E597"/>
              <w:bottom w:val="single" w:sz="8" w:space="0" w:color="44E597"/>
              <w:right w:val="single" w:sz="8" w:space="0" w:color="44E597"/>
            </w:tcBorders>
            <w:shd w:val="clear" w:color="auto" w:fill="44E597"/>
            <w:tcMar>
              <w:top w:w="100" w:type="dxa"/>
              <w:left w:w="120" w:type="dxa"/>
              <w:bottom w:w="100" w:type="dxa"/>
              <w:right w:w="120" w:type="dxa"/>
            </w:tcMar>
            <w:vAlign w:val="center"/>
          </w:tcPr>
          <w:p w14:paraId="26499778" w14:textId="77777777" w:rsidR="00F34245" w:rsidRDefault="00000000">
            <w:pPr>
              <w:jc w:val="center"/>
            </w:pPr>
            <w:r>
              <w:rPr>
                <w:b/>
                <w:bCs/>
                <w:sz w:val="20"/>
                <w:szCs w:val="20"/>
              </w:rPr>
              <w:t>Latencia típica</w:t>
            </w:r>
          </w:p>
        </w:tc>
      </w:tr>
      <w:tr w:rsidR="00F34245" w14:paraId="7C33FE80"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5626D4F" w14:textId="77777777" w:rsidR="00F34245" w:rsidRDefault="00000000">
            <w:r>
              <w:rPr>
                <w:b/>
                <w:bCs/>
                <w:color w:val="1DB96A"/>
                <w:sz w:val="20"/>
                <w:szCs w:val="20"/>
              </w:rPr>
              <w:t>Estado de salud y mortalidad</w:t>
            </w:r>
          </w:p>
        </w:tc>
        <w:tc>
          <w:tcPr>
            <w:tcW w:w="24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C083EE5" w14:textId="77777777" w:rsidR="00F34245" w:rsidRDefault="00000000">
            <w:r>
              <w:rPr>
                <w:sz w:val="20"/>
                <w:szCs w:val="20"/>
              </w:rPr>
              <w:t>Series largas</w:t>
            </w:r>
          </w:p>
        </w:tc>
        <w:tc>
          <w:tcPr>
            <w:tcW w:w="2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361D72B" w14:textId="647B519C" w:rsidR="00F34245" w:rsidRDefault="00000000">
            <w:r>
              <w:rPr>
                <w:sz w:val="20"/>
                <w:szCs w:val="20"/>
              </w:rPr>
              <w:t xml:space="preserve">CCAA × género</w:t>
            </w:r>
          </w:p>
        </w:tc>
        <w:tc>
          <w:tcPr>
            <w:tcW w:w="18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3B886FC0" w14:textId="77777777" w:rsidR="00F34245" w:rsidRDefault="00000000">
            <w:r>
              <w:rPr>
                <w:sz w:val="20"/>
                <w:szCs w:val="20"/>
              </w:rPr>
              <w:t>Media (INE)</w:t>
            </w:r>
          </w:p>
        </w:tc>
      </w:tr>
      <w:tr w:rsidR="00F34245" w14:paraId="2252B704"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B767F6" w14:textId="77777777" w:rsidR="00F34245" w:rsidRDefault="00000000">
            <w:r>
              <w:rPr>
                <w:b/>
                <w:bCs/>
                <w:color w:val="1DB96A"/>
                <w:sz w:val="20"/>
                <w:szCs w:val="20"/>
              </w:rPr>
              <w:t>Morbilidad / hospitalización</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1C4520" w14:textId="77777777" w:rsidR="00F34245" w:rsidRDefault="00000000">
            <w:r>
              <w:rPr>
                <w:sz w:val="20"/>
                <w:szCs w:val="20"/>
              </w:rPr>
              <w:t>Series medias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94A0BC" w14:textId="3BF45FAB" w:rsidR="00F34245" w:rsidRDefault="00000000">
            <w:r>
              <w:rPr>
                <w:sz w:val="20"/>
                <w:szCs w:val="20"/>
              </w:rPr>
              <w:t xml:space="preserve">CCAA × género</w:t>
            </w:r>
          </w:p>
        </w:tc>
        <w:tc>
          <w:tcPr>
            <w:tcW w:w="18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E72A68" w14:textId="77777777" w:rsidR="00F34245" w:rsidRDefault="00000000">
            <w:r>
              <w:rPr>
                <w:sz w:val="20"/>
                <w:szCs w:val="20"/>
              </w:rPr>
              <w:t>Media (CMBD)</w:t>
            </w:r>
          </w:p>
        </w:tc>
      </w:tr>
      <w:tr w:rsidR="00F34245" w14:paraId="542FFA77"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5A43E91F" w14:textId="77777777" w:rsidR="00F34245" w:rsidRDefault="00000000">
            <w:r>
              <w:rPr>
                <w:b/>
                <w:bCs/>
                <w:color w:val="1DB96A"/>
                <w:sz w:val="20"/>
                <w:szCs w:val="20"/>
              </w:rPr>
              <w:t>Estilos de vida y determinantes</w:t>
            </w:r>
          </w:p>
        </w:tc>
        <w:tc>
          <w:tcPr>
            <w:tcW w:w="24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7A532DD7" w14:textId="77777777" w:rsidR="00F34245" w:rsidRDefault="00000000">
            <w:r>
              <w:rPr>
                <w:sz w:val="20"/>
                <w:szCs w:val="20"/>
              </w:rPr>
              <w:t>Puntual por oleada</w:t>
            </w:r>
          </w:p>
        </w:tc>
        <w:tc>
          <w:tcPr>
            <w:tcW w:w="2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4127A4E" w14:textId="0C1D7B4D" w:rsidR="00F34245" w:rsidRDefault="00000000">
            <w:r>
              <w:rPr>
                <w:sz w:val="20"/>
                <w:szCs w:val="20"/>
              </w:rPr>
              <w:t xml:space="preserve">CCAA (× género/edad)</w:t>
            </w:r>
          </w:p>
        </w:tc>
        <w:tc>
          <w:tcPr>
            <w:tcW w:w="18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33EADD13" w14:textId="77777777" w:rsidR="00F34245" w:rsidRDefault="00000000">
            <w:r>
              <w:rPr>
                <w:sz w:val="20"/>
                <w:szCs w:val="20"/>
              </w:rPr>
              <w:t>Alta e irregular</w:t>
            </w:r>
          </w:p>
        </w:tc>
      </w:tr>
      <w:tr w:rsidR="00F34245" w14:paraId="15011A7F"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FA89BE5" w14:textId="77777777" w:rsidR="00F34245" w:rsidRDefault="00000000">
            <w:r>
              <w:rPr>
                <w:b/>
                <w:bCs/>
                <w:color w:val="1DB96A"/>
                <w:sz w:val="20"/>
                <w:szCs w:val="20"/>
              </w:rPr>
              <w:t>Recursos y gasto</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7172EA" w14:textId="77777777" w:rsidR="00F34245" w:rsidRDefault="00000000">
            <w:r>
              <w:rPr>
                <w:sz w:val="20"/>
                <w:szCs w:val="20"/>
              </w:rPr>
              <w:t>Series anuales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5242DE" w14:textId="77777777" w:rsidR="00F34245" w:rsidRDefault="00000000">
            <w:r>
              <w:rPr>
                <w:sz w:val="20"/>
                <w:szCs w:val="20"/>
              </w:rPr>
              <w:t>CCAA</w:t>
            </w:r>
          </w:p>
        </w:tc>
        <w:tc>
          <w:tcPr>
            <w:tcW w:w="18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DBF98A" w14:textId="77777777" w:rsidR="00F34245" w:rsidRDefault="00000000">
            <w:r>
              <w:rPr>
                <w:sz w:val="20"/>
                <w:szCs w:val="20"/>
              </w:rPr>
              <w:t>Media (SIAP/EGSP)</w:t>
            </w:r>
          </w:p>
        </w:tc>
      </w:tr>
      <w:tr w:rsidR="00F34245" w14:paraId="20ADFCAA"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6623B2C" w14:textId="77777777" w:rsidR="00F34245" w:rsidRDefault="00000000">
            <w:r>
              <w:rPr>
                <w:b/>
                <w:bCs/>
                <w:color w:val="1DB96A"/>
                <w:sz w:val="20"/>
                <w:szCs w:val="20"/>
              </w:rPr>
              <w:t>Accesibilidad (listas de espera)</w:t>
            </w:r>
          </w:p>
        </w:tc>
        <w:tc>
          <w:tcPr>
            <w:tcW w:w="24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184FA4C" w14:textId="77777777" w:rsidR="00F34245" w:rsidRDefault="00000000">
            <w:r>
              <w:rPr>
                <w:sz w:val="20"/>
                <w:szCs w:val="20"/>
              </w:rPr>
              <w:t>Anual / semestral</w:t>
            </w:r>
          </w:p>
        </w:tc>
        <w:tc>
          <w:tcPr>
            <w:tcW w:w="2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4583245A" w14:textId="77777777" w:rsidR="00F34245" w:rsidRDefault="00000000">
            <w:r>
              <w:rPr>
                <w:sz w:val="20"/>
                <w:szCs w:val="20"/>
              </w:rPr>
              <w:t>CCAA</w:t>
            </w:r>
          </w:p>
        </w:tc>
        <w:tc>
          <w:tcPr>
            <w:tcW w:w="18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53167C5E" w14:textId="77777777" w:rsidR="00F34245" w:rsidRDefault="00000000">
            <w:r>
              <w:rPr>
                <w:sz w:val="20"/>
                <w:szCs w:val="20"/>
              </w:rPr>
              <w:t>Baja</w:t>
            </w:r>
          </w:p>
        </w:tc>
      </w:tr>
      <w:tr w:rsidR="00F34245" w14:paraId="720A6462"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C2C96B" w14:textId="77777777" w:rsidR="00F34245" w:rsidRDefault="00000000">
            <w:r>
              <w:rPr>
                <w:b/>
                <w:bCs/>
                <w:color w:val="1DB96A"/>
                <w:sz w:val="20"/>
                <w:szCs w:val="20"/>
              </w:rPr>
              <w:t>Seguridad, calidad y resultados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B5E889" w14:textId="77777777" w:rsidR="00F34245" w:rsidRDefault="00000000">
            <w:r>
              <w:rPr>
                <w:sz w:val="20"/>
                <w:szCs w:val="20"/>
              </w:rPr>
              <w:t>Series medias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A6A15F" w14:textId="77777777" w:rsidR="00F34245" w:rsidRDefault="00000000">
            <w:r>
              <w:rPr>
                <w:sz w:val="20"/>
                <w:szCs w:val="20"/>
              </w:rPr>
              <w:t>CCAA</w:t>
            </w:r>
          </w:p>
        </w:tc>
        <w:tc>
          <w:tcPr>
            <w:tcW w:w="183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896592" w14:textId="77777777" w:rsidR="00F34245" w:rsidRDefault="00000000">
            <w:r>
              <w:rPr>
                <w:sz w:val="20"/>
                <w:szCs w:val="20"/>
              </w:rPr>
              <w:t>Media (CMBD)</w:t>
            </w:r>
          </w:p>
        </w:tc>
      </w:tr>
      <w:tr w:rsidR="00F34245" w14:paraId="4436EDA9"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13B9F559" w14:textId="77777777" w:rsidR="00F34245" w:rsidRDefault="00000000">
            <w:r>
              <w:rPr>
                <w:b/>
                <w:bCs/>
                <w:color w:val="1DB96A"/>
                <w:sz w:val="20"/>
                <w:szCs w:val="20"/>
              </w:rPr>
              <w:t>Opinión ciudadana</w:t>
            </w:r>
          </w:p>
        </w:tc>
        <w:tc>
          <w:tcPr>
            <w:tcW w:w="24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0060077" w14:textId="77777777" w:rsidR="00F34245" w:rsidRDefault="00000000">
            <w:r>
              <w:rPr>
                <w:sz w:val="20"/>
                <w:szCs w:val="20"/>
              </w:rPr>
              <w:t>Anual (Barómetro)</w:t>
            </w:r>
          </w:p>
        </w:tc>
        <w:tc>
          <w:tcPr>
            <w:tcW w:w="2200"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614CCAB7" w14:textId="77777777" w:rsidR="00F34245" w:rsidRDefault="00000000">
            <w:r>
              <w:rPr>
                <w:sz w:val="20"/>
                <w:szCs w:val="20"/>
              </w:rPr>
              <w:t>CCAA</w:t>
            </w:r>
          </w:p>
        </w:tc>
        <w:tc>
          <w:tcPr>
            <w:tcW w:w="1838" w:type="dxa"/>
            <w:tcBorders>
              <w:top w:val="single" w:sz="4" w:space="0" w:color="DDDDDD"/>
              <w:left w:val="single" w:sz="4" w:space="0" w:color="DDDDDD"/>
              <w:bottom w:val="single" w:sz="4" w:space="0" w:color="DDDDDD"/>
              <w:right w:val="single" w:sz="4" w:space="0" w:color="DDDDDD"/>
            </w:tcBorders>
            <w:shd w:val="clear" w:color="auto" w:fill="D4F7E8"/>
            <w:tcMar>
              <w:top w:w="80" w:type="dxa"/>
              <w:left w:w="120" w:type="dxa"/>
              <w:bottom w:w="80" w:type="dxa"/>
              <w:right w:w="120" w:type="dxa"/>
            </w:tcMar>
          </w:tcPr>
          <w:p w14:paraId="5A09C77D" w14:textId="77777777" w:rsidR="00F34245" w:rsidRDefault="00000000">
            <w:r>
              <w:rPr>
                <w:sz w:val="20"/>
                <w:szCs w:val="20"/>
              </w:rPr>
              <w:t>Baja</w:t>
            </w:r>
          </w:p>
        </w:tc>
      </w:tr>
    </w:tbl>
    <w:p w14:paraId="0A4851C7" w14:textId="77777777" w:rsidR="00F34245" w:rsidRDefault="00F34245">
      <w:pPr>
        <w:spacing w:after="120"/>
      </w:pPr>
    </w:p>
    <w:p w14:paraId="1375E98E" w14:textId="77777777" w:rsidR="00F34245" w:rsidRDefault="00000000">
      <w:pPr>
        <w:spacing w:after="80"/>
      </w:pPr>
      <w:r>
        <w:rPr>
          <w:color w:val="5A6472"/>
          <w:sz w:val="20"/>
          <w:szCs w:val="20"/>
        </w:rPr>
        <w:lastRenderedPageBreak/>
        <w:t xml:space="preserve">Interpretación: estos valores son objetivos de diseño derivados de la estructura del catálogo INCLASNS y de la experiencia del área de Salud Mental. Las cifras exactas de filas, cobertura realizada y porcentaje de proyección se documentarán, como en el resto de áreas, tras la primera ejecución completa del pipeline y quedarán reflejadas en la actualización siguiente de este cuaderno.</w:t>
      </w:r>
    </w:p>
    <w:p w14:paraId="2D8DB126" w14:textId="77777777" w:rsidR="00F34245" w:rsidRDefault="00000000">
      <w:pPr>
        <w:pStyle w:val="Ttulo1"/>
      </w:pPr>
      <w:r>
        <w:t>6. Zonas sensibles de actualización</w:t>
      </w:r>
    </w:p>
    <w:p w14:paraId="2FD1BA00" w14:textId="1919BC01" w:rsidR="00F34245" w:rsidRDefault="00000000">
      <w:pPr>
        <w:pStyle w:val="Prrafodelista"/>
        <w:numPr>
          <w:ilvl w:val="0"/>
          <w:numId w:val="2"/>
        </w:numPr>
        <w:spacing w:after="100"/>
      </w:pPr>
      <w:r>
        <w:rPr>
          <w:b/>
          <w:bCs/>
          <w:color w:val="1DB96A"/>
        </w:rPr>
        <w:t xml:space="preserve">API INCLASNS. </w:t>
      </w:r>
      <w:r>
        <w:t xml:space="preserve">Si el Ministerio de Sanidad cambia los códigos de indicador, la estructura de la respuesta JSON, los literales de género o territorio, o el esquema de dimensiones, el cliente sns_get_indicador() dejará de recuperar datos correctamente. Debe revisarse el catálogo (/api/v2/indicador) tras cada publicación oficial.</w:t>
      </w:r>
    </w:p>
    <w:p w14:paraId="1BD95883" w14:textId="77777777" w:rsidR="00F34245" w:rsidRDefault="00000000">
      <w:pPr>
        <w:pStyle w:val="Prrafodelista"/>
        <w:numPr>
          <w:ilvl w:val="0"/>
          <w:numId w:val="2"/>
        </w:numPr>
        <w:spacing w:after="100"/>
      </w:pPr>
      <w:r>
        <w:rPr>
          <w:b/>
          <w:bCs/>
          <w:color w:val="1DB96A"/>
        </w:rPr>
        <w:t xml:space="preserve">Credencial compartida. </w:t>
      </w:r>
      <w:r>
        <w:t xml:space="preserve">El token SNS_API_TOKEN y el usuario SNS_API_USER residen actualmente en el .Renviron del área de Salud Mental y se comparten con Sanidad. Su caducidad o revocación deja sin datos a ambas áreas. Se recomienda migrarlos a un secreto compartido (GitHub Secrets o gestor de credenciales) y no versionarlos en el repositorio.</w:t>
      </w:r>
    </w:p>
    <w:p w14:paraId="7C254A24" w14:textId="77777777" w:rsidR="00F34245" w:rsidRDefault="00000000">
      <w:pPr>
        <w:pStyle w:val="Prrafodelista"/>
        <w:numPr>
          <w:ilvl w:val="0"/>
          <w:numId w:val="2"/>
        </w:numPr>
        <w:spacing w:after="100"/>
      </w:pPr>
      <w:r>
        <w:rPr>
          <w:b/>
          <w:bCs/>
          <w:color w:val="1DB96A"/>
        </w:rPr>
        <w:t xml:space="preserve">Latencia heterogénea de fuentes. </w:t>
      </w:r>
      <w:r>
        <w:t>INCLASNS integra fuentes con calendarios muy distintos (INE, CMBD, encuestas, Barómetro). Los años más recientes tendrán cobertura desigual según el indicador; una ausencia no es un fallo técnico, sino latencia estadística.</w:t>
      </w:r>
    </w:p>
    <w:p w14:paraId="3D9A3BE4" w14:textId="77777777" w:rsidR="00F34245" w:rsidRDefault="00000000">
      <w:pPr>
        <w:pStyle w:val="Prrafodelista"/>
        <w:numPr>
          <w:ilvl w:val="0"/>
          <w:numId w:val="2"/>
        </w:numPr>
        <w:spacing w:after="100"/>
      </w:pPr>
      <w:r>
        <w:rPr>
          <w:b/>
          <w:bCs/>
          <w:color w:val="1DB96A"/>
        </w:rPr>
        <w:t xml:space="preserve">Saltos metodológicos de las encuestas. </w:t>
      </w:r>
      <w:r>
        <w:t>La ENSE (quinquenal), el Barómetro Sanitario (anual) y las encuestas de drogas (EDADES/ESTUDES, bienales) introducen rupturas de serie por cambios de cuestionario o de muestreo. Comparar oleadas sin advertir el salto produce tendencias artificiales.</w:t>
      </w:r>
    </w:p>
    <w:p w14:paraId="60F87A8F" w14:textId="77777777" w:rsidR="00F34245" w:rsidRDefault="00000000">
      <w:pPr>
        <w:pStyle w:val="Prrafodelista"/>
        <w:numPr>
          <w:ilvl w:val="0"/>
          <w:numId w:val="2"/>
        </w:numPr>
        <w:spacing w:after="100"/>
      </w:pPr>
      <w:r>
        <w:rPr>
          <w:b/>
          <w:bCs/>
          <w:color w:val="1DB96A"/>
        </w:rPr>
        <w:t xml:space="preserve">Diccionario de CCAA. </w:t>
      </w:r>
      <w:r>
        <w:t xml:space="preserve">Los literales sin tilde y sin espacios de la API («castillalamancha», «comunidadvalenciana»…) deben estar contemplados en R/ccaa_dictionary.R; una variante nueva no mapeada contamina los joins de forma silenciosa.</w:t>
      </w:r>
    </w:p>
    <w:p w14:paraId="3782ACE5" w14:textId="77777777" w:rsidR="00F34245" w:rsidRDefault="00000000">
      <w:pPr>
        <w:pStyle w:val="Prrafodelista"/>
        <w:numPr>
          <w:ilvl w:val="0"/>
          <w:numId w:val="2"/>
        </w:numPr>
        <w:spacing w:after="100"/>
      </w:pPr>
      <w:r>
        <w:rPr>
          <w:b/>
          <w:bCs/>
          <w:color w:val="1DB96A"/>
        </w:rPr>
        <w:t xml:space="preserve">Mezcla de años de referencia. </w:t>
      </w:r>
      <w:r>
        <w:t>Al combinar indicadores de dimensiones con distinta latencia en un mismo cuadro de mando, debe fijarse un año de referencia común o señalarse explícitamente el año de cada indicador, para no comparar realidades temporales distintas.</w:t>
      </w:r>
    </w:p>
    <w:p w14:paraId="2B2FAB14" w14:textId="77777777" w:rsidR="00F34245" w:rsidRDefault="00000000">
      <w:pPr>
        <w:pStyle w:val="Prrafodelista"/>
        <w:numPr>
          <w:ilvl w:val="0"/>
          <w:numId w:val="2"/>
        </w:numPr>
        <w:spacing w:after="100"/>
      </w:pPr>
      <w:r>
        <w:rPr>
          <w:b/>
          <w:bCs/>
          <w:color w:val="1DB96A"/>
        </w:rPr>
        <w:t xml:space="preserve">Denominadores y estandarización. </w:t>
      </w:r>
      <w:r>
        <w:t>Los indicadores per cápita y las tasas ajustadas dependen de denominadores poblacionales coherentes; una desincronización entre la serie poblacional y el numerador rompe la comparabilidad entre comunidades.</w:t>
      </w:r>
    </w:p>
    <w:p w14:paraId="5EC2E898" w14:textId="77777777" w:rsidR="00F34245" w:rsidRDefault="00000000">
      <w:pPr>
        <w:pStyle w:val="Prrafodelista"/>
        <w:numPr>
          <w:ilvl w:val="0"/>
          <w:numId w:val="2"/>
        </w:numPr>
        <w:spacing w:after="100"/>
      </w:pPr>
      <w:r>
        <w:rPr>
          <w:b/>
          <w:bCs/>
          <w:color w:val="1DB96A"/>
        </w:rPr>
        <w:t xml:space="preserve">Credenciales de base de datos. </w:t>
      </w:r>
      <w:r>
        <w:t xml:space="preserve">La carga en Supabase requiere los secretos SUPABASE_* definidos en el entorno o en CI; su ausencia desactiva la carga sin generar error, pero no actualiza el repositorio de datos.</w:t>
      </w:r>
    </w:p>
    <w:p w14:paraId="7661F03F" w14:textId="77777777" w:rsidR="00F34245" w:rsidRDefault="00000000">
      <w:pPr>
        <w:pStyle w:val="Ttulo1"/>
      </w:pPr>
      <w:r>
        <w:t>7. Puntos de mejora</w:t>
      </w:r>
    </w:p>
    <w:p w14:paraId="264AA9B5" w14:textId="77777777" w:rsidR="00F34245" w:rsidRDefault="00000000">
      <w:pPr>
        <w:pStyle w:val="Prrafodelista"/>
        <w:numPr>
          <w:ilvl w:val="0"/>
          <w:numId w:val="2"/>
        </w:numPr>
        <w:spacing w:after="100"/>
      </w:pPr>
      <w:r>
        <w:rPr>
          <w:b/>
          <w:bCs/>
          <w:color w:val="1DB96A"/>
        </w:rPr>
        <w:t xml:space="preserve">Reproducibilidad. </w:t>
      </w:r>
      <w:r>
        <w:t xml:space="preserve">Fijar versiones de R con renv (ineapir, httr, jsonlite, forecast, prophet, ranger, xgboost) para garantizar la reproducibilidad entre los entornos local y de integración continua.</w:t>
      </w:r>
    </w:p>
    <w:p w14:paraId="195D5228" w14:textId="77777777" w:rsidR="00F34245" w:rsidRDefault="00000000">
      <w:pPr>
        <w:pStyle w:val="Prrafodelista"/>
        <w:numPr>
          <w:ilvl w:val="0"/>
          <w:numId w:val="2"/>
        </w:numPr>
        <w:spacing w:after="100"/>
      </w:pPr>
      <w:r>
        <w:rPr>
          <w:b/>
          <w:bCs/>
          <w:color w:val="1DB96A"/>
        </w:rPr>
        <w:t xml:space="preserve">Catálogo dinámico. </w:t>
      </w:r>
      <w:r>
        <w:t>Descargar y versionar automáticamente el catálogo INCLASNS (/api/v2/indicador) en cada ejecución, detectando altas, bajas y cambios de código de indicador respecto a la ejecución previa.</w:t>
      </w:r>
    </w:p>
    <w:p w14:paraId="2C25945C" w14:textId="77777777" w:rsidR="00F34245" w:rsidRDefault="00000000">
      <w:pPr>
        <w:pStyle w:val="Prrafodelista"/>
        <w:numPr>
          <w:ilvl w:val="0"/>
          <w:numId w:val="2"/>
        </w:numPr>
        <w:spacing w:after="100"/>
      </w:pPr>
      <w:r>
        <w:rPr>
          <w:b/>
          <w:bCs/>
          <w:color w:val="1DB96A"/>
        </w:rPr>
        <w:t xml:space="preserve">Tests de regresión. </w:t>
      </w:r>
      <w:r>
        <w:t>Incorporar comprobaciones automáticas: cobertura mínima por CCAA, rango temporal esperado, porcentaje máximo tolerable de NA por indicador y coherencia de la bandera real/proyección.</w:t>
      </w:r>
    </w:p>
    <w:p w14:paraId="38B9605E" w14:textId="77777777" w:rsidR="00F34245" w:rsidRDefault="00000000">
      <w:pPr>
        <w:pStyle w:val="Prrafodelista"/>
        <w:numPr>
          <w:ilvl w:val="0"/>
          <w:numId w:val="2"/>
        </w:numPr>
        <w:spacing w:after="100"/>
      </w:pPr>
      <w:r>
        <w:rPr>
          <w:b/>
          <w:bCs/>
          <w:color w:val="1DB96A"/>
        </w:rPr>
        <w:t xml:space="preserve">Ajuste por necesidad y estandarización. </w:t>
      </w:r>
      <w:r>
        <w:t>Desarrollar un módulo explícito y reutilizable de ajuste por necesidad y de estandarización por edad, para sustentar comparaciones de eficiencia entre CCAA metodológicamente sólidas.</w:t>
      </w:r>
    </w:p>
    <w:p w14:paraId="3AB2D2E9" w14:textId="77777777" w:rsidR="00F34245" w:rsidRDefault="00000000">
      <w:pPr>
        <w:pStyle w:val="Prrafodelista"/>
        <w:numPr>
          <w:ilvl w:val="0"/>
          <w:numId w:val="2"/>
        </w:numPr>
        <w:spacing w:after="100"/>
      </w:pPr>
      <w:r>
        <w:rPr>
          <w:b/>
          <w:bCs/>
          <w:color w:val="1DB96A"/>
        </w:rPr>
        <w:lastRenderedPageBreak/>
        <w:t xml:space="preserve">Índices sintéticos. </w:t>
      </w:r>
      <w:r>
        <w:t>Construir índices por dimensión (por ejemplo, de accesibilidad o de resultados) que resuman la posición relativa de cada comunidad, con análisis de sensibilidad de la ponderación.</w:t>
      </w:r>
    </w:p>
    <w:p w14:paraId="79520989" w14:textId="77777777" w:rsidR="00F34245" w:rsidRDefault="00000000">
      <w:pPr>
        <w:pStyle w:val="Prrafodelista"/>
        <w:numPr>
          <w:ilvl w:val="0"/>
          <w:numId w:val="2"/>
        </w:numPr>
        <w:spacing w:after="100"/>
      </w:pPr>
      <w:r>
        <w:rPr>
          <w:b/>
          <w:bCs/>
          <w:color w:val="1DB96A"/>
        </w:rPr>
        <w:t xml:space="preserve">Desigualdades sociales en salud. </w:t>
      </w:r>
      <w:r>
        <w:t xml:space="preserve">Explotar los ejes socioeconómicos (nse, nsc, nsi) para un módulo de gradientes por clase social y nivel de estudios, alineado con el enfoque de derechos del observatorio.</w:t>
      </w:r>
    </w:p>
    <w:p w14:paraId="5B44C541" w14:textId="77777777" w:rsidR="00F34245" w:rsidRDefault="00000000">
      <w:pPr>
        <w:pStyle w:val="Prrafodelista"/>
        <w:numPr>
          <w:ilvl w:val="0"/>
          <w:numId w:val="2"/>
        </w:numPr>
        <w:spacing w:after="100"/>
      </w:pPr>
      <w:r>
        <w:rPr>
          <w:b/>
          <w:bCs/>
          <w:color w:val="1DB96A"/>
        </w:rPr>
        <w:t xml:space="preserve">Informe de calidad automático. </w:t>
      </w:r>
      <w:r>
        <w:t xml:space="preserve">Generar un informe de calidad (JSON o Markdown) publicado como artefacto en cada ejecución de la integración continua.</w:t>
      </w:r>
    </w:p>
    <w:p w14:paraId="78502B72" w14:textId="77777777" w:rsidR="00F34245" w:rsidRDefault="00000000">
      <w:pPr>
        <w:pStyle w:val="Prrafodelista"/>
        <w:numPr>
          <w:ilvl w:val="0"/>
          <w:numId w:val="2"/>
        </w:numPr>
        <w:spacing w:after="100"/>
      </w:pPr>
      <w:r>
        <w:rPr>
          <w:b/>
          <w:bCs/>
          <w:color w:val="1DB96A"/>
        </w:rPr>
        <w:t xml:space="preserve">Carga robusta. </w:t>
      </w:r>
      <w:r>
        <w:t xml:space="preserve">Endurecer la carga a base de datos con un patrón staging-swap que evite escrituras parciales en caso de error durante la actualización.</w:t>
      </w:r>
    </w:p>
    <w:p w14:paraId="369FB6A4" w14:textId="77777777" w:rsidR="00F34245" w:rsidRDefault="00000000">
      <w:pPr>
        <w:pStyle w:val="Prrafodelista"/>
        <w:numPr>
          <w:ilvl w:val="0"/>
          <w:numId w:val="2"/>
        </w:numPr>
        <w:spacing w:after="100"/>
      </w:pPr>
      <w:r>
        <w:rPr>
          <w:b/>
          <w:bCs/>
          <w:color w:val="1DB96A"/>
        </w:rPr>
        <w:t xml:space="preserve">Transparencia del dato. </w:t>
      </w:r>
      <w:r>
        <w:t>Separar en el diccionario de datos las columnas observadas de las derivadas o imputadas por el observatorio, para una interpretación y comunicación pública transparentes.</w:t>
      </w:r>
    </w:p>
    <w:p w14:paraId="282E7F95" w14:textId="77777777" w:rsidR="00F34245" w:rsidRDefault="00000000">
      <w:pPr>
        <w:pStyle w:val="Ttulo1"/>
      </w:pPr>
      <w:r>
        <w:t>8. Recomendaciones operativas de actualización</w:t>
      </w:r>
    </w:p>
    <w:p w14:paraId="1AE12DFB" w14:textId="77777777" w:rsidR="00F34245" w:rsidRDefault="00000000">
      <w:pPr>
        <w:pStyle w:val="Prrafodelista"/>
        <w:numPr>
          <w:ilvl w:val="0"/>
          <w:numId w:val="2"/>
        </w:numPr>
        <w:spacing w:after="100"/>
      </w:pPr>
      <w:r>
        <w:rPr>
          <w:b/>
          <w:bCs/>
          <w:color w:val="1DB96A"/>
        </w:rPr>
        <w:t xml:space="preserve">Validación previa sin base de datos. </w:t>
      </w:r>
      <w:r>
        <w:t>Ejecutar el pipeline completo sin base de datos (--with-db=false) en local para validar cobertura y calidad antes de publicar.</w:t>
      </w:r>
    </w:p>
    <w:p w14:paraId="4BADA829" w14:textId="77777777" w:rsidR="00F34245" w:rsidRDefault="00000000">
      <w:pPr>
        <w:pStyle w:val="Prrafodelista"/>
        <w:numPr>
          <w:ilvl w:val="0"/>
          <w:numId w:val="2"/>
        </w:numPr>
        <w:spacing w:after="100"/>
      </w:pPr>
      <w:r>
        <w:rPr>
          <w:b/>
          <w:bCs/>
          <w:color w:val="1DB96A"/>
        </w:rPr>
        <w:t xml:space="preserve">Revisión del catálogo oficial. </w:t>
      </w:r>
      <w:r>
        <w:t>Comprobar el catálogo INCLASNS tras cada publicación oficial del Ministerio; un cambio de código o de dimensión debe reflejarse en la configuración de indicadores antes de la siguiente extracción.</w:t>
      </w:r>
    </w:p>
    <w:p w14:paraId="60190CA7" w14:textId="77777777" w:rsidR="00F34245" w:rsidRDefault="00000000">
      <w:pPr>
        <w:pStyle w:val="Prrafodelista"/>
        <w:numPr>
          <w:ilvl w:val="0"/>
          <w:numId w:val="2"/>
        </w:numPr>
        <w:spacing w:after="100"/>
      </w:pPr>
      <w:r>
        <w:rPr>
          <w:b/>
          <w:bCs/>
          <w:color w:val="1DB96A"/>
        </w:rPr>
        <w:t xml:space="preserve">Foco en los años recientes. </w:t>
      </w:r>
      <w:r>
        <w:t>Revisar los logs de cobertura de los dos años más recientes, los más sensibles a la latencia estadística y a la proyección.</w:t>
      </w:r>
    </w:p>
    <w:p w14:paraId="3C0741C1" w14:textId="77777777" w:rsidR="00F34245" w:rsidRDefault="00000000">
      <w:pPr>
        <w:pStyle w:val="Prrafodelista"/>
        <w:numPr>
          <w:ilvl w:val="0"/>
          <w:numId w:val="2"/>
        </w:numPr>
        <w:spacing w:after="100"/>
      </w:pPr>
      <w:r>
        <w:rPr>
          <w:b/>
          <w:bCs/>
          <w:color w:val="1DB96A"/>
        </w:rPr>
        <w:t xml:space="preserve">Comparabilidad antes de comparar. </w:t>
      </w:r>
      <w:r>
        <w:t>No comparar comunidades autónomas sin verificar que el indicador está ajustado por edad o, en su defecto, sin aplicar la estandarización; documentar siempre el año de referencia de cada indicador.</w:t>
      </w:r>
    </w:p>
    <w:p w14:paraId="7D724FD8" w14:textId="77777777" w:rsidR="00F34245" w:rsidRDefault="00000000">
      <w:pPr>
        <w:pStyle w:val="Prrafodelista"/>
        <w:numPr>
          <w:ilvl w:val="0"/>
          <w:numId w:val="2"/>
        </w:numPr>
        <w:spacing w:after="100"/>
      </w:pPr>
      <w:r>
        <w:rPr>
          <w:b/>
          <w:bCs/>
          <w:color w:val="1DB96A"/>
        </w:rPr>
        <w:t xml:space="preserve">Validación de Canarias. </w:t>
      </w:r>
      <w:r>
        <w:t>Validar manualmente una muestra de registros de Canarias tras cada actualización, contrastándolos con la ficha pública del indicador en INCLASNS.</w:t>
      </w:r>
    </w:p>
    <w:p w14:paraId="256DFD4B" w14:textId="77777777" w:rsidR="00F34245" w:rsidRDefault="00000000">
      <w:pPr>
        <w:pStyle w:val="Prrafodelista"/>
        <w:numPr>
          <w:ilvl w:val="0"/>
          <w:numId w:val="2"/>
        </w:numPr>
        <w:spacing w:after="100"/>
      </w:pPr>
      <w:r>
        <w:rPr>
          <w:b/>
          <w:bCs/>
          <w:color w:val="1DB96A"/>
        </w:rPr>
        <w:t xml:space="preserve">Vigencia de credenciales. </w:t>
      </w:r>
      <w:r>
        <w:t xml:space="preserve">Verificar la vigencia del token de API y de los secretos de Supabase antes de una ejecución con carga; una credencial caducada no genera error de pipeline, pero deja la tabla de producción sin actualizar.</w:t>
      </w:r>
    </w:p>
    <w:p w14:paraId="079AE869" w14:textId="77777777" w:rsidR="00F34245" w:rsidRDefault="00000000">
      <w:pPr>
        <w:pStyle w:val="Prrafodelista"/>
        <w:numPr>
          <w:ilvl w:val="0"/>
          <w:numId w:val="2"/>
        </w:numPr>
        <w:spacing w:after="100"/>
      </w:pPr>
      <w:r>
        <w:rPr>
          <w:b/>
          <w:bCs/>
          <w:color w:val="1DB96A"/>
        </w:rPr>
        <w:t xml:space="preserve">Prueba del diccionario territorial. </w:t>
      </w:r>
      <w:r>
        <w:t>Tras cualquier cambio en R/ccaa_dictionary.R, ejecutar solo la transformación sobre el último RDS de extracción para verificar que ninguna comunidad queda sin mapear.</w:t>
      </w:r>
    </w:p>
    <w:p w14:paraId="5CD2C688" w14:textId="77777777" w:rsidR="00F34245" w:rsidRDefault="00000000">
      <w:pPr>
        <w:pStyle w:val="Ttulo1"/>
      </w:pPr>
      <w:r>
        <w:t>9. Anexo de artefactos principales</w:t>
      </w:r>
    </w:p>
    <w:p w14:paraId="1D1726B3" w14:textId="4F0046EF" w:rsidR="00F34245" w:rsidRDefault="00000000">
      <w:pPr>
        <w:pStyle w:val="Prrafodelista"/>
        <w:numPr>
          <w:ilvl w:val="0"/>
          <w:numId w:val="2"/>
        </w:numPr>
        <w:spacing w:after="100"/>
      </w:pPr>
      <w:r>
        <w:rPr>
          <w:b/>
          <w:bCs/>
          <w:color w:val="1DB96A"/>
        </w:rPr>
        <w:t xml:space="preserve">Sanidad/1_extraccion/*.rds: </w:t>
      </w:r>
      <w:r>
        <w:t xml:space="preserve">un RDS por indicador o familia de indicadores descargado del INCLASNS, con columnas indicador_codigo, indicador_nombre, ccaa_raw, anio, género y valor.</w:t>
      </w:r>
    </w:p>
    <w:p w14:paraId="1C346BF5" w14:textId="77777777" w:rsidR="00F34245" w:rsidRDefault="00000000">
      <w:pPr>
        <w:pStyle w:val="Prrafodelista"/>
        <w:numPr>
          <w:ilvl w:val="0"/>
          <w:numId w:val="2"/>
        </w:numPr>
        <w:spacing w:after="100"/>
      </w:pPr>
      <w:r>
        <w:rPr>
          <w:b/>
          <w:bCs/>
          <w:color w:val="1DB96A"/>
        </w:rPr>
        <w:t xml:space="preserve">Sanidad/1_extraccion/poblacion.rds: </w:t>
      </w:r>
      <w:r>
        <w:t>serie poblacional de denominadores (INCLASNS 9000+ e INE).</w:t>
      </w:r>
    </w:p>
    <w:p w14:paraId="221E620F" w14:textId="2A737DBE" w:rsidR="00F34245" w:rsidRDefault="00000000">
      <w:pPr>
        <w:pStyle w:val="Prrafodelista"/>
        <w:numPr>
          <w:ilvl w:val="0"/>
          <w:numId w:val="2"/>
        </w:numPr>
        <w:spacing w:after="100"/>
      </w:pPr>
      <w:r>
        <w:rPr>
          <w:b/>
          <w:bCs/>
          <w:color w:val="1DB96A"/>
        </w:rPr>
        <w:t xml:space="preserve">Sanidad/2_transformacion/ced_sanidad.rds: </w:t>
      </w:r>
      <w:r>
        <w:t xml:space="preserve">dataset longitudinal consolidado, normalizado y estandarizado por (ccaa, periodo, género, indicador).</w:t>
      </w:r>
    </w:p>
    <w:p w14:paraId="02A49AF1" w14:textId="77777777" w:rsidR="00F34245" w:rsidRDefault="00000000">
      <w:pPr>
        <w:pStyle w:val="Prrafodelista"/>
        <w:numPr>
          <w:ilvl w:val="0"/>
          <w:numId w:val="2"/>
        </w:numPr>
        <w:spacing w:after="100"/>
      </w:pPr>
      <w:r>
        <w:rPr>
          <w:b/>
          <w:bCs/>
          <w:color w:val="1DB96A"/>
        </w:rPr>
        <w:t xml:space="preserve">Sanidad/3_modelado/ced_sanidad.rds: </w:t>
      </w:r>
      <w:r>
        <w:t xml:space="preserve">mismo dataset con proyecciones y bandera origen incorporadas.</w:t>
      </w:r>
    </w:p>
    <w:p w14:paraId="7FD8B995" w14:textId="77777777" w:rsidR="00F34245" w:rsidRDefault="00000000">
      <w:pPr>
        <w:pStyle w:val="Prrafodelista"/>
        <w:numPr>
          <w:ilvl w:val="0"/>
          <w:numId w:val="2"/>
        </w:numPr>
        <w:spacing w:after="100"/>
      </w:pPr>
      <w:r>
        <w:rPr>
          <w:b/>
          <w:bCs/>
          <w:color w:val="1DB96A"/>
        </w:rPr>
        <w:t xml:space="preserve">Sanidad/3_modelado/seleccion_algoritmo_proyeccion_*.csv: </w:t>
      </w:r>
      <w:r>
        <w:t>comparativa de error de los algoritmos evaluados y selección de candidato por variable.</w:t>
      </w:r>
    </w:p>
    <w:p w14:paraId="38548583" w14:textId="77777777" w:rsidR="00F34245" w:rsidRDefault="00000000">
      <w:pPr>
        <w:pStyle w:val="Prrafodelista"/>
        <w:numPr>
          <w:ilvl w:val="0"/>
          <w:numId w:val="2"/>
        </w:numPr>
        <w:spacing w:after="100"/>
      </w:pPr>
      <w:r>
        <w:rPr>
          <w:b/>
          <w:bCs/>
          <w:color w:val="1DB96A"/>
        </w:rPr>
        <w:lastRenderedPageBreak/>
        <w:t xml:space="preserve">Sanidad/4_carga/global_sanidad y gen_sanidad (.csv/.xlsx): </w:t>
      </w:r>
      <w:r>
        <w:t xml:space="preserve">tablas finales de distribución pública (global por CCAA·año y desglose por género), también cargadas en el schema canendatos de Supabase con RLS de solo lectura.</w:t>
      </w:r>
    </w:p>
    <w:p w14:paraId="1D92D114" w14:textId="77777777" w:rsidR="00F34245" w:rsidRDefault="00000000">
      <w:pPr>
        <w:pStyle w:val="Prrafodelista"/>
        <w:numPr>
          <w:ilvl w:val="0"/>
          <w:numId w:val="2"/>
        </w:numPr>
        <w:spacing w:after="100"/>
      </w:pPr>
      <w:r>
        <w:rPr>
          <w:b/>
          <w:bCs/>
          <w:color w:val="1DB96A"/>
        </w:rPr>
        <w:t xml:space="preserve">Sanidad/5_visualizacion/: </w:t>
      </w:r>
      <w:r>
        <w:t xml:space="preserve">artefactos de difusión (storytelling D3, cuadros de mando y libros de Tableau/Power BI).</w:t>
      </w:r>
    </w:p>
    <w:p w14:paraId="246BA19E" w14:textId="77777777" w:rsidR="00F34245" w:rsidRDefault="00000000">
      <w:pPr>
        <w:pStyle w:val="Prrafodelista"/>
        <w:numPr>
          <w:ilvl w:val="0"/>
          <w:numId w:val="2"/>
        </w:numPr>
        <w:spacing w:after="100"/>
      </w:pPr>
      <w:r>
        <w:rPr>
          <w:b/>
          <w:bCs/>
          <w:color w:val="1DB96A"/>
        </w:rPr>
        <w:t xml:space="preserve">Infraestructura compartida: </w:t>
      </w:r>
      <w:r>
        <w:t xml:space="preserve">R/ccaa_dictionary.R, R/pipeline_utils.R (cliente sns_get_indicador y utilidades) y 00_maestro.R, heredados y adaptados del área de Salud Mental.</w:t>
      </w:r>
    </w:p>
    <w:p w14:paraId="5023EA76" w14:textId="77777777" w:rsidR="00F34245" w:rsidRDefault="00000000">
      <w:pPr>
        <w:pStyle w:val="Prrafodelista"/>
        <w:numPr>
          <w:ilvl w:val="0"/>
          <w:numId w:val="2"/>
        </w:numPr>
        <w:spacing w:after="100"/>
      </w:pPr>
      <w:r>
        <w:rPr>
          <w:b/>
          <w:bCs/>
          <w:color w:val="1DB96A"/>
        </w:rPr>
        <w:t xml:space="preserve">Referencia de la fuente: </w:t>
      </w:r>
      <w:r>
        <w:t>catálogo INCLASNS en https://inclasns.sanidad.gob.es/api/v2/indicador (205 indicadores) y fichas metodológicas del Ministerio de Sanidad.</w:t>
      </w:r>
    </w:p>
    <w:sectPr w:rsidR="00F3424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F3748E" w14:textId="77777777" w:rsidR="00A94293" w:rsidRDefault="00A94293">
      <w:r>
        <w:separator/>
      </w:r>
    </w:p>
  </w:endnote>
  <w:endnote w:type="continuationSeparator" w:id="0">
    <w:p w14:paraId="06D22AB6" w14:textId="77777777" w:rsidR="00A94293" w:rsidRDefault="00A94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74EDDA" w14:textId="77777777" w:rsidR="00F34245" w:rsidRDefault="00000000">
    <w:pPr>
      <w:pBdr>
        <w:top w:val="single" w:sz="4" w:space="4" w:color="44E597"/>
      </w:pBdr>
      <w:jc w:val="right"/>
    </w:pPr>
    <w:r>
      <w:rPr>
        <w:color w:val="5A6472"/>
        <w:sz w:val="18"/>
        <w:szCs w:val="18"/>
      </w:rPr>
      <w:t xml:space="preserve">Página </w:t>
    </w:r>
    <w:r>
      <w:rPr>
        <w:color w:val="5A6472"/>
        <w:sz w:val="18"/>
        <w:szCs w:val="18"/>
      </w:rPr>
      <w:fldChar w:fldCharType="begin"/>
    </w:r>
    <w:r>
      <w:rPr>
        <w:color w:val="5A6472"/>
        <w:sz w:val="18"/>
        <w:szCs w:val="18"/>
      </w:rPr>
      <w:instrText>PAGE</w:instrText>
    </w:r>
    <w:r>
      <w:rPr>
        <w:color w:val="5A6472"/>
        <w:sz w:val="18"/>
        <w:szCs w:val="18"/>
      </w:rPr>
      <w:fldChar w:fldCharType="separate"/>
    </w:r>
    <w:r w:rsidR="008108A7">
      <w:rPr>
        <w:noProof/>
        <w:color w:val="5A6472"/>
        <w:sz w:val="18"/>
        <w:szCs w:val="18"/>
      </w:rPr>
      <w:t>1</w:t>
    </w:r>
    <w:r>
      <w:rPr>
        <w:color w:val="5A64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993440" w14:textId="77777777" w:rsidR="00A94293" w:rsidRDefault="00A94293">
      <w:r>
        <w:separator/>
      </w:r>
    </w:p>
  </w:footnote>
  <w:footnote w:type="continuationSeparator" w:id="0">
    <w:p w14:paraId="6915803D" w14:textId="77777777" w:rsidR="00A94293" w:rsidRDefault="00A942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511EB5" w14:textId="77777777" w:rsidR="00F34245" w:rsidRDefault="00000000">
    <w:pPr>
      <w:pBdr>
        <w:bottom w:val="single" w:sz="6" w:space="4" w:color="44E597"/>
      </w:pBdr>
      <w:spacing w:after="120"/>
      <w:jc w:val="right"/>
    </w:pPr>
    <w:r>
      <w:rPr>
        <w:color w:val="5A6472"/>
        <w:sz w:val="18"/>
        <w:szCs w:val="18"/>
      </w:rPr>
      <w:t xml:space="preserve">Cuaderno metodológico · Pipeline Sanidad · </w:t>
    </w:r>
    <w:r>
      <w:rPr>
        <w:b/>
        <w:bCs/>
        <w:color w:val="1DB96A"/>
        <w:sz w:val="18"/>
        <w:szCs w:val="18"/>
      </w:rPr>
      <w:t>Canarias en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013C61"/>
    <w:multiLevelType w:val="hybridMultilevel"/>
    <w:tmpl w:val="33DCCDC2"/>
    <w:lvl w:ilvl="0" w:tplc="3A1E1F3A">
      <w:start w:val="1"/>
      <w:numFmt w:val="bullet"/>
      <w:lvlText w:val="–"/>
      <w:lvlJc w:val="left"/>
      <w:pPr>
        <w:ind w:left="720" w:hanging="360"/>
      </w:pPr>
    </w:lvl>
    <w:lvl w:ilvl="1" w:tplc="59D8065E">
      <w:numFmt w:val="decimal"/>
      <w:lvlText w:val=""/>
      <w:lvlJc w:val="left"/>
    </w:lvl>
    <w:lvl w:ilvl="2" w:tplc="7F5C5A76">
      <w:numFmt w:val="decimal"/>
      <w:lvlText w:val=""/>
      <w:lvlJc w:val="left"/>
    </w:lvl>
    <w:lvl w:ilvl="3" w:tplc="B7D84FC2">
      <w:numFmt w:val="decimal"/>
      <w:lvlText w:val=""/>
      <w:lvlJc w:val="left"/>
    </w:lvl>
    <w:lvl w:ilvl="4" w:tplc="1C9C0CFA">
      <w:numFmt w:val="decimal"/>
      <w:lvlText w:val=""/>
      <w:lvlJc w:val="left"/>
    </w:lvl>
    <w:lvl w:ilvl="5" w:tplc="2A520D4C">
      <w:numFmt w:val="decimal"/>
      <w:lvlText w:val=""/>
      <w:lvlJc w:val="left"/>
    </w:lvl>
    <w:lvl w:ilvl="6" w:tplc="A23A05A0">
      <w:numFmt w:val="decimal"/>
      <w:lvlText w:val=""/>
      <w:lvlJc w:val="left"/>
    </w:lvl>
    <w:lvl w:ilvl="7" w:tplc="1F58ED4A">
      <w:numFmt w:val="decimal"/>
      <w:lvlText w:val=""/>
      <w:lvlJc w:val="left"/>
    </w:lvl>
    <w:lvl w:ilvl="8" w:tplc="E1F88866">
      <w:numFmt w:val="decimal"/>
      <w:lvlText w:val=""/>
      <w:lvlJc w:val="left"/>
    </w:lvl>
  </w:abstractNum>
  <w:abstractNum w:abstractNumId="1" w15:restartNumberingAfterBreak="0">
    <w:nsid w:val="396D4C96"/>
    <w:multiLevelType w:val="hybridMultilevel"/>
    <w:tmpl w:val="B4F011CE"/>
    <w:lvl w:ilvl="0" w:tplc="52BA2B68">
      <w:start w:val="1"/>
      <w:numFmt w:val="decimal"/>
      <w:lvlText w:val="%1."/>
      <w:lvlJc w:val="left"/>
      <w:pPr>
        <w:ind w:left="720" w:hanging="360"/>
      </w:pPr>
    </w:lvl>
    <w:lvl w:ilvl="1" w:tplc="7DB2735A">
      <w:numFmt w:val="decimal"/>
      <w:lvlText w:val=""/>
      <w:lvlJc w:val="left"/>
    </w:lvl>
    <w:lvl w:ilvl="2" w:tplc="B54A8374">
      <w:numFmt w:val="decimal"/>
      <w:lvlText w:val=""/>
      <w:lvlJc w:val="left"/>
    </w:lvl>
    <w:lvl w:ilvl="3" w:tplc="56D24EBA">
      <w:numFmt w:val="decimal"/>
      <w:lvlText w:val=""/>
      <w:lvlJc w:val="left"/>
    </w:lvl>
    <w:lvl w:ilvl="4" w:tplc="CC34A06C">
      <w:numFmt w:val="decimal"/>
      <w:lvlText w:val=""/>
      <w:lvlJc w:val="left"/>
    </w:lvl>
    <w:lvl w:ilvl="5" w:tplc="BF7EC862">
      <w:numFmt w:val="decimal"/>
      <w:lvlText w:val=""/>
      <w:lvlJc w:val="left"/>
    </w:lvl>
    <w:lvl w:ilvl="6" w:tplc="CBD8C5E6">
      <w:numFmt w:val="decimal"/>
      <w:lvlText w:val=""/>
      <w:lvlJc w:val="left"/>
    </w:lvl>
    <w:lvl w:ilvl="7" w:tplc="AFBEB38A">
      <w:numFmt w:val="decimal"/>
      <w:lvlText w:val=""/>
      <w:lvlJc w:val="left"/>
    </w:lvl>
    <w:lvl w:ilvl="8" w:tplc="3A320E30">
      <w:numFmt w:val="decimal"/>
      <w:lvlText w:val=""/>
      <w:lvlJc w:val="left"/>
    </w:lvl>
  </w:abstractNum>
  <w:abstractNum w:abstractNumId="2" w15:restartNumberingAfterBreak="0">
    <w:nsid w:val="4A5A19E1"/>
    <w:multiLevelType w:val="hybridMultilevel"/>
    <w:tmpl w:val="23B407B4"/>
    <w:lvl w:ilvl="0" w:tplc="F1F61FBC">
      <w:start w:val="1"/>
      <w:numFmt w:val="bullet"/>
      <w:lvlText w:val="●"/>
      <w:lvlJc w:val="left"/>
      <w:pPr>
        <w:ind w:left="720" w:hanging="360"/>
      </w:pPr>
    </w:lvl>
    <w:lvl w:ilvl="1" w:tplc="BD0AA14A">
      <w:start w:val="1"/>
      <w:numFmt w:val="bullet"/>
      <w:lvlText w:val="○"/>
      <w:lvlJc w:val="left"/>
      <w:pPr>
        <w:ind w:left="1440" w:hanging="360"/>
      </w:pPr>
    </w:lvl>
    <w:lvl w:ilvl="2" w:tplc="16FE6AD6">
      <w:start w:val="1"/>
      <w:numFmt w:val="bullet"/>
      <w:lvlText w:val="■"/>
      <w:lvlJc w:val="left"/>
      <w:pPr>
        <w:ind w:left="2160" w:hanging="360"/>
      </w:pPr>
    </w:lvl>
    <w:lvl w:ilvl="3" w:tplc="1F22CA8C">
      <w:start w:val="1"/>
      <w:numFmt w:val="bullet"/>
      <w:lvlText w:val="●"/>
      <w:lvlJc w:val="left"/>
      <w:pPr>
        <w:ind w:left="2880" w:hanging="360"/>
      </w:pPr>
    </w:lvl>
    <w:lvl w:ilvl="4" w:tplc="D70C8782">
      <w:start w:val="1"/>
      <w:numFmt w:val="bullet"/>
      <w:lvlText w:val="○"/>
      <w:lvlJc w:val="left"/>
      <w:pPr>
        <w:ind w:left="3600" w:hanging="360"/>
      </w:pPr>
    </w:lvl>
    <w:lvl w:ilvl="5" w:tplc="16B45740">
      <w:start w:val="1"/>
      <w:numFmt w:val="bullet"/>
      <w:lvlText w:val="■"/>
      <w:lvlJc w:val="left"/>
      <w:pPr>
        <w:ind w:left="4320" w:hanging="360"/>
      </w:pPr>
    </w:lvl>
    <w:lvl w:ilvl="6" w:tplc="BD785798">
      <w:start w:val="1"/>
      <w:numFmt w:val="bullet"/>
      <w:lvlText w:val="●"/>
      <w:lvlJc w:val="left"/>
      <w:pPr>
        <w:ind w:left="5040" w:hanging="360"/>
      </w:pPr>
    </w:lvl>
    <w:lvl w:ilvl="7" w:tplc="C5223EC8">
      <w:start w:val="1"/>
      <w:numFmt w:val="bullet"/>
      <w:lvlText w:val="●"/>
      <w:lvlJc w:val="left"/>
      <w:pPr>
        <w:ind w:left="5760" w:hanging="360"/>
      </w:pPr>
    </w:lvl>
    <w:lvl w:ilvl="8" w:tplc="D42646F4">
      <w:start w:val="1"/>
      <w:numFmt w:val="bullet"/>
      <w:lvlText w:val="●"/>
      <w:lvlJc w:val="left"/>
      <w:pPr>
        <w:ind w:left="6480" w:hanging="360"/>
      </w:pPr>
    </w:lvl>
  </w:abstractNum>
  <w:num w:numId="1" w16cid:durableId="1627588730">
    <w:abstractNumId w:val="2"/>
    <w:lvlOverride w:ilvl="0">
      <w:startOverride w:val="1"/>
    </w:lvlOverride>
  </w:num>
  <w:num w:numId="2" w16cid:durableId="1933313239">
    <w:abstractNumId w:val="1"/>
    <w:lvlOverride w:ilvl="0">
      <w:startOverride w:val="1"/>
    </w:lvlOverride>
  </w:num>
  <w:num w:numId="3" w16cid:durableId="173835626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245"/>
    <w:rsid w:val="002C48ED"/>
    <w:rsid w:val="0041501D"/>
    <w:rsid w:val="00445872"/>
    <w:rsid w:val="005935D4"/>
    <w:rsid w:val="008108A7"/>
    <w:rsid w:val="00877D21"/>
    <w:rsid w:val="00A94293"/>
    <w:rsid w:val="00F342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E7A9F6B"/>
  <w15:docId w15:val="{84F09662-7C44-144C-8FA5-7B6D7F0D8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2B3C"/>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44E597"/>
      </w:pBdr>
      <w:spacing w:before="360" w:after="180"/>
      <w:outlineLvl w:val="0"/>
    </w:pPr>
    <w:rPr>
      <w:b/>
      <w:bCs/>
      <w:color w:val="1DB96A"/>
      <w:sz w:val="32"/>
      <w:szCs w:val="32"/>
    </w:rPr>
  </w:style>
  <w:style w:type="paragraph" w:styleId="Ttulo2">
    <w:name w:val="heading 2"/>
    <w:uiPriority w:val="9"/>
    <w:unhideWhenUsed/>
    <w:qFormat/>
    <w:pPr>
      <w:spacing w:before="240" w:after="12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3646</Words>
  <Characters>20059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Cuaderno metodológico · Pipeline Sanidad</vt:lpstr>
    </vt:vector>
  </TitlesOfParts>
  <Company/>
  <LinksUpToDate>false</LinksUpToDate>
  <CharactersWithSpaces>23658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metodológico · Pipeline Sanidad</dc:title>
  <dc:creator>ODESOCAN · Canarias en Datos</dc:creator>
  <cp:lastModifiedBy>cristian perdomo vega</cp:lastModifiedBy>
  <cp:revision>2</cp:revision>
  <dcterms:created xsi:type="dcterms:W3CDTF">2026-07-22T00:00:00Z</dcterms:created>
  <dcterms:modified xsi:type="dcterms:W3CDTF">2026-07-22T13:49:00Z</dcterms:modified>
</cp:coreProperties>
</file>