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Cuaderno metodológico</w:t>
        <w:br/>
        <w:t>Pipeline Vivienda</w:t>
      </w:r>
    </w:p>
    <w:p>
      <w:pPr>
        <w:jc w:val="center"/>
      </w:pPr>
      <w:r>
        <w:rPr>
          <w:sz w:val="22"/>
        </w:rPr>
        <w:t>Canarias en Datos</w:t>
        <w:br/>
        <w:t>Versión del documento: 27/03/2026</w:t>
      </w:r>
    </w:p>
    <w:p>
      <w:r>
        <w:rPr>
          <w:b/>
        </w:rPr>
        <w:t xml:space="preserve">Objeto del documento: </w:t>
      </w:r>
      <w:r>
        <w:t>documentar la estructura modular del pipeline de Vivienda, las variables tratadas, su origen, el proceso de depuración y modelado, las zonas sensibles de actualización y los puntos de mejora para su automatización y mantenimiento.</w:t>
      </w:r>
    </w:p>
    <w:p>
      <w:pPr>
        <w:pStyle w:val="Heading1"/>
      </w:pPr>
      <w:r>
        <w:t>1. Organización modular del pipeline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
              <w:rPr>
                <w:b/>
                <w:sz w:val="20"/>
              </w:rPr>
              <w:t>Módulo</w:t>
            </w:r>
          </w:p>
        </w:tc>
        <w:tc>
          <w:tcPr>
            <w:tcW w:type="dxa" w:w="2484"/>
          </w:tcPr>
          <w:p>
            <w:r/>
            <w:r>
              <w:rPr>
                <w:b/>
                <w:sz w:val="20"/>
              </w:rPr>
              <w:t>Función principal</w:t>
            </w:r>
          </w:p>
        </w:tc>
        <w:tc>
          <w:tcPr>
            <w:tcW w:type="dxa" w:w="2484"/>
          </w:tcPr>
          <w:p>
            <w:r/>
            <w:r>
              <w:rPr>
                <w:b/>
                <w:sz w:val="20"/>
              </w:rPr>
              <w:t>Entradas</w:t>
            </w:r>
          </w:p>
        </w:tc>
        <w:tc>
          <w:tcPr>
            <w:tcW w:type="dxa" w:w="2484"/>
          </w:tcPr>
          <w:p>
            <w:r/>
            <w:r>
              <w:rPr>
                <w:b/>
                <w:sz w:val="20"/>
              </w:rPr>
              <w:t>Salidas</w:t>
            </w:r>
          </w:p>
        </w:tc>
      </w:tr>
      <w:tr>
        <w:tc>
          <w:tcPr>
            <w:tcW w:type="dxa" w:w="2484"/>
          </w:tcPr>
          <w:p>
            <w:r/>
            <w:r>
              <w:rPr>
                <w:b w:val="0"/>
                <w:sz w:val="20"/>
              </w:rPr>
              <w:t>00_maestro.R</w:t>
            </w:r>
          </w:p>
        </w:tc>
        <w:tc>
          <w:tcPr>
            <w:tcW w:type="dxa" w:w="2484"/>
          </w:tcPr>
          <w:p>
            <w:r/>
            <w:r>
              <w:rPr>
                <w:b w:val="0"/>
                <w:sz w:val="20"/>
              </w:rPr>
              <w:t>Orquesta scraping, extracción, transformación, modelado y carga mediante CLI.</w:t>
            </w:r>
          </w:p>
        </w:tc>
        <w:tc>
          <w:tcPr>
            <w:tcW w:type="dxa" w:w="2484"/>
          </w:tcPr>
          <w:p>
            <w:r/>
            <w:r>
              <w:rPr>
                <w:b w:val="0"/>
                <w:sz w:val="20"/>
              </w:rPr>
              <w:t>Parámetros --steps, --run-scraping, --with-db</w:t>
            </w:r>
          </w:p>
        </w:tc>
        <w:tc>
          <w:tcPr>
            <w:tcW w:type="dxa" w:w="2484"/>
          </w:tcPr>
          <w:p>
            <w:r/>
            <w:r>
              <w:rPr>
                <w:b w:val="0"/>
                <w:sz w:val="20"/>
              </w:rPr>
              <w:t>Ejecución secuencial y verificación de artefactos finales</w:t>
            </w:r>
          </w:p>
        </w:tc>
      </w:tr>
      <w:tr>
        <w:tc>
          <w:tcPr>
            <w:tcW w:type="dxa" w:w="2484"/>
          </w:tcPr>
          <w:p>
            <w:r/>
            <w:r>
              <w:rPr>
                <w:b w:val="0"/>
                <w:sz w:val="20"/>
              </w:rPr>
              <w:t>R/ccaa_dictionary.R</w:t>
            </w:r>
          </w:p>
        </w:tc>
        <w:tc>
          <w:tcPr>
            <w:tcW w:type="dxa" w:w="2484"/>
          </w:tcPr>
          <w:p>
            <w:r/>
            <w:r>
              <w:rPr>
                <w:b w:val="0"/>
                <w:sz w:val="20"/>
              </w:rPr>
              <w:t>Normaliza el catálogo territorial y unifica variantes de CCAA.</w:t>
            </w:r>
          </w:p>
        </w:tc>
        <w:tc>
          <w:tcPr>
            <w:tcW w:type="dxa" w:w="2484"/>
          </w:tcPr>
          <w:p>
            <w:r/>
            <w:r>
              <w:rPr>
                <w:b w:val="0"/>
                <w:sz w:val="20"/>
              </w:rPr>
              <w:t>Nombres de CCAA en múltiples formatos</w:t>
            </w:r>
          </w:p>
        </w:tc>
        <w:tc>
          <w:tcPr>
            <w:tcW w:type="dxa" w:w="2484"/>
          </w:tcPr>
          <w:p>
            <w:r/>
            <w:r>
              <w:rPr>
                <w:b w:val="0"/>
                <w:sz w:val="20"/>
              </w:rPr>
              <w:t>Diccionario oficial de niveles y equivalencias</w:t>
            </w:r>
          </w:p>
        </w:tc>
      </w:tr>
      <w:tr>
        <w:tc>
          <w:tcPr>
            <w:tcW w:type="dxa" w:w="2484"/>
          </w:tcPr>
          <w:p>
            <w:r/>
            <w:r>
              <w:rPr>
                <w:b w:val="0"/>
                <w:sz w:val="20"/>
              </w:rPr>
              <w:t>R/pipeline_utils.R</w:t>
            </w:r>
          </w:p>
        </w:tc>
        <w:tc>
          <w:tcPr>
            <w:tcW w:type="dxa" w:w="2484"/>
          </w:tcPr>
          <w:p>
            <w:r/>
            <w:r>
              <w:rPr>
                <w:b w:val="0"/>
                <w:sz w:val="20"/>
              </w:rPr>
              <w:t>Aporta validaciones, parseo de fechas, agregación territorial, chequeos de calidad y configuración.</w:t>
            </w:r>
          </w:p>
        </w:tc>
        <w:tc>
          <w:tcPr>
            <w:tcW w:type="dxa" w:w="2484"/>
          </w:tcPr>
          <w:p>
            <w:r/>
            <w:r>
              <w:rPr>
                <w:b w:val="0"/>
                <w:sz w:val="20"/>
              </w:rPr>
              <w:t>Raws, argumentos CLI y variables de entorno</w:t>
            </w:r>
          </w:p>
        </w:tc>
        <w:tc>
          <w:tcPr>
            <w:tcW w:type="dxa" w:w="2484"/>
          </w:tcPr>
          <w:p>
            <w:r/>
            <w:r>
              <w:rPr>
                <w:b w:val="0"/>
                <w:sz w:val="20"/>
              </w:rPr>
              <w:t>Funciones auxiliares reutilizables por todas las etapas</w:t>
            </w:r>
          </w:p>
        </w:tc>
      </w:tr>
      <w:tr>
        <w:tc>
          <w:tcPr>
            <w:tcW w:type="dxa" w:w="2484"/>
          </w:tcPr>
          <w:p>
            <w:r/>
            <w:r>
              <w:rPr>
                <w:b w:val="0"/>
                <w:sz w:val="20"/>
              </w:rPr>
              <w:t>fuentes/fotocasa_pipeline.py</w:t>
            </w:r>
          </w:p>
        </w:tc>
        <w:tc>
          <w:tcPr>
            <w:tcW w:type="dxa" w:w="2484"/>
          </w:tcPr>
          <w:p>
            <w:r/>
            <w:r>
              <w:rPr>
                <w:b w:val="0"/>
                <w:sz w:val="20"/>
              </w:rPr>
              <w:t>Ejecuta scraping opcional de raws Fotocasa para histórico y mensual.</w:t>
            </w:r>
          </w:p>
        </w:tc>
        <w:tc>
          <w:tcPr>
            <w:tcW w:type="dxa" w:w="2484"/>
          </w:tcPr>
          <w:p>
            <w:r/>
            <w:r>
              <w:rPr>
                <w:b w:val="0"/>
                <w:sz w:val="20"/>
              </w:rPr>
              <w:t>Salida web de Fotocasa y parámetros de ejecución</w:t>
            </w:r>
          </w:p>
        </w:tc>
        <w:tc>
          <w:tcPr>
            <w:tcW w:type="dxa" w:w="2484"/>
          </w:tcPr>
          <w:p>
            <w:r/>
            <w:r>
              <w:rPr>
                <w:b w:val="0"/>
                <w:sz w:val="20"/>
              </w:rPr>
              <w:t>CSV raw de venta y alquiler en fuentes/raw/fotocasa</w:t>
            </w:r>
          </w:p>
        </w:tc>
      </w:tr>
      <w:tr>
        <w:tc>
          <w:tcPr>
            <w:tcW w:type="dxa" w:w="2484"/>
          </w:tcPr>
          <w:p>
            <w:r/>
            <w:r>
              <w:rPr>
                <w:b w:val="0"/>
                <w:sz w:val="20"/>
              </w:rPr>
              <w:t>1_extraccion/extraccion.R</w:t>
            </w:r>
          </w:p>
        </w:tc>
        <w:tc>
          <w:tcPr>
            <w:tcW w:type="dxa" w:w="2484"/>
          </w:tcPr>
          <w:p>
            <w:r/>
            <w:r>
              <w:rPr>
                <w:b w:val="0"/>
                <w:sz w:val="20"/>
              </w:rPr>
              <w:t>Valida raws y descarga/lee fuentes externas del INE y Fotocasa.</w:t>
            </w:r>
          </w:p>
        </w:tc>
        <w:tc>
          <w:tcPr>
            <w:tcW w:type="dxa" w:w="2484"/>
          </w:tcPr>
          <w:p>
            <w:r/>
            <w:r>
              <w:rPr>
                <w:b w:val="0"/>
                <w:sz w:val="20"/>
              </w:rPr>
              <w:t>Raws Fotocasa, URLs de INE, INE API, CSV hogares mono</w:t>
            </w:r>
          </w:p>
        </w:tc>
        <w:tc>
          <w:tcPr>
            <w:tcW w:type="dxa" w:w="2484"/>
          </w:tcPr>
          <w:p>
            <w:r/>
            <w:r>
              <w:rPr>
                <w:b w:val="0"/>
                <w:sz w:val="20"/>
              </w:rPr>
              <w:t>14 datasets intermedios en 1_extraccion</w:t>
            </w:r>
          </w:p>
        </w:tc>
      </w:tr>
      <w:tr>
        <w:tc>
          <w:tcPr>
            <w:tcW w:type="dxa" w:w="2484"/>
          </w:tcPr>
          <w:p>
            <w:r/>
            <w:r>
              <w:rPr>
                <w:b w:val="0"/>
                <w:sz w:val="20"/>
              </w:rPr>
              <w:t>2_transformacion/transformacion.R</w:t>
            </w:r>
          </w:p>
        </w:tc>
        <w:tc>
          <w:tcPr>
            <w:tcW w:type="dxa" w:w="2484"/>
          </w:tcPr>
          <w:p>
            <w:r/>
            <w:r>
              <w:rPr>
                <w:b w:val="0"/>
                <w:sz w:val="20"/>
              </w:rPr>
              <w:t>Limpia, normaliza, imputa género y consolida series comparables.</w:t>
            </w:r>
          </w:p>
        </w:tc>
        <w:tc>
          <w:tcPr>
            <w:tcW w:type="dxa" w:w="2484"/>
          </w:tcPr>
          <w:p>
            <w:r/>
            <w:r>
              <w:rPr>
                <w:b w:val="0"/>
                <w:sz w:val="20"/>
              </w:rPr>
              <w:t>RDS de extracción</w:t>
            </w:r>
          </w:p>
        </w:tc>
        <w:tc>
          <w:tcPr>
            <w:tcW w:type="dxa" w:w="2484"/>
          </w:tcPr>
          <w:p>
            <w:r/>
            <w:r>
              <w:rPr>
                <w:b w:val="0"/>
                <w:sz w:val="20"/>
              </w:rPr>
              <w:t>8 series transformadas en 2_transformacion</w:t>
            </w:r>
          </w:p>
        </w:tc>
      </w:tr>
      <w:tr>
        <w:tc>
          <w:tcPr>
            <w:tcW w:type="dxa" w:w="2484"/>
          </w:tcPr>
          <w:p>
            <w:r/>
            <w:r>
              <w:rPr>
                <w:b w:val="0"/>
                <w:sz w:val="20"/>
              </w:rPr>
              <w:t>3_modelado/modelado.R</w:t>
            </w:r>
          </w:p>
        </w:tc>
        <w:tc>
          <w:tcPr>
            <w:tcW w:type="dxa" w:w="2484"/>
          </w:tcPr>
          <w:p>
            <w:r/>
            <w:r>
              <w:rPr>
                <w:b w:val="0"/>
                <w:sz w:val="20"/>
              </w:rPr>
              <w:t>Proyecta series con Prophet y deriva salario_destinado.</w:t>
            </w:r>
          </w:p>
        </w:tc>
        <w:tc>
          <w:tcPr>
            <w:tcW w:type="dxa" w:w="2484"/>
          </w:tcPr>
          <w:p>
            <w:r/>
            <w:r>
              <w:rPr>
                <w:b w:val="0"/>
                <w:sz w:val="20"/>
              </w:rPr>
              <w:t>RDS de transformación</w:t>
            </w:r>
          </w:p>
        </w:tc>
        <w:tc>
          <w:tcPr>
            <w:tcW w:type="dxa" w:w="2484"/>
          </w:tcPr>
          <w:p>
            <w:r/>
            <w:r>
              <w:rPr>
                <w:b w:val="0"/>
                <w:sz w:val="20"/>
              </w:rPr>
              <w:t>8 series modeladas en 3_modelado</w:t>
            </w:r>
          </w:p>
        </w:tc>
      </w:tr>
      <w:tr>
        <w:tc>
          <w:tcPr>
            <w:tcW w:type="dxa" w:w="2484"/>
          </w:tcPr>
          <w:p>
            <w:r/>
            <w:r>
              <w:rPr>
                <w:b w:val="0"/>
                <w:sz w:val="20"/>
              </w:rPr>
              <w:t>4_carga/carga.R</w:t>
            </w:r>
          </w:p>
        </w:tc>
        <w:tc>
          <w:tcPr>
            <w:tcW w:type="dxa" w:w="2484"/>
          </w:tcPr>
          <w:p>
            <w:r/>
            <w:r>
              <w:rPr>
                <w:b w:val="0"/>
                <w:sz w:val="20"/>
              </w:rPr>
              <w:t>Construye tablas final global y por género, exporta CSV/XLSX y opcionalmente carga en BD.</w:t>
            </w:r>
          </w:p>
        </w:tc>
        <w:tc>
          <w:tcPr>
            <w:tcW w:type="dxa" w:w="2484"/>
          </w:tcPr>
          <w:p>
            <w:r/>
            <w:r>
              <w:rPr>
                <w:b w:val="0"/>
                <w:sz w:val="20"/>
              </w:rPr>
              <w:t>RDS de modelado</w:t>
            </w:r>
          </w:p>
        </w:tc>
        <w:tc>
          <w:tcPr>
            <w:tcW w:type="dxa" w:w="2484"/>
          </w:tcPr>
          <w:p>
            <w:r/>
            <w:r>
              <w:rPr>
                <w:b w:val="0"/>
                <w:sz w:val="20"/>
              </w:rPr>
              <w:t>ced_vivienda_global.*, ced_vivienda_gen.* y tablas PostgreSQL</w:t>
            </w:r>
          </w:p>
        </w:tc>
      </w:tr>
    </w:tbl>
    <w:p>
      <w:r>
        <w:rPr>
          <w:b/>
        </w:rPr>
        <w:t xml:space="preserve">Parámetros operativos relevantes: </w:t>
      </w:r>
      <w:r>
        <w:t>el pipeline admite scraping opcional, permite saltarse etapas si existen artefactos previos y puede activar o no la escritura en base de datos. El directorio de raws esperado es Vivienda/fuentes/raw/fotocasa.</w:t>
      </w:r>
    </w:p>
    <w:p>
      <w:pPr>
        <w:pStyle w:val="Heading1"/>
      </w:pPr>
      <w:r>
        <w:t>2. Fuentes y variables tratadas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
              <w:rPr>
                <w:b/>
                <w:sz w:val="20"/>
              </w:rPr>
              <w:t>Variable final</w:t>
            </w:r>
          </w:p>
        </w:tc>
        <w:tc>
          <w:tcPr>
            <w:tcW w:type="dxa" w:w="1987"/>
          </w:tcPr>
          <w:p>
            <w:r/>
            <w:r>
              <w:rPr>
                <w:b/>
                <w:sz w:val="20"/>
              </w:rPr>
              <w:t>Origen primario</w:t>
            </w:r>
          </w:p>
        </w:tc>
        <w:tc>
          <w:tcPr>
            <w:tcW w:type="dxa" w:w="1987"/>
          </w:tcPr>
          <w:p>
            <w:r/>
            <w:r>
              <w:rPr>
                <w:b/>
                <w:sz w:val="20"/>
              </w:rPr>
              <w:t>Nivel</w:t>
            </w:r>
          </w:p>
        </w:tc>
        <w:tc>
          <w:tcPr>
            <w:tcW w:type="dxa" w:w="1987"/>
          </w:tcPr>
          <w:p>
            <w:r/>
            <w:r>
              <w:rPr>
                <w:b/>
                <w:sz w:val="20"/>
              </w:rPr>
              <w:t>Tratamiento principal</w:t>
            </w:r>
          </w:p>
        </w:tc>
        <w:tc>
          <w:tcPr>
            <w:tcW w:type="dxa" w:w="1987"/>
          </w:tcPr>
          <w:p>
            <w:r/>
            <w:r>
              <w:rPr>
                <w:b/>
                <w:sz w:val="20"/>
              </w:rPr>
              <w:t>Notas metodológicas</w:t>
            </w:r>
          </w:p>
        </w:tc>
      </w:tr>
      <w:tr>
        <w:tc>
          <w:tcPr>
            <w:tcW w:type="dxa" w:w="1987"/>
          </w:tcPr>
          <w:p>
            <w:r/>
            <w:r>
              <w:rPr>
                <w:b w:val="0"/>
                <w:sz w:val="20"/>
              </w:rPr>
              <w:t>dif_finmes</w:t>
            </w:r>
          </w:p>
        </w:tc>
        <w:tc>
          <w:tcPr>
            <w:tcW w:type="dxa" w:w="1987"/>
          </w:tcPr>
          <w:p>
            <w:r/>
            <w:r>
              <w:rPr>
                <w:b w:val="0"/>
                <w:sz w:val="20"/>
              </w:rPr>
              <w:t>INE workbook 121 ICV geo + 121 ICV indiv</w:t>
            </w:r>
          </w:p>
        </w:tc>
        <w:tc>
          <w:tcPr>
            <w:tcW w:type="dxa" w:w="1987"/>
          </w:tcPr>
          <w:p>
            <w:r/>
            <w:r>
              <w:rPr>
                <w:b w:val="0"/>
                <w:sz w:val="20"/>
              </w:rPr>
              <w:t>CCAA y género</w:t>
            </w:r>
          </w:p>
        </w:tc>
        <w:tc>
          <w:tcPr>
            <w:tcW w:type="dxa" w:w="1987"/>
          </w:tcPr>
          <w:p>
            <w:r/>
            <w:r>
              <w:rPr>
                <w:b w:val="0"/>
                <w:sz w:val="20"/>
              </w:rPr>
              <w:t>Se transforma tabla geográfica y tabla por sexo; luego se imputa serie por género a partir del total y la brecha hombres-mujeres observada.</w:t>
            </w:r>
          </w:p>
        </w:tc>
        <w:tc>
          <w:tcPr>
            <w:tcW w:type="dxa" w:w="1987"/>
          </w:tcPr>
          <w:p>
            <w:r/>
            <w:r>
              <w:rPr>
                <w:b w:val="0"/>
                <w:sz w:val="20"/>
              </w:rPr>
              <w:t>La serie total es observada; hombres y mujeres se reconstruyen mediante imputación simétrica.</w:t>
            </w:r>
          </w:p>
        </w:tc>
      </w:tr>
      <w:tr>
        <w:tc>
          <w:tcPr>
            <w:tcW w:type="dxa" w:w="1987"/>
          </w:tcPr>
          <w:p>
            <w:r/>
            <w:r>
              <w:rPr>
                <w:b w:val="0"/>
                <w:sz w:val="20"/>
              </w:rPr>
              <w:t>espacio_insuf</w:t>
            </w:r>
          </w:p>
        </w:tc>
        <w:tc>
          <w:tcPr>
            <w:tcW w:type="dxa" w:w="1987"/>
          </w:tcPr>
          <w:p>
            <w:r/>
            <w:r>
              <w:rPr>
                <w:b w:val="0"/>
                <w:sz w:val="20"/>
              </w:rPr>
              <w:t>INE workbook 124 ICV geo + 124 ICV indiv</w:t>
            </w:r>
          </w:p>
        </w:tc>
        <w:tc>
          <w:tcPr>
            <w:tcW w:type="dxa" w:w="1987"/>
          </w:tcPr>
          <w:p>
            <w:r/>
            <w:r>
              <w:rPr>
                <w:b w:val="0"/>
                <w:sz w:val="20"/>
              </w:rPr>
              <w:t>CCAA y género</w:t>
            </w:r>
          </w:p>
        </w:tc>
        <w:tc>
          <w:tcPr>
            <w:tcW w:type="dxa" w:w="1987"/>
          </w:tcPr>
          <w:p>
            <w:r/>
            <w:r>
              <w:rPr>
                <w:b w:val="0"/>
                <w:sz w:val="20"/>
              </w:rPr>
              <w:t>Mismo patrón que dif_finmes.</w:t>
            </w:r>
          </w:p>
        </w:tc>
        <w:tc>
          <w:tcPr>
            <w:tcW w:type="dxa" w:w="1987"/>
          </w:tcPr>
          <w:p>
            <w:r/>
            <w:r>
              <w:rPr>
                <w:b w:val="0"/>
                <w:sz w:val="20"/>
              </w:rPr>
              <w:t>Mis mismas cautelas metodológicas que el resto de indicadores imputados por sexo.</w:t>
            </w:r>
          </w:p>
        </w:tc>
      </w:tr>
      <w:tr>
        <w:tc>
          <w:tcPr>
            <w:tcW w:type="dxa" w:w="1987"/>
          </w:tcPr>
          <w:p>
            <w:r/>
            <w:r>
              <w:rPr>
                <w:b w:val="0"/>
                <w:sz w:val="20"/>
              </w:rPr>
              <w:t>gasto_elevado</w:t>
            </w:r>
          </w:p>
        </w:tc>
        <w:tc>
          <w:tcPr>
            <w:tcW w:type="dxa" w:w="1987"/>
          </w:tcPr>
          <w:p>
            <w:r/>
            <w:r>
              <w:rPr>
                <w:b w:val="0"/>
                <w:sz w:val="20"/>
              </w:rPr>
              <w:t>INE workbook 125 ICV geo + 125 ICV indiv</w:t>
            </w:r>
          </w:p>
        </w:tc>
        <w:tc>
          <w:tcPr>
            <w:tcW w:type="dxa" w:w="1987"/>
          </w:tcPr>
          <w:p>
            <w:r/>
            <w:r>
              <w:rPr>
                <w:b w:val="0"/>
                <w:sz w:val="20"/>
              </w:rPr>
              <w:t>CCAA y género</w:t>
            </w:r>
          </w:p>
        </w:tc>
        <w:tc>
          <w:tcPr>
            <w:tcW w:type="dxa" w:w="1987"/>
          </w:tcPr>
          <w:p>
            <w:r/>
            <w:r>
              <w:rPr>
                <w:b w:val="0"/>
                <w:sz w:val="20"/>
              </w:rPr>
              <w:t>Mismo patrón que dif_finmes.</w:t>
            </w:r>
          </w:p>
        </w:tc>
        <w:tc>
          <w:tcPr>
            <w:tcW w:type="dxa" w:w="1987"/>
          </w:tcPr>
          <w:p>
            <w:r/>
            <w:r>
              <w:rPr>
                <w:b w:val="0"/>
                <w:sz w:val="20"/>
              </w:rPr>
              <w:t>La cobertura arranca más tarde que otras métricas.</w:t>
            </w:r>
          </w:p>
        </w:tc>
      </w:tr>
      <w:tr>
        <w:tc>
          <w:tcPr>
            <w:tcW w:type="dxa" w:w="1987"/>
          </w:tcPr>
          <w:p>
            <w:r/>
            <w:r>
              <w:rPr>
                <w:b w:val="0"/>
                <w:sz w:val="20"/>
              </w:rPr>
              <w:t>retrasos_pagos</w:t>
            </w:r>
          </w:p>
        </w:tc>
        <w:tc>
          <w:tcPr>
            <w:tcW w:type="dxa" w:w="1987"/>
          </w:tcPr>
          <w:p>
            <w:r/>
            <w:r>
              <w:rPr>
                <w:b w:val="0"/>
                <w:sz w:val="20"/>
              </w:rPr>
              <w:t>INE workbook 133 ICV geo + 133 ICV indiv</w:t>
            </w:r>
          </w:p>
        </w:tc>
        <w:tc>
          <w:tcPr>
            <w:tcW w:type="dxa" w:w="1987"/>
          </w:tcPr>
          <w:p>
            <w:r/>
            <w:r>
              <w:rPr>
                <w:b w:val="0"/>
                <w:sz w:val="20"/>
              </w:rPr>
              <w:t>CCAA y género</w:t>
            </w:r>
          </w:p>
        </w:tc>
        <w:tc>
          <w:tcPr>
            <w:tcW w:type="dxa" w:w="1987"/>
          </w:tcPr>
          <w:p>
            <w:r/>
            <w:r>
              <w:rPr>
                <w:b w:val="0"/>
                <w:sz w:val="20"/>
              </w:rPr>
              <w:t>Mismo patrón que dif_finmes.</w:t>
            </w:r>
          </w:p>
        </w:tc>
        <w:tc>
          <w:tcPr>
            <w:tcW w:type="dxa" w:w="1987"/>
          </w:tcPr>
          <w:p>
            <w:r/>
            <w:r>
              <w:rPr>
                <w:b w:val="0"/>
                <w:sz w:val="20"/>
              </w:rPr>
              <w:t>Conviene vigilar cambios de estructura de los workbooks del INE.</w:t>
            </w:r>
          </w:p>
        </w:tc>
      </w:tr>
      <w:tr>
        <w:tc>
          <w:tcPr>
            <w:tcW w:type="dxa" w:w="1987"/>
          </w:tcPr>
          <w:p>
            <w:r/>
            <w:r>
              <w:rPr>
                <w:b w:val="0"/>
                <w:sz w:val="20"/>
              </w:rPr>
              <w:t>hogares_mono</w:t>
            </w:r>
          </w:p>
        </w:tc>
        <w:tc>
          <w:tcPr>
            <w:tcW w:type="dxa" w:w="1987"/>
          </w:tcPr>
          <w:p>
            <w:r/>
            <w:r>
              <w:rPr>
                <w:b w:val="0"/>
                <w:sz w:val="20"/>
              </w:rPr>
              <w:t>INE CSV BDSC t20/p274/serie/def/p02/l0/02015</w:t>
            </w:r>
          </w:p>
        </w:tc>
        <w:tc>
          <w:tcPr>
            <w:tcW w:type="dxa" w:w="1987"/>
          </w:tcPr>
          <w:p>
            <w:r/>
            <w:r>
              <w:rPr>
                <w:b w:val="0"/>
                <w:sz w:val="20"/>
              </w:rPr>
              <w:t>CCAA y género</w:t>
            </w:r>
          </w:p>
        </w:tc>
        <w:tc>
          <w:tcPr>
            <w:tcW w:type="dxa" w:w="1987"/>
          </w:tcPr>
          <w:p>
            <w:r/>
            <w:r>
              <w:rPr>
                <w:b w:val="0"/>
                <w:sz w:val="20"/>
              </w:rPr>
              <w:t>Se filtran edad y estado civil totales, se normalizan sexos y se conserva total/hombres/mujeres.</w:t>
            </w:r>
          </w:p>
        </w:tc>
        <w:tc>
          <w:tcPr>
            <w:tcW w:type="dxa" w:w="1987"/>
          </w:tcPr>
          <w:p>
            <w:r/>
            <w:r>
              <w:rPr>
                <w:b w:val="0"/>
                <w:sz w:val="20"/>
              </w:rPr>
              <w:t>No procede de la misma familia de indicadores que las tablas ICV anteriores.</w:t>
            </w:r>
          </w:p>
        </w:tc>
      </w:tr>
      <w:tr>
        <w:tc>
          <w:tcPr>
            <w:tcW w:type="dxa" w:w="1987"/>
          </w:tcPr>
          <w:p>
            <w:r/>
            <w:r>
              <w:rPr>
                <w:b w:val="0"/>
                <w:sz w:val="20"/>
              </w:rPr>
              <w:t>salario_mediano</w:t>
            </w:r>
          </w:p>
        </w:tc>
        <w:tc>
          <w:tcPr>
            <w:tcW w:type="dxa" w:w="1987"/>
          </w:tcPr>
          <w:p>
            <w:r/>
            <w:r>
              <w:rPr>
                <w:b w:val="0"/>
                <w:sz w:val="20"/>
              </w:rPr>
              <w:t>INE API tabla 28191</w:t>
            </w:r>
          </w:p>
        </w:tc>
        <w:tc>
          <w:tcPr>
            <w:tcW w:type="dxa" w:w="1987"/>
          </w:tcPr>
          <w:p>
            <w:r/>
            <w:r>
              <w:rPr>
                <w:b w:val="0"/>
                <w:sz w:val="20"/>
              </w:rPr>
              <w:t>CCAA y género</w:t>
            </w:r>
          </w:p>
        </w:tc>
        <w:tc>
          <w:tcPr>
            <w:tcW w:type="dxa" w:w="1987"/>
          </w:tcPr>
          <w:p>
            <w:r/>
            <w:r>
              <w:rPr>
                <w:b w:val="0"/>
                <w:sz w:val="20"/>
              </w:rPr>
              <w:t>Se parsea el campo Nombre y se selecciona la variable 50 como salario mediano.</w:t>
            </w:r>
          </w:p>
        </w:tc>
        <w:tc>
          <w:tcPr>
            <w:tcW w:type="dxa" w:w="1987"/>
          </w:tcPr>
          <w:p>
            <w:r/>
            <w:r>
              <w:rPr>
                <w:b w:val="0"/>
                <w:sz w:val="20"/>
              </w:rPr>
              <w:t>Es base para el cálculo de salario_destinado.</w:t>
            </w:r>
          </w:p>
        </w:tc>
      </w:tr>
      <w:tr>
        <w:tc>
          <w:tcPr>
            <w:tcW w:type="dxa" w:w="1987"/>
          </w:tcPr>
          <w:p>
            <w:r/>
            <w:r>
              <w:rPr>
                <w:b w:val="0"/>
                <w:sz w:val="20"/>
              </w:rPr>
              <w:t>precio_venta</w:t>
            </w:r>
          </w:p>
        </w:tc>
        <w:tc>
          <w:tcPr>
            <w:tcW w:type="dxa" w:w="1987"/>
          </w:tcPr>
          <w:p>
            <w:r/>
            <w:r>
              <w:rPr>
                <w:b w:val="0"/>
                <w:sz w:val="20"/>
              </w:rPr>
              <w:t>Fotocasa raw histórico + mensual</w:t>
            </w:r>
          </w:p>
        </w:tc>
        <w:tc>
          <w:tcPr>
            <w:tcW w:type="dxa" w:w="1987"/>
          </w:tcPr>
          <w:p>
            <w:r/>
            <w:r>
              <w:rPr>
                <w:b w:val="0"/>
                <w:sz w:val="20"/>
              </w:rPr>
              <w:t>CCAA total</w:t>
            </w:r>
          </w:p>
        </w:tc>
        <w:tc>
          <w:tcPr>
            <w:tcW w:type="dxa" w:w="1987"/>
          </w:tcPr>
          <w:p>
            <w:r/>
            <w:r>
              <w:rPr>
                <w:b w:val="0"/>
                <w:sz w:val="20"/>
              </w:rPr>
              <w:t>Se agregan provincias a CCAA mediante media simple. El anual mensual actúa como proxy del último año disponible.</w:t>
            </w:r>
          </w:p>
        </w:tc>
        <w:tc>
          <w:tcPr>
            <w:tcW w:type="dxa" w:w="1987"/>
          </w:tcPr>
          <w:p>
            <w:r/>
            <w:r>
              <w:rPr>
                <w:b w:val="0"/>
                <w:sz w:val="20"/>
              </w:rPr>
              <w:t>No hay desglose por género.</w:t>
            </w:r>
          </w:p>
        </w:tc>
      </w:tr>
      <w:tr>
        <w:tc>
          <w:tcPr>
            <w:tcW w:type="dxa" w:w="1987"/>
          </w:tcPr>
          <w:p>
            <w:r/>
            <w:r>
              <w:rPr>
                <w:b w:val="0"/>
                <w:sz w:val="20"/>
              </w:rPr>
              <w:t>precio_alquiler</w:t>
            </w:r>
          </w:p>
        </w:tc>
        <w:tc>
          <w:tcPr>
            <w:tcW w:type="dxa" w:w="1987"/>
          </w:tcPr>
          <w:p>
            <w:r/>
            <w:r>
              <w:rPr>
                <w:b w:val="0"/>
                <w:sz w:val="20"/>
              </w:rPr>
              <w:t>Fotocasa raw histórico + mensual</w:t>
            </w:r>
          </w:p>
        </w:tc>
        <w:tc>
          <w:tcPr>
            <w:tcW w:type="dxa" w:w="1987"/>
          </w:tcPr>
          <w:p>
            <w:r/>
            <w:r>
              <w:rPr>
                <w:b w:val="0"/>
                <w:sz w:val="20"/>
              </w:rPr>
              <w:t>CCAA total</w:t>
            </w:r>
          </w:p>
        </w:tc>
        <w:tc>
          <w:tcPr>
            <w:tcW w:type="dxa" w:w="1987"/>
          </w:tcPr>
          <w:p>
            <w:r/>
            <w:r>
              <w:rPr>
                <w:b w:val="0"/>
                <w:sz w:val="20"/>
              </w:rPr>
              <w:t>Mismo esquema que precio_venta.</w:t>
            </w:r>
          </w:p>
        </w:tc>
        <w:tc>
          <w:tcPr>
            <w:tcW w:type="dxa" w:w="1987"/>
          </w:tcPr>
          <w:p>
            <w:r/>
            <w:r>
              <w:rPr>
                <w:b w:val="0"/>
                <w:sz w:val="20"/>
              </w:rPr>
              <w:t>El proxy mensual sustituye el último año cuando existe información más reciente.</w:t>
            </w:r>
          </w:p>
        </w:tc>
      </w:tr>
      <w:tr>
        <w:tc>
          <w:tcPr>
            <w:tcW w:type="dxa" w:w="1987"/>
          </w:tcPr>
          <w:p>
            <w:r/>
            <w:r>
              <w:rPr>
                <w:b w:val="0"/>
                <w:sz w:val="20"/>
              </w:rPr>
              <w:t>salario_destinado</w:t>
            </w:r>
          </w:p>
        </w:tc>
        <w:tc>
          <w:tcPr>
            <w:tcW w:type="dxa" w:w="1987"/>
          </w:tcPr>
          <w:p>
            <w:r/>
            <w:r>
              <w:rPr>
                <w:b w:val="0"/>
                <w:sz w:val="20"/>
              </w:rPr>
              <w:t>Derivada de salario_mediano + precio_alquiler</w:t>
            </w:r>
          </w:p>
        </w:tc>
        <w:tc>
          <w:tcPr>
            <w:tcW w:type="dxa" w:w="1987"/>
          </w:tcPr>
          <w:p>
            <w:r/>
            <w:r>
              <w:rPr>
                <w:b w:val="0"/>
                <w:sz w:val="20"/>
              </w:rPr>
              <w:t>CCAA y género</w:t>
            </w:r>
          </w:p>
        </w:tc>
        <w:tc>
          <w:tcPr>
            <w:tcW w:type="dxa" w:w="1987"/>
          </w:tcPr>
          <w:p>
            <w:r/>
            <w:r>
              <w:rPr>
                <w:b w:val="0"/>
                <w:sz w:val="20"/>
              </w:rPr>
              <w:t>Se calcula como (precio_alquiler / (salario_mediano / 12)) * 100.</w:t>
            </w:r>
          </w:p>
        </w:tc>
        <w:tc>
          <w:tcPr>
            <w:tcW w:type="dxa" w:w="1987"/>
          </w:tcPr>
          <w:p>
            <w:r/>
            <w:r>
              <w:rPr>
                <w:b w:val="0"/>
                <w:sz w:val="20"/>
              </w:rPr>
              <w:t>Si una de las dos series es proyectada, la fila resultante se marca como proyección.</w:t>
            </w:r>
          </w:p>
        </w:tc>
      </w:tr>
    </w:tbl>
    <w:p>
      <w:pPr>
        <w:pStyle w:val="Heading1"/>
      </w:pPr>
      <w:r>
        <w:t>3. Proceso de depuración y estandarización</w:t>
      </w:r>
    </w:p>
    <w:p>
      <w:pPr>
        <w:pStyle w:val="ListNumber"/>
        <w:spacing w:after="0"/>
      </w:pPr>
      <w:r>
        <w:rPr>
          <w:sz w:val="21"/>
        </w:rPr>
        <w:t>Validación temprana de raws Fotocasa: columnas obligatorias, ausencia de duplicados provincia+periodo, rango temporal mínimo y presencia de provincias clave en el año más reciente.</w:t>
      </w:r>
    </w:p>
    <w:p>
      <w:pPr>
        <w:pStyle w:val="ListNumber"/>
        <w:spacing w:after="0"/>
      </w:pPr>
      <w:r>
        <w:rPr>
          <w:sz w:val="21"/>
        </w:rPr>
        <w:t>Descarga controlada de workbooks del INE a ficheros temporales y lectura homogénea de la hoja 2.</w:t>
      </w:r>
    </w:p>
    <w:p>
      <w:pPr>
        <w:pStyle w:val="ListNumber"/>
        <w:spacing w:after="0"/>
      </w:pPr>
      <w:r>
        <w:rPr>
          <w:sz w:val="21"/>
        </w:rPr>
        <w:t>Estandarización territorial con diccionario canónico de CCAA y correspondencias de provincias a comunidad autónoma.</w:t>
      </w:r>
    </w:p>
    <w:p>
      <w:pPr>
        <w:pStyle w:val="ListNumber"/>
        <w:spacing w:after="0"/>
      </w:pPr>
      <w:r>
        <w:rPr>
          <w:sz w:val="21"/>
        </w:rPr>
        <w:t>Conversión robusta de números en formato español y parseo de etiquetas mensuales en castellano.</w:t>
      </w:r>
    </w:p>
    <w:p>
      <w:pPr>
        <w:pStyle w:val="ListNumber"/>
        <w:spacing w:after="0"/>
      </w:pPr>
      <w:r>
        <w:rPr>
          <w:sz w:val="21"/>
        </w:rPr>
        <w:t>Reconstrucción por género de indicadores ICV con la función impute_gender_series, que reparte el total usando la diferencia observada hombres-mujeres en la tabla individual del INE.</w:t>
      </w:r>
    </w:p>
    <w:p>
      <w:pPr>
        <w:pStyle w:val="ListNumber"/>
        <w:spacing w:after="0"/>
      </w:pPr>
      <w:r>
        <w:rPr>
          <w:sz w:val="21"/>
        </w:rPr>
        <w:t>Filtrado de ciudades autónomas y mantenimiento de 17 CCAA oficiales para las salidas finales.</w:t>
      </w:r>
    </w:p>
    <w:p>
      <w:pPr>
        <w:pStyle w:val="ListNumber"/>
        <w:spacing w:after="0"/>
      </w:pPr>
      <w:r>
        <w:rPr>
          <w:sz w:val="21"/>
        </w:rPr>
        <w:t>Agregación de precios provinciales a CCAA mediante media simple, tanto para series históricas como para el proxy mensual más reciente.</w:t>
      </w:r>
    </w:p>
    <w:p>
      <w:pPr>
        <w:pStyle w:val="ListNumber"/>
        <w:spacing w:after="0"/>
      </w:pPr>
      <w:r>
        <w:rPr>
          <w:sz w:val="21"/>
        </w:rPr>
        <w:t>Verificación de unicidad de claves en cada dataset transformado y logging de cobertura temporal y territorial antes de guardar artefactos.</w:t>
      </w:r>
    </w:p>
    <w:p>
      <w:pPr>
        <w:pStyle w:val="Heading1"/>
      </w:pPr>
      <w:r>
        <w:t>4. Modelado y reglas de proyección</w:t>
      </w:r>
    </w:p>
    <w:p>
      <w:pPr>
        <w:pStyle w:val="ListBullet"/>
        <w:spacing w:after="0"/>
      </w:pPr>
      <w:r>
        <w:rPr>
          <w:sz w:val="21"/>
        </w:rPr>
        <w:t>Las series de dif_finmes, espacio_insuf, gasto_elevado, hogares_mono, retrasos_pagos y salario_mediano se proyectan con Prophet.</w:t>
      </w:r>
    </w:p>
    <w:p>
      <w:pPr>
        <w:pStyle w:val="ListBullet"/>
        <w:spacing w:after="0"/>
      </w:pPr>
      <w:r>
        <w:rPr>
          <w:sz w:val="21"/>
        </w:rPr>
        <w:t>El mínimo de puntos para modelar una serie es 5 observaciones distintas por grupo.</w:t>
      </w:r>
    </w:p>
    <w:p>
      <w:pPr>
        <w:pStyle w:val="ListBullet"/>
        <w:spacing w:after="0"/>
      </w:pPr>
      <w:r>
        <w:rPr>
          <w:sz w:val="21"/>
        </w:rPr>
        <w:t>Los precios de alquiler y venta no se proyectan en el estado actual del pipeline: se exportan solo como origen real.</w:t>
      </w:r>
    </w:p>
    <w:p>
      <w:pPr>
        <w:pStyle w:val="ListBullet"/>
        <w:spacing w:after="0"/>
      </w:pPr>
      <w:r>
        <w:rPr>
          <w:sz w:val="21"/>
        </w:rPr>
        <w:t>salario_destinado no se modela directamente: se deriva después de unir salario_mediano y precio_alquiler.</w:t>
      </w:r>
    </w:p>
    <w:p>
      <w:pPr>
        <w:pStyle w:val="ListBullet"/>
        <w:spacing w:after="0"/>
      </w:pPr>
      <w:r>
        <w:rPr>
          <w:sz w:val="21"/>
        </w:rPr>
        <w:t>La bandera origen toma valor real cuando ambas series fuente son reales y proyeccion en cualquier combinación restante.</w:t>
      </w:r>
    </w:p>
    <w:p>
      <w:pPr>
        <w:pStyle w:val="Heading1"/>
      </w:pPr>
      <w:r>
        <w:t>5. Estado actual de los outputs finales</w:t>
      </w:r>
    </w:p>
    <w:p>
      <w:r>
        <w:rPr>
          <w:b/>
        </w:rPr>
        <w:t xml:space="preserve">Tabla global: </w:t>
      </w:r>
      <w:r>
        <w:t>442 filas, 17 CCAA, periodo 2004-2025, con 374 filas reales y 68 proyectadas.</w:t>
      </w:r>
    </w:p>
    <w:p>
      <w:r>
        <w:rPr>
          <w:b/>
        </w:rPr>
        <w:t xml:space="preserve">Tabla por género: </w:t>
      </w:r>
      <w:r>
        <w:t>1224 filas, 17 CCAA, periodo 2004-2025, géneros hombres, mujeres, total, con 1020 filas reales y 204 proyectadas.</w:t>
      </w:r>
    </w:p>
    <w:p>
      <w:pPr>
        <w:pStyle w:val="Heading2"/>
      </w:pPr>
      <w:r>
        <w:t>Resumen de calidad: tabla global</w:t>
      </w:r>
    </w:p>
    <w:tbl>
      <w:tblPr>
        <w:tblStyle w:val="TableGrid"/>
        <w:tblW w:type="auto" w:w="0"/>
        <w:tblLook w:firstColumn="1" w:firstRow="1" w:lastColumn="0" w:lastRow="0" w:noHBand="0" w:noVBand="1" w:val="04A0"/>
      </w:tblPr>
      <w:tblGrid>
        <w:gridCol w:w="4968"/>
        <w:gridCol w:w="4968"/>
      </w:tblGrid>
      <w:tr>
        <w:tc>
          <w:tcPr>
            <w:tcW w:type="dxa" w:w="4968"/>
          </w:tcPr>
          <w:p>
            <w:r/>
            <w:r>
              <w:rPr>
                <w:b/>
                <w:sz w:val="20"/>
              </w:rPr>
              <w:t>Indicador</w:t>
            </w:r>
          </w:p>
        </w:tc>
        <w:tc>
          <w:tcPr>
            <w:tcW w:type="dxa" w:w="4968"/>
          </w:tcPr>
          <w:p>
            <w:r/>
            <w:r>
              <w:rPr>
                <w:b/>
                <w:sz w:val="20"/>
              </w:rPr>
              <w:t>Valor</w:t>
            </w:r>
          </w:p>
        </w:tc>
      </w:tr>
      <w:tr>
        <w:tc>
          <w:tcPr>
            <w:tcW w:type="dxa" w:w="4968"/>
          </w:tcPr>
          <w:p>
            <w:r/>
            <w:r>
              <w:rPr>
                <w:b w:val="0"/>
                <w:sz w:val="20"/>
              </w:rPr>
              <w:t>Cobertura territorial</w:t>
            </w:r>
          </w:p>
        </w:tc>
        <w:tc>
          <w:tcPr>
            <w:tcW w:type="dxa" w:w="4968"/>
          </w:tcPr>
          <w:p>
            <w:r/>
            <w:r>
              <w:rPr>
                <w:b w:val="0"/>
                <w:sz w:val="20"/>
              </w:rPr>
              <w:t>17 CCAA oficiales</w:t>
            </w:r>
          </w:p>
        </w:tc>
      </w:tr>
      <w:tr>
        <w:tc>
          <w:tcPr>
            <w:tcW w:type="dxa" w:w="4968"/>
          </w:tcPr>
          <w:p>
            <w:r/>
            <w:r>
              <w:rPr>
                <w:b w:val="0"/>
                <w:sz w:val="20"/>
              </w:rPr>
              <w:t>Cobertura temporal</w:t>
            </w:r>
          </w:p>
        </w:tc>
        <w:tc>
          <w:tcPr>
            <w:tcW w:type="dxa" w:w="4968"/>
          </w:tcPr>
          <w:p>
            <w:r/>
            <w:r>
              <w:rPr>
                <w:b w:val="0"/>
                <w:sz w:val="20"/>
              </w:rPr>
              <w:t>2004-2025</w:t>
            </w:r>
          </w:p>
        </w:tc>
      </w:tr>
      <w:tr>
        <w:tc>
          <w:tcPr>
            <w:tcW w:type="dxa" w:w="4968"/>
          </w:tcPr>
          <w:p>
            <w:r/>
            <w:r>
              <w:rPr>
                <w:b w:val="0"/>
                <w:sz w:val="20"/>
              </w:rPr>
              <w:t>NA% dif_finmes</w:t>
            </w:r>
          </w:p>
        </w:tc>
        <w:tc>
          <w:tcPr>
            <w:tcW w:type="dxa" w:w="4968"/>
          </w:tcPr>
          <w:p>
            <w:r/>
            <w:r>
              <w:rPr>
                <w:b w:val="0"/>
                <w:sz w:val="20"/>
              </w:rPr>
              <w:t>15.4%</w:t>
            </w:r>
          </w:p>
        </w:tc>
      </w:tr>
      <w:tr>
        <w:tc>
          <w:tcPr>
            <w:tcW w:type="dxa" w:w="4968"/>
          </w:tcPr>
          <w:p>
            <w:r/>
            <w:r>
              <w:rPr>
                <w:b w:val="0"/>
                <w:sz w:val="20"/>
              </w:rPr>
              <w:t>NA% espacio_insuf</w:t>
            </w:r>
          </w:p>
        </w:tc>
        <w:tc>
          <w:tcPr>
            <w:tcW w:type="dxa" w:w="4968"/>
          </w:tcPr>
          <w:p>
            <w:r/>
            <w:r>
              <w:rPr>
                <w:b w:val="0"/>
                <w:sz w:val="20"/>
              </w:rPr>
              <w:t>15.4%</w:t>
            </w:r>
          </w:p>
        </w:tc>
      </w:tr>
      <w:tr>
        <w:tc>
          <w:tcPr>
            <w:tcW w:type="dxa" w:w="4968"/>
          </w:tcPr>
          <w:p>
            <w:r/>
            <w:r>
              <w:rPr>
                <w:b w:val="0"/>
                <w:sz w:val="20"/>
              </w:rPr>
              <w:t>NA% gasto_elevado</w:t>
            </w:r>
          </w:p>
        </w:tc>
        <w:tc>
          <w:tcPr>
            <w:tcW w:type="dxa" w:w="4968"/>
          </w:tcPr>
          <w:p>
            <w:r/>
            <w:r>
              <w:rPr>
                <w:b w:val="0"/>
                <w:sz w:val="20"/>
              </w:rPr>
              <w:t>30.8%</w:t>
            </w:r>
          </w:p>
        </w:tc>
      </w:tr>
      <w:tr>
        <w:tc>
          <w:tcPr>
            <w:tcW w:type="dxa" w:w="4968"/>
          </w:tcPr>
          <w:p>
            <w:r/>
            <w:r>
              <w:rPr>
                <w:b w:val="0"/>
                <w:sz w:val="20"/>
              </w:rPr>
              <w:t>NA% hogares_mono</w:t>
            </w:r>
          </w:p>
        </w:tc>
        <w:tc>
          <w:tcPr>
            <w:tcW w:type="dxa" w:w="4968"/>
          </w:tcPr>
          <w:p>
            <w:r/>
            <w:r>
              <w:rPr>
                <w:b w:val="0"/>
                <w:sz w:val="20"/>
              </w:rPr>
              <w:t>65.4%</w:t>
            </w:r>
          </w:p>
        </w:tc>
      </w:tr>
      <w:tr>
        <w:tc>
          <w:tcPr>
            <w:tcW w:type="dxa" w:w="4968"/>
          </w:tcPr>
          <w:p>
            <w:r/>
            <w:r>
              <w:rPr>
                <w:b w:val="0"/>
                <w:sz w:val="20"/>
              </w:rPr>
              <w:t>NA% precio_alquiler</w:t>
            </w:r>
          </w:p>
        </w:tc>
        <w:tc>
          <w:tcPr>
            <w:tcW w:type="dxa" w:w="4968"/>
          </w:tcPr>
          <w:p>
            <w:r/>
            <w:r>
              <w:rPr>
                <w:b w:val="0"/>
                <w:sz w:val="20"/>
              </w:rPr>
              <w:t>69.2%</w:t>
            </w:r>
          </w:p>
        </w:tc>
      </w:tr>
      <w:tr>
        <w:tc>
          <w:tcPr>
            <w:tcW w:type="dxa" w:w="4968"/>
          </w:tcPr>
          <w:p>
            <w:r/>
            <w:r>
              <w:rPr>
                <w:b w:val="0"/>
                <w:sz w:val="20"/>
              </w:rPr>
              <w:t>NA% precio_venta</w:t>
            </w:r>
          </w:p>
        </w:tc>
        <w:tc>
          <w:tcPr>
            <w:tcW w:type="dxa" w:w="4968"/>
          </w:tcPr>
          <w:p>
            <w:r/>
            <w:r>
              <w:rPr>
                <w:b w:val="0"/>
                <w:sz w:val="20"/>
              </w:rPr>
              <w:t>39.4%</w:t>
            </w:r>
          </w:p>
        </w:tc>
      </w:tr>
      <w:tr>
        <w:tc>
          <w:tcPr>
            <w:tcW w:type="dxa" w:w="4968"/>
          </w:tcPr>
          <w:p>
            <w:r/>
            <w:r>
              <w:rPr>
                <w:b w:val="0"/>
                <w:sz w:val="20"/>
              </w:rPr>
              <w:t>NA% retrasos_pagos</w:t>
            </w:r>
          </w:p>
        </w:tc>
        <w:tc>
          <w:tcPr>
            <w:tcW w:type="dxa" w:w="4968"/>
          </w:tcPr>
          <w:p>
            <w:r/>
            <w:r>
              <w:rPr>
                <w:b w:val="0"/>
                <w:sz w:val="20"/>
              </w:rPr>
              <w:t>15.4%</w:t>
            </w:r>
          </w:p>
        </w:tc>
      </w:tr>
      <w:tr>
        <w:tc>
          <w:tcPr>
            <w:tcW w:type="dxa" w:w="4968"/>
          </w:tcPr>
          <w:p>
            <w:r/>
            <w:r>
              <w:rPr>
                <w:b w:val="0"/>
                <w:sz w:val="20"/>
              </w:rPr>
              <w:t>NA% salario_destinado</w:t>
            </w:r>
          </w:p>
        </w:tc>
        <w:tc>
          <w:tcPr>
            <w:tcW w:type="dxa" w:w="4968"/>
          </w:tcPr>
          <w:p>
            <w:r/>
            <w:r>
              <w:rPr>
                <w:b w:val="0"/>
                <w:sz w:val="20"/>
              </w:rPr>
              <w:t>69.2%</w:t>
            </w:r>
          </w:p>
        </w:tc>
      </w:tr>
    </w:tbl>
    <w:p>
      <w:pPr>
        <w:pStyle w:val="Heading2"/>
      </w:pPr>
      <w:r>
        <w:t>Resumen de calidad: tabla por género</w:t>
      </w:r>
    </w:p>
    <w:tbl>
      <w:tblPr>
        <w:tblStyle w:val="TableGrid"/>
        <w:tblW w:type="auto" w:w="0"/>
        <w:tblLook w:firstColumn="1" w:firstRow="1" w:lastColumn="0" w:lastRow="0" w:noHBand="0" w:noVBand="1" w:val="04A0"/>
      </w:tblPr>
      <w:tblGrid>
        <w:gridCol w:w="4968"/>
        <w:gridCol w:w="4968"/>
      </w:tblGrid>
      <w:tr>
        <w:tc>
          <w:tcPr>
            <w:tcW w:type="dxa" w:w="4968"/>
          </w:tcPr>
          <w:p>
            <w:r/>
            <w:r>
              <w:rPr>
                <w:b/>
                <w:sz w:val="20"/>
              </w:rPr>
              <w:t>Indicador</w:t>
            </w:r>
          </w:p>
        </w:tc>
        <w:tc>
          <w:tcPr>
            <w:tcW w:type="dxa" w:w="4968"/>
          </w:tcPr>
          <w:p>
            <w:r/>
            <w:r>
              <w:rPr>
                <w:b/>
                <w:sz w:val="20"/>
              </w:rPr>
              <w:t>Valor</w:t>
            </w:r>
          </w:p>
        </w:tc>
      </w:tr>
      <w:tr>
        <w:tc>
          <w:tcPr>
            <w:tcW w:type="dxa" w:w="4968"/>
          </w:tcPr>
          <w:p>
            <w:r/>
            <w:r>
              <w:rPr>
                <w:b w:val="0"/>
                <w:sz w:val="20"/>
              </w:rPr>
              <w:t>Cobertura territorial</w:t>
            </w:r>
          </w:p>
        </w:tc>
        <w:tc>
          <w:tcPr>
            <w:tcW w:type="dxa" w:w="4968"/>
          </w:tcPr>
          <w:p>
            <w:r/>
            <w:r>
              <w:rPr>
                <w:b w:val="0"/>
                <w:sz w:val="20"/>
              </w:rPr>
              <w:t>17 CCAA oficiales</w:t>
            </w:r>
          </w:p>
        </w:tc>
      </w:tr>
      <w:tr>
        <w:tc>
          <w:tcPr>
            <w:tcW w:type="dxa" w:w="4968"/>
          </w:tcPr>
          <w:p>
            <w:r/>
            <w:r>
              <w:rPr>
                <w:b w:val="0"/>
                <w:sz w:val="20"/>
              </w:rPr>
              <w:t>Cobertura temporal</w:t>
            </w:r>
          </w:p>
        </w:tc>
        <w:tc>
          <w:tcPr>
            <w:tcW w:type="dxa" w:w="4968"/>
          </w:tcPr>
          <w:p>
            <w:r/>
            <w:r>
              <w:rPr>
                <w:b w:val="0"/>
                <w:sz w:val="20"/>
              </w:rPr>
              <w:t>2004-2025</w:t>
            </w:r>
          </w:p>
        </w:tc>
      </w:tr>
      <w:tr>
        <w:tc>
          <w:tcPr>
            <w:tcW w:type="dxa" w:w="4968"/>
          </w:tcPr>
          <w:p>
            <w:r/>
            <w:r>
              <w:rPr>
                <w:b w:val="0"/>
                <w:sz w:val="20"/>
              </w:rPr>
              <w:t>NA% dif_finmes</w:t>
            </w:r>
          </w:p>
        </w:tc>
        <w:tc>
          <w:tcPr>
            <w:tcW w:type="dxa" w:w="4968"/>
          </w:tcPr>
          <w:p>
            <w:r/>
            <w:r>
              <w:rPr>
                <w:b w:val="0"/>
                <w:sz w:val="20"/>
              </w:rPr>
              <w:t>8.3%</w:t>
            </w:r>
          </w:p>
        </w:tc>
      </w:tr>
      <w:tr>
        <w:tc>
          <w:tcPr>
            <w:tcW w:type="dxa" w:w="4968"/>
          </w:tcPr>
          <w:p>
            <w:r/>
            <w:r>
              <w:rPr>
                <w:b w:val="0"/>
                <w:sz w:val="20"/>
              </w:rPr>
              <w:t>NA% espacio_insuf</w:t>
            </w:r>
          </w:p>
        </w:tc>
        <w:tc>
          <w:tcPr>
            <w:tcW w:type="dxa" w:w="4968"/>
          </w:tcPr>
          <w:p>
            <w:r/>
            <w:r>
              <w:rPr>
                <w:b w:val="0"/>
                <w:sz w:val="20"/>
              </w:rPr>
              <w:t>8.3%</w:t>
            </w:r>
          </w:p>
        </w:tc>
      </w:tr>
      <w:tr>
        <w:tc>
          <w:tcPr>
            <w:tcW w:type="dxa" w:w="4968"/>
          </w:tcPr>
          <w:p>
            <w:r/>
            <w:r>
              <w:rPr>
                <w:b w:val="0"/>
                <w:sz w:val="20"/>
              </w:rPr>
              <w:t>NA% gasto_elevado</w:t>
            </w:r>
          </w:p>
        </w:tc>
        <w:tc>
          <w:tcPr>
            <w:tcW w:type="dxa" w:w="4968"/>
          </w:tcPr>
          <w:p>
            <w:r/>
            <w:r>
              <w:rPr>
                <w:b w:val="0"/>
                <w:sz w:val="20"/>
              </w:rPr>
              <w:t>25.0%</w:t>
            </w:r>
          </w:p>
        </w:tc>
      </w:tr>
      <w:tr>
        <w:tc>
          <w:tcPr>
            <w:tcW w:type="dxa" w:w="4968"/>
          </w:tcPr>
          <w:p>
            <w:r/>
            <w:r>
              <w:rPr>
                <w:b w:val="0"/>
                <w:sz w:val="20"/>
              </w:rPr>
              <w:t>NA% hogares_mono</w:t>
            </w:r>
          </w:p>
        </w:tc>
        <w:tc>
          <w:tcPr>
            <w:tcW w:type="dxa" w:w="4968"/>
          </w:tcPr>
          <w:p>
            <w:r/>
            <w:r>
              <w:rPr>
                <w:b w:val="0"/>
                <w:sz w:val="20"/>
              </w:rPr>
              <w:t>62.5%</w:t>
            </w:r>
          </w:p>
        </w:tc>
      </w:tr>
      <w:tr>
        <w:tc>
          <w:tcPr>
            <w:tcW w:type="dxa" w:w="4968"/>
          </w:tcPr>
          <w:p>
            <w:r/>
            <w:r>
              <w:rPr>
                <w:b w:val="0"/>
                <w:sz w:val="20"/>
              </w:rPr>
              <w:t>NA% retrasos_pagos</w:t>
            </w:r>
          </w:p>
        </w:tc>
        <w:tc>
          <w:tcPr>
            <w:tcW w:type="dxa" w:w="4968"/>
          </w:tcPr>
          <w:p>
            <w:r/>
            <w:r>
              <w:rPr>
                <w:b w:val="0"/>
                <w:sz w:val="20"/>
              </w:rPr>
              <w:t>8.3%</w:t>
            </w:r>
          </w:p>
        </w:tc>
      </w:tr>
      <w:tr>
        <w:tc>
          <w:tcPr>
            <w:tcW w:type="dxa" w:w="4968"/>
          </w:tcPr>
          <w:p>
            <w:r/>
            <w:r>
              <w:rPr>
                <w:b w:val="0"/>
                <w:sz w:val="20"/>
              </w:rPr>
              <w:t>NA% salario_destinado</w:t>
            </w:r>
          </w:p>
        </w:tc>
        <w:tc>
          <w:tcPr>
            <w:tcW w:type="dxa" w:w="4968"/>
          </w:tcPr>
          <w:p>
            <w:r/>
            <w:r>
              <w:rPr>
                <w:b w:val="0"/>
                <w:sz w:val="20"/>
              </w:rPr>
              <w:t>66.7%</w:t>
            </w:r>
          </w:p>
        </w:tc>
      </w:tr>
    </w:tbl>
    <w:p>
      <w:r>
        <w:rPr>
          <w:b/>
        </w:rPr>
        <w:t xml:space="preserve">Interpretación: </w:t>
      </w:r>
      <w:r>
        <w:t>las tasas de NA reflejan, sobre todo, diferentes años de arranque entre indicadores y ausencia de desglose de precios por género. No implican necesariamente fallo técnico, pero deben monitorizarse en cada actualización.</w:t>
      </w:r>
    </w:p>
    <w:p>
      <w:pPr>
        <w:pStyle w:val="Heading1"/>
      </w:pPr>
      <w:r>
        <w:t>6. Zonas sensibles de actualización</w:t>
      </w:r>
    </w:p>
    <w:p>
      <w:pPr>
        <w:pStyle w:val="ListBullet"/>
        <w:spacing w:after="0"/>
      </w:pPr>
      <w:r>
        <w:rPr>
          <w:sz w:val="21"/>
        </w:rPr>
        <w:t>Raws Fotocasa. Si cambia el HTML, el selector o la estructura de los CSV generados por scraping, el pipeline puede fallar antes de extracción o producir precios incompletos.</w:t>
      </w:r>
    </w:p>
    <w:p>
      <w:pPr>
        <w:pStyle w:val="ListBullet"/>
        <w:spacing w:after="0"/>
      </w:pPr>
      <w:r>
        <w:rPr>
          <w:sz w:val="21"/>
        </w:rPr>
        <w:t>Especificaciones de validación raw en raw_validation_specs. Un cambio en nombres de columnas, provincias o frescura esperada puede bloquear ejecuciones programadas.</w:t>
      </w:r>
    </w:p>
    <w:p>
      <w:pPr>
        <w:pStyle w:val="ListBullet"/>
        <w:spacing w:after="0"/>
      </w:pPr>
      <w:r>
        <w:rPr>
          <w:sz w:val="21"/>
        </w:rPr>
        <w:t>Tabla de provincias a CCAA. Si aparecen nombres provinciales nuevos o variantes no contempladas, la agregación territorial perderá registros.</w:t>
      </w:r>
    </w:p>
    <w:p>
      <w:pPr>
        <w:pStyle w:val="ListBullet"/>
        <w:spacing w:after="0"/>
      </w:pPr>
      <w:r>
        <w:rPr>
          <w:sz w:val="21"/>
        </w:rPr>
        <w:t>Workbooks del INE. La solución asume que la hoja útil es la segunda y que los encabezados conservan el formato actual.</w:t>
      </w:r>
    </w:p>
    <w:p>
      <w:pPr>
        <w:pStyle w:val="ListBullet"/>
        <w:spacing w:after="0"/>
      </w:pPr>
      <w:r>
        <w:rPr>
          <w:sz w:val="21"/>
        </w:rPr>
        <w:t>Campo Nombre de la API 28191. Si el INE cambia la estructura delimitada por puntos, la extracción de salario_mediano dejará de ser fiable.</w:t>
      </w:r>
    </w:p>
    <w:p>
      <w:pPr>
        <w:pStyle w:val="ListBullet"/>
        <w:spacing w:after="0"/>
      </w:pPr>
      <w:r>
        <w:rPr>
          <w:sz w:val="21"/>
        </w:rPr>
        <w:t>Supuesto de imputación por género. Es estable técnicamente, pero metodológicamente sensible porque deriva series sexo-específicas a partir de total y brecha observada.</w:t>
      </w:r>
    </w:p>
    <w:p>
      <w:pPr>
        <w:pStyle w:val="ListBullet"/>
        <w:spacing w:after="0"/>
      </w:pPr>
      <w:r>
        <w:rPr>
          <w:sz w:val="21"/>
        </w:rPr>
        <w:t>Ausencia de workflow versionado en el repositorio para Vivienda. La carpeta tiene pipeline modular, pero no he encontrado un workflow de GitHub Actions equivalente al de Salud Mental en esta revisión.</w:t>
      </w:r>
    </w:p>
    <w:p>
      <w:pPr>
        <w:pStyle w:val="Heading1"/>
      </w:pPr>
      <w:r>
        <w:t>7. Puntos de mejora</w:t>
      </w:r>
    </w:p>
    <w:p>
      <w:pPr>
        <w:pStyle w:val="ListBullet"/>
        <w:spacing w:after="0"/>
      </w:pPr>
      <w:r>
        <w:rPr>
          <w:sz w:val="21"/>
        </w:rPr>
        <w:t>Versionar un workflow específico de GitHub Actions para Vivienda con instalación de dependencias R y, opcionalmente, scraping controlado por bandera.</w:t>
      </w:r>
    </w:p>
    <w:p>
      <w:pPr>
        <w:pStyle w:val="ListBullet"/>
        <w:spacing w:after="0"/>
      </w:pPr>
      <w:r>
        <w:rPr>
          <w:sz w:val="21"/>
        </w:rPr>
        <w:t>Añadir lockfile de R con renv para fijar versiones de prophet, ineapir y resto de dependencias.</w:t>
      </w:r>
    </w:p>
    <w:p>
      <w:pPr>
        <w:pStyle w:val="ListBullet"/>
        <w:spacing w:after="0"/>
      </w:pPr>
      <w:r>
        <w:rPr>
          <w:sz w:val="21"/>
        </w:rPr>
        <w:t>Registrar metadatos de scraping: fecha, fuente, duración, incidencias por provincia y checksum de raws publicados.</w:t>
      </w:r>
    </w:p>
    <w:p>
      <w:pPr>
        <w:pStyle w:val="ListBullet"/>
        <w:spacing w:after="0"/>
      </w:pPr>
      <w:r>
        <w:rPr>
          <w:sz w:val="21"/>
        </w:rPr>
        <w:t>Evaluar una estrategia de agregación territorial de precios más rica que la media simple, por ejemplo ponderaciones por población o stock de vivienda.</w:t>
      </w:r>
    </w:p>
    <w:p>
      <w:pPr>
        <w:pStyle w:val="ListBullet"/>
        <w:spacing w:after="0"/>
      </w:pPr>
      <w:r>
        <w:rPr>
          <w:sz w:val="21"/>
        </w:rPr>
        <w:t>Separar explícitamente métricas observadas de métricas imputadas por sexo en el diccionario de datos para facilitar interpretación analítica.</w:t>
      </w:r>
    </w:p>
    <w:p>
      <w:pPr>
        <w:pStyle w:val="ListBullet"/>
        <w:spacing w:after="0"/>
      </w:pPr>
      <w:r>
        <w:rPr>
          <w:sz w:val="21"/>
        </w:rPr>
        <w:t>Añadir tests de regresión de cobertura por CCAA, rango temporal mínimo y coherencia de origen real/proyeccion.</w:t>
      </w:r>
    </w:p>
    <w:p>
      <w:pPr>
        <w:pStyle w:val="ListBullet"/>
        <w:spacing w:after="0"/>
      </w:pPr>
      <w:r>
        <w:rPr>
          <w:sz w:val="21"/>
        </w:rPr>
        <w:t>Revisar si precio_alquiler y precio_venta deberían contar con una proyección explícita o mantenerse conscientemente como series solo observadas.</w:t>
      </w:r>
    </w:p>
    <w:p>
      <w:pPr>
        <w:pStyle w:val="ListBullet"/>
        <w:spacing w:after="0"/>
      </w:pPr>
      <w:r>
        <w:rPr>
          <w:sz w:val="21"/>
        </w:rPr>
        <w:t>Endurecer la capa de carga a base de datos con staging y swap, similar al patrón más seguro que ya usamos en Salud Mental.</w:t>
      </w:r>
    </w:p>
    <w:p>
      <w:pPr>
        <w:pStyle w:val="Heading1"/>
      </w:pPr>
      <w:r>
        <w:t>8. Recomendaciones operativas de actualización</w:t>
      </w:r>
    </w:p>
    <w:p>
      <w:pPr>
        <w:pStyle w:val="ListNumber"/>
        <w:spacing w:after="0"/>
      </w:pPr>
      <w:r>
        <w:rPr>
          <w:sz w:val="21"/>
        </w:rPr>
        <w:t>Si se requiere refresco de precios, lanzar el pipeline con --run-scraping=true y revisar primero los raws en Vivienda/fuentes/raw/fotocasa.</w:t>
      </w:r>
    </w:p>
    <w:p>
      <w:pPr>
        <w:pStyle w:val="ListNumber"/>
        <w:spacing w:after="0"/>
      </w:pPr>
      <w:r>
        <w:rPr>
          <w:sz w:val="21"/>
        </w:rPr>
        <w:t>Ejecutar el pipeline completo sin base de datos para validar cobertura y calidad antes de publicar.</w:t>
      </w:r>
    </w:p>
    <w:p>
      <w:pPr>
        <w:pStyle w:val="ListNumber"/>
        <w:spacing w:after="0"/>
      </w:pPr>
      <w:r>
        <w:rPr>
          <w:sz w:val="21"/>
        </w:rPr>
        <w:t>Comprobar especialmente la presencia de Las Palmas Provincia, Santa Cruz De Tenerife Provincia y Madrid Provincia en el año más reciente de los raws.</w:t>
      </w:r>
    </w:p>
    <w:p>
      <w:pPr>
        <w:pStyle w:val="ListNumber"/>
        <w:spacing w:after="0"/>
      </w:pPr>
      <w:r>
        <w:rPr>
          <w:sz w:val="21"/>
        </w:rPr>
        <w:t>Revisar los logs de cobertura para 2024 y 2025 en las tablas finales, ya que son los años más sensibles a proxies y proyecciones.</w:t>
      </w:r>
    </w:p>
    <w:p>
      <w:pPr>
        <w:pStyle w:val="ListNumber"/>
        <w:spacing w:after="0"/>
      </w:pPr>
      <w:r>
        <w:rPr>
          <w:sz w:val="21"/>
        </w:rPr>
        <w:t>Validar manualmente una muestra de registros de Canarias en ced_vivienda_global y ced_vivienda_gen tras cada actualización importante.</w:t>
      </w:r>
    </w:p>
    <w:p>
      <w:pPr>
        <w:pStyle w:val="Heading1"/>
      </w:pPr>
      <w:r>
        <w:t>9. Anexo de artefactos principales</w:t>
      </w:r>
    </w:p>
    <w:p>
      <w:pPr>
        <w:pStyle w:val="ListBullet"/>
        <w:spacing w:after="0"/>
      </w:pPr>
      <w:r>
        <w:rPr>
          <w:sz w:val="21"/>
        </w:rPr>
        <w:t>Vivienda/fuentes/raw/fotocasa/*.csv: raws validados de precios históricos y mensuales.</w:t>
      </w:r>
    </w:p>
    <w:p>
      <w:pPr>
        <w:pStyle w:val="ListBullet"/>
        <w:spacing w:after="0"/>
      </w:pPr>
      <w:r>
        <w:rPr>
          <w:sz w:val="21"/>
        </w:rPr>
        <w:t>Vivienda/1_extraccion/*.rds: datasets extraídos desde Fotocasa e INE.</w:t>
      </w:r>
    </w:p>
    <w:p>
      <w:pPr>
        <w:pStyle w:val="ListBullet"/>
        <w:spacing w:after="0"/>
      </w:pPr>
      <w:r>
        <w:rPr>
          <w:sz w:val="21"/>
        </w:rPr>
        <w:t>Vivienda/2_transformacion/*.rds: series depuradas y comparables por variable.</w:t>
      </w:r>
    </w:p>
    <w:p>
      <w:pPr>
        <w:pStyle w:val="ListBullet"/>
        <w:spacing w:after="0"/>
      </w:pPr>
      <w:r>
        <w:rPr>
          <w:sz w:val="21"/>
        </w:rPr>
        <w:t>Vivienda/3_modelado/*.rds: series reales/proyectadas y salario_destinado derivado.</w:t>
      </w:r>
    </w:p>
    <w:p>
      <w:pPr>
        <w:pStyle w:val="ListBullet"/>
        <w:spacing w:after="0"/>
      </w:pPr>
      <w:r>
        <w:rPr>
          <w:sz w:val="21"/>
        </w:rPr>
        <w:t>Vivienda/4_carga/ced_vivienda_global.csv y .xlsx: tabla final global.</w:t>
      </w:r>
    </w:p>
    <w:p>
      <w:pPr>
        <w:pStyle w:val="ListBullet"/>
        <w:spacing w:after="0"/>
      </w:pPr>
      <w:r>
        <w:rPr>
          <w:sz w:val="21"/>
        </w:rPr>
        <w:t>Vivienda/4_carga/ced_vivienda_gen.csv y .xlsx: tabla final por género.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Cuaderno metodológico Vivienda</dc:title>
  <dc:subject>Documentación del pipeline modular de Vivienda</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Metodología</cp:category>
</cp:coreProperties>
</file>