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Space Grotesk" w:cs="Space Grotesk" w:eastAsia="Space Grotesk" w:hAnsi="Space Grotesk"/>
          <w:b/>
          <w:bCs/>
          <w:caps/>
          <w:color w:val="00C8B4"/>
          <w:spacing w:val="60"/>
          <w:sz w:val="18"/>
          <w:szCs w:val="18"/>
        </w:rPr>
        <w:t xml:space="preserve">CUADERNO METODOLÓGICO</w:t>
      </w:r>
    </w:p>
    <w:p>
      <w:pPr>
        <w:spacing w:after="0" w:before="300"/>
      </w:pPr>
      <w:r>
        <w:rPr>
          <w:rFonts w:ascii="Space Grotesk" w:cs="Space Grotesk" w:eastAsia="Space Grotesk" w:hAnsi="Space Grotesk"/>
          <w:b/>
          <w:bCs/>
          <w:color w:val="0D1B2A"/>
          <w:sz w:val="56"/>
          <w:szCs w:val="56"/>
        </w:rPr>
        <w:t xml:space="preserve">Observatorio de Medios de Canarias</w:t>
      </w:r>
    </w:p>
    <w:p>
      <w:pPr>
        <w:spacing w:after="480" w:before="180"/>
      </w:pPr>
      <w:r>
        <w:rPr>
          <w:rFonts w:ascii="Inter" w:cs="Inter" w:eastAsia="Inter" w:hAnsi="Inter"/>
          <w:i/>
          <w:iCs/>
          <w:color w:val="6B8CA5"/>
          <w:sz w:val="24"/>
          <w:szCs w:val="24"/>
        </w:rPr>
        <w:t xml:space="preserve">Agenda, encuadre y prioridad informativa en la prensa del archipiélago: qué mide el instrumento, qué puede medir y qué no</w:t>
      </w:r>
    </w:p>
    <w:p>
      <w:pPr>
        <w:spacing w:after="120"/>
      </w:pPr>
      <w:r>
        <w:rPr>
          <w:rFonts w:ascii="Space Grotesk" w:cs="Space Grotesk" w:eastAsia="Space Grotesk" w:hAnsi="Space Grotesk"/>
          <w:b/>
          <w:bCs/>
          <w:caps/>
          <w:color w:val="6B8CA5"/>
          <w:spacing w:val="40"/>
          <w:sz w:val="16"/>
          <w:szCs w:val="16"/>
        </w:rPr>
        <w:t xml:space="preserve">Investigación:</w:t>
      </w:r>
      <w:r>
        <w:rPr>
          <w:rFonts w:ascii="Inter" w:cs="Inter" w:eastAsia="Inter" w:hAnsi="Inter"/>
          <w:color w:val="1A2F45"/>
          <w:sz w:val="20"/>
          <w:szCs w:val="20"/>
        </w:rPr>
        <w:t xml:space="preserve">   ODESOCAN · Observatorio de Derechos Sociales de Canarias</w:t>
      </w:r>
    </w:p>
    <w:p>
      <w:pPr>
        <w:spacing w:after="120"/>
      </w:pPr>
      <w:r>
        <w:rPr>
          <w:rFonts w:ascii="Space Grotesk" w:cs="Space Grotesk" w:eastAsia="Space Grotesk" w:hAnsi="Space Grotesk"/>
          <w:b/>
          <w:bCs/>
          <w:caps/>
          <w:color w:val="6B8CA5"/>
          <w:spacing w:val="40"/>
          <w:sz w:val="16"/>
          <w:szCs w:val="16"/>
        </w:rPr>
        <w:t xml:space="preserve">Infraestructura:</w:t>
      </w:r>
      <w:r>
        <w:rPr>
          <w:rFonts w:ascii="Inter" w:cs="Inter" w:eastAsia="Inter" w:hAnsi="Inter"/>
          <w:color w:val="1A2F45"/>
          <w:sz w:val="20"/>
          <w:szCs w:val="20"/>
        </w:rPr>
        <w:t xml:space="preserve">   medios-odesocan · 14 cabeceras · 15 temas · PostgreSQL / Supabase</w:t>
      </w:r>
    </w:p>
    <w:p>
      <w:pPr>
        <w:spacing w:after="120"/>
      </w:pPr>
      <w:r>
        <w:rPr>
          <w:rFonts w:ascii="Space Grotesk" w:cs="Space Grotesk" w:eastAsia="Space Grotesk" w:hAnsi="Space Grotesk"/>
          <w:b/>
          <w:bCs/>
          <w:caps/>
          <w:color w:val="6B8CA5"/>
          <w:spacing w:val="40"/>
          <w:sz w:val="16"/>
          <w:szCs w:val="16"/>
        </w:rPr>
        <w:t xml:space="preserve">Periodo de referencia:</w:t>
      </w:r>
      <w:r>
        <w:rPr>
          <w:rFonts w:ascii="Inter" w:cs="Inter" w:eastAsia="Inter" w:hAnsi="Inter"/>
          <w:color w:val="1A2F45"/>
          <w:sz w:val="20"/>
          <w:szCs w:val="20"/>
        </w:rPr>
        <w:t xml:space="preserve">   Corpus acumulado desde el inicio del proyecto</w:t>
      </w:r>
    </w:p>
    <w:p>
      <w:pPr>
        <w:spacing w:after="120"/>
      </w:pPr>
      <w:r>
        <w:rPr>
          <w:rFonts w:ascii="Space Grotesk" w:cs="Space Grotesk" w:eastAsia="Space Grotesk" w:hAnsi="Space Grotesk"/>
          <w:b/>
          <w:bCs/>
          <w:caps/>
          <w:color w:val="6B8CA5"/>
          <w:spacing w:val="40"/>
          <w:sz w:val="16"/>
          <w:szCs w:val="16"/>
        </w:rPr>
        <w:t xml:space="preserve">Tipo de documento:</w:t>
      </w:r>
      <w:r>
        <w:rPr>
          <w:rFonts w:ascii="Inter" w:cs="Inter" w:eastAsia="Inter" w:hAnsi="Inter"/>
          <w:color w:val="1A2F45"/>
          <w:sz w:val="20"/>
          <w:szCs w:val="20"/>
        </w:rPr>
        <w:t xml:space="preserve">   Cuaderno metodológico · documento de trabajo interno</w:t>
      </w:r>
    </w:p>
    <w:p>
      <w:pPr>
        <w:spacing w:after="120"/>
      </w:pPr>
      <w:r>
        <w:rPr>
          <w:rFonts w:ascii="Space Grotesk" w:cs="Space Grotesk" w:eastAsia="Space Grotesk" w:hAnsi="Space Grotesk"/>
          <w:b/>
          <w:bCs/>
          <w:caps/>
          <w:color w:val="6B8CA5"/>
          <w:spacing w:val="40"/>
          <w:sz w:val="16"/>
          <w:szCs w:val="16"/>
        </w:rPr>
        <w:t xml:space="preserve">Fecha:</w:t>
      </w:r>
      <w:r>
        <w:rPr>
          <w:rFonts w:ascii="Inter" w:cs="Inter" w:eastAsia="Inter" w:hAnsi="Inter"/>
          <w:color w:val="1A2F45"/>
          <w:sz w:val="20"/>
          <w:szCs w:val="20"/>
        </w:rPr>
        <w:t xml:space="preserve">   Septiembre de 2026</w:t>
      </w:r>
    </w:p>
    <w:p>
      <w:pPr>
        <w:spacing w:before="520"/>
      </w:pPr>
    </w:p>
    <w:tbl>
      <w:tblPr>
        <w:tblW w:type="dxa" w:w="9020"/>
        <w:tblBorders>
          <w:top w:val="none" w:color="FFFFFF" w:sz="0"/>
          <w:left w:val="single" w:color="00C8B4" w:sz="24"/>
          <w:bottom w:val="none" w:color="FFFFFF" w:sz="0"/>
          <w:right w:val="none" w:color="FFFFFF" w:sz="0"/>
          <w:insideH w:val="none" w:color="FFFFFF" w:sz="0"/>
          <w:insideV w:val="none" w:color="FFFFFF" w:sz="0"/>
        </w:tblBorders>
      </w:tblPr>
      <w:tblGrid>
        <w:gridCol w:w="9020"/>
      </w:tblGrid>
      <w:tr>
        <w:tc>
          <w:tcPr>
            <w:tcW w:type="dxa" w:w="9020"/>
            <w:shd w:fill="F5F8FA" w:color="auto" w:val="clear"/>
            <w:tcMar>
              <w:top w:type="dxa" w:w="200"/>
              <w:left w:type="dxa" w:w="260"/>
              <w:bottom w:type="dxa" w:w="200"/>
              <w:right w:type="dxa" w:w="240"/>
            </w:tcMar>
          </w:tcPr>
          <w:p>
            <w:pPr>
              <w:spacing w:after="110"/>
            </w:pPr>
            <w:r>
              <w:rPr>
                <w:rFonts w:ascii="Space Grotesk" w:cs="Space Grotesk" w:eastAsia="Space Grotesk" w:hAnsi="Space Grotesk"/>
                <w:b/>
                <w:bCs/>
                <w:caps/>
                <w:color w:val="00C8B4"/>
                <w:spacing w:val="24"/>
                <w:sz w:val="17"/>
                <w:szCs w:val="17"/>
              </w:rPr>
              <w:t xml:space="preserve">Resumen</w:t>
            </w:r>
          </w:p>
          <w:p>
            <w:pPr>
              <w:spacing w:after="140" w:before="0" w:line="288"/>
            </w:pPr>
            <w:r>
              <w:rPr>
                <w:rFonts w:ascii="Inter" w:cs="Inter" w:eastAsia="Inter" w:hAnsi="Inter"/>
                <w:color w:val="1A2F45"/>
                <w:sz w:val="21"/>
                <w:szCs w:val="21"/>
              </w:rPr>
              <w:t xml:space="preserve">El observatorio recoge a diario la portada y los feeds de 14 cabeceras canarias, clasifica cada pieza en 15 temas de derechos sociales y acumula el corpus en PostgreSQL. Este cuaderno traduce tres constructos clásicos de la investigación en comunicación —establecimiento de agenda, encuadre y priming— a indicadores calculables sobre esa base de datos concreta, y dictamina cuáles son medibles hoy y cuáles no.</w:t>
            </w:r>
          </w:p>
          <w:p>
            <w:pPr>
              <w:spacing w:after="140" w:before="0" w:line="288"/>
            </w:pPr>
            <w:r>
              <w:rPr>
                <w:rFonts w:ascii="Inter" w:cs="Inter" w:eastAsia="Inter" w:hAnsi="Inter"/>
                <w:color w:val="1A2F45"/>
                <w:sz w:val="21"/>
                <w:szCs w:val="21"/>
              </w:rPr>
              <w:t xml:space="preserve">El diagnóstico es desigual. La </w:t>
            </w:r>
            <w:r>
              <w:rPr>
                <w:rFonts w:ascii="Inter" w:cs="Inter" w:eastAsia="Inter" w:hAnsi="Inter"/>
                <w:b/>
                <w:bCs/>
                <w:color w:val="1A2F45"/>
                <w:sz w:val="21"/>
                <w:szCs w:val="21"/>
              </w:rPr>
              <w:t xml:space="preserve">agenda temática</w:t>
            </w:r>
            <w:r>
              <w:rPr>
                <w:rFonts w:ascii="Inter" w:cs="Inter" w:eastAsia="Inter" w:hAnsi="Inter"/>
                <w:color w:val="1A2F45"/>
                <w:sz w:val="21"/>
                <w:szCs w:val="21"/>
              </w:rPr>
              <w:t xml:space="preserve"> agregada y por cabecera es medible de inmediato, con una corrección previa. La </w:t>
            </w:r>
            <w:r>
              <w:rPr>
                <w:rFonts w:ascii="Inter" w:cs="Inter" w:eastAsia="Inter" w:hAnsi="Inter"/>
                <w:b/>
                <w:bCs/>
                <w:color w:val="1A2F45"/>
                <w:sz w:val="21"/>
                <w:szCs w:val="21"/>
              </w:rPr>
              <w:t xml:space="preserve">agenda de atributos</w:t>
            </w:r>
            <w:r>
              <w:rPr>
                <w:rFonts w:ascii="Inter" w:cs="Inter" w:eastAsia="Inter" w:hAnsi="Inter"/>
                <w:color w:val="1A2F45"/>
                <w:sz w:val="21"/>
                <w:szCs w:val="21"/>
              </w:rPr>
              <w:t xml:space="preserve"> lo es con reservas. El </w:t>
            </w:r>
            <w:r>
              <w:rPr>
                <w:rFonts w:ascii="Inter" w:cs="Inter" w:eastAsia="Inter" w:hAnsi="Inter"/>
                <w:b/>
                <w:bCs/>
                <w:color w:val="1A2F45"/>
                <w:sz w:val="21"/>
                <w:szCs w:val="21"/>
              </w:rPr>
              <w:t xml:space="preserve">encuadre</w:t>
            </w:r>
            <w:r>
              <w:rPr>
                <w:rFonts w:ascii="Inter" w:cs="Inter" w:eastAsia="Inter" w:hAnsi="Inter"/>
                <w:color w:val="1A2F45"/>
                <w:sz w:val="21"/>
                <w:szCs w:val="21"/>
              </w:rPr>
              <w:t xml:space="preserve"> exige un libro de códigos y una prueba de fiabilidad intercodificadora que todavía no existen. El </w:t>
            </w:r>
            <w:r>
              <w:rPr>
                <w:rFonts w:ascii="Inter" w:cs="Inter" w:eastAsia="Inter" w:hAnsi="Inter"/>
                <w:b/>
                <w:bCs/>
                <w:i/>
                <w:iCs/>
                <w:color w:val="1A2F45"/>
                <w:sz w:val="21"/>
                <w:szCs w:val="21"/>
              </w:rPr>
              <w:t xml:space="preserve">priming</w:t>
            </w:r>
            <w:r>
              <w:rPr>
                <w:rFonts w:ascii="Inter" w:cs="Inter" w:eastAsia="Inter" w:hAnsi="Inter"/>
                <w:color w:val="1A2F45"/>
                <w:sz w:val="21"/>
                <w:szCs w:val="21"/>
              </w:rPr>
              <w:t xml:space="preserve"> no es medible sin una serie externa de opinión pública. Y la pregunta de </w:t>
            </w:r>
            <w:r>
              <w:rPr>
                <w:rFonts w:ascii="Inter" w:cs="Inter" w:eastAsia="Inter" w:hAnsi="Inter"/>
                <w:b/>
                <w:bCs/>
                <w:color w:val="1A2F45"/>
                <w:sz w:val="21"/>
                <w:szCs w:val="21"/>
              </w:rPr>
              <w:t xml:space="preserve">quién habla primero</w:t>
            </w:r>
            <w:r>
              <w:rPr>
                <w:rFonts w:ascii="Inter" w:cs="Inter" w:eastAsia="Inter" w:hAnsi="Inter"/>
                <w:color w:val="1A2F45"/>
                <w:sz w:val="21"/>
                <w:szCs w:val="21"/>
              </w:rPr>
              <w:t xml:space="preserve"> está bloqueada por cuatro razones técnicas, todas subsanables.</w:t>
            </w:r>
          </w:p>
          <w:p>
            <w:pPr>
              <w:spacing w:after="0" w:before="0" w:line="288"/>
            </w:pPr>
            <w:r>
              <w:rPr>
                <w:rFonts w:ascii="Inter" w:cs="Inter" w:eastAsia="Inter" w:hAnsi="Inter"/>
                <w:color w:val="1A2F45"/>
                <w:sz w:val="21"/>
                <w:szCs w:val="21"/>
              </w:rPr>
              <w:t xml:space="preserve">Se documentan además tres amenazas a la validez que afectan a cualquier análisis que se publique con estos datos: la ausencia de denominador, la deriva del instrumento de clasificación y la falsa marca temporal. Las tres tienen arreglo barato, y el capítulo 10 lo detalla.</w:t>
            </w:r>
          </w:p>
        </w:tc>
      </w:tr>
    </w:tbl>
    <w:p>
      <w:r>
        <w:br w:type="page"/>
      </w:r>
    </w:p>
    <w:p>
      <w:pPr>
        <w:pStyle w:val="Heading1"/>
        <w:spacing w:after="170" w:before="460"/>
      </w:pPr>
      <w:r>
        <w:rPr>
          <w:rFonts w:ascii="Space Grotesk" w:cs="Space Grotesk" w:eastAsia="Space Grotesk" w:hAnsi="Space Grotesk"/>
          <w:b/>
          <w:bCs/>
          <w:color w:val="00C8B4"/>
          <w:sz w:val="32"/>
          <w:szCs w:val="32"/>
        </w:rPr>
        <w:t xml:space="preserve">1   </w:t>
      </w:r>
      <w:r>
        <w:rPr>
          <w:rFonts w:ascii="Space Grotesk" w:cs="Space Grotesk" w:eastAsia="Space Grotesk" w:hAnsi="Space Grotesk"/>
          <w:b/>
          <w:bCs/>
          <w:color w:val="1A2F45"/>
          <w:sz w:val="32"/>
          <w:szCs w:val="32"/>
        </w:rPr>
        <w:t xml:space="preserve">Objeto y alcance del cuaderno</w:t>
      </w:r>
    </w:p>
    <w:p>
      <w:pPr>
        <w:spacing w:after="140" w:before="0" w:line="288"/>
      </w:pPr>
      <w:r>
        <w:rPr>
          <w:rFonts w:ascii="Inter" w:cs="Inter" w:eastAsia="Inter" w:hAnsi="Inter"/>
          <w:color w:val="1A2F45"/>
          <w:sz w:val="21"/>
          <w:szCs w:val="21"/>
        </w:rPr>
        <w:t xml:space="preserve">Este documento no describe la infraestructura técnica del observatorio —eso lo hace ARQUITECTURA.md, en el mismo repositorio— sino su condición de instrumento de medida en ciencias de la comunicación. Responde a una pregunta previa a cualquier análisis: ¿qué inferencias soporta este corpus, y cuáles no?</w:t>
      </w:r>
    </w:p>
    <w:p>
      <w:pPr>
        <w:spacing w:after="140" w:before="0" w:line="288"/>
      </w:pPr>
      <w:r>
        <w:rPr>
          <w:rFonts w:ascii="Inter" w:cs="Inter" w:eastAsia="Inter" w:hAnsi="Inter"/>
          <w:color w:val="1A2F45"/>
          <w:sz w:val="21"/>
          <w:szCs w:val="21"/>
        </w:rPr>
        <w:t xml:space="preserve">La necesidad de escribirlo nace de una asimetría habitual en los observatorios de medios construidos sobre raspado automatizado. La infraestructura produce cifras con facilidad —cuántas piezas, de qué medio, sobre qué tema— y esas cifras invitan a interpretaciones que el diseño muestral no sostiene. Un porcentaje bien calculado sobre un corpus mal delimitado sigue siendo un dato falso.</w:t>
      </w:r>
    </w:p>
    <w:p>
      <w:pPr>
        <w:spacing w:after="140" w:before="0" w:line="288"/>
      </w:pPr>
      <w:r>
        <w:rPr>
          <w:rFonts w:ascii="Inter" w:cs="Inter" w:eastAsia="Inter" w:hAnsi="Inter"/>
          <w:color w:val="1A2F45"/>
          <w:sz w:val="21"/>
          <w:szCs w:val="21"/>
        </w:rPr>
        <w:t xml:space="preserve">El cuaderno cubre tres constructos y una pregunta operativa:</w:t>
      </w:r>
    </w:p>
    <w:p>
      <w:pPr>
        <w:pStyle w:val="ListParagraph"/>
        <w:numPr>
          <w:ilvl w:val="0"/>
          <w:numId w:val="2"/>
        </w:numPr>
        <w:spacing w:after="90" w:line="280"/>
      </w:pPr>
      <w:r>
        <w:rPr>
          <w:rFonts w:ascii="Inter" w:cs="Inter" w:eastAsia="Inter" w:hAnsi="Inter"/>
          <w:color w:val="1A2F45"/>
          <w:sz w:val="21"/>
          <w:szCs w:val="21"/>
        </w:rPr>
        <w:t xml:space="preserve">Establecimiento de agenda (</w:t>
      </w:r>
      <w:r>
        <w:rPr>
          <w:rFonts w:ascii="Inter" w:cs="Inter" w:eastAsia="Inter" w:hAnsi="Inter"/>
          <w:i/>
          <w:iCs/>
          <w:color w:val="1A2F45"/>
          <w:sz w:val="21"/>
          <w:szCs w:val="21"/>
        </w:rPr>
        <w:t xml:space="preserve">agenda setting</w:t>
      </w:r>
      <w:r>
        <w:rPr>
          <w:rFonts w:ascii="Inter" w:cs="Inter" w:eastAsia="Inter" w:hAnsi="Inter"/>
          <w:color w:val="1A2F45"/>
          <w:sz w:val="21"/>
          <w:szCs w:val="21"/>
        </w:rPr>
        <w:t xml:space="preserve">), en sus dos niveles: la saliencia de los temas y la saliencia de los atributos con que se construye cada tema.</w:t>
      </w:r>
    </w:p>
    <w:p>
      <w:pPr>
        <w:pStyle w:val="ListParagraph"/>
        <w:numPr>
          <w:ilvl w:val="0"/>
          <w:numId w:val="2"/>
        </w:numPr>
        <w:spacing w:after="90" w:line="280"/>
      </w:pPr>
      <w:r>
        <w:rPr>
          <w:rFonts w:ascii="Inter" w:cs="Inter" w:eastAsia="Inter" w:hAnsi="Inter"/>
          <w:color w:val="1A2F45"/>
          <w:sz w:val="21"/>
          <w:szCs w:val="21"/>
        </w:rPr>
        <w:t xml:space="preserve">Encuadre (</w:t>
      </w:r>
      <w:r>
        <w:rPr>
          <w:rFonts w:ascii="Inter" w:cs="Inter" w:eastAsia="Inter" w:hAnsi="Inter"/>
          <w:i/>
          <w:iCs/>
          <w:color w:val="1A2F45"/>
          <w:sz w:val="21"/>
          <w:szCs w:val="21"/>
        </w:rPr>
        <w:t xml:space="preserve">framing</w:t>
      </w:r>
      <w:r>
        <w:rPr>
          <w:rFonts w:ascii="Inter" w:cs="Inter" w:eastAsia="Inter" w:hAnsi="Inter"/>
          <w:color w:val="1A2F45"/>
          <w:sz w:val="21"/>
          <w:szCs w:val="21"/>
        </w:rPr>
        <w:t xml:space="preserve">): los marcos interpretativos con que cada cabecera define un problema, atribuye causas y sugiere tratamientos.</w:t>
      </w:r>
    </w:p>
    <w:p>
      <w:pPr>
        <w:pStyle w:val="ListParagraph"/>
        <w:numPr>
          <w:ilvl w:val="0"/>
          <w:numId w:val="2"/>
        </w:numPr>
        <w:spacing w:after="90" w:line="280"/>
      </w:pPr>
      <w:r>
        <w:rPr>
          <w:rFonts w:ascii="Inter" w:cs="Inter" w:eastAsia="Inter" w:hAnsi="Inter"/>
          <w:color w:val="1A2F45"/>
          <w:sz w:val="21"/>
          <w:szCs w:val="21"/>
        </w:rPr>
        <w:t xml:space="preserve"/>
      </w:r>
      <w:r>
        <w:rPr>
          <w:rFonts w:ascii="Inter" w:cs="Inter" w:eastAsia="Inter" w:hAnsi="Inter"/>
          <w:i/>
          <w:iCs/>
          <w:color w:val="1A2F45"/>
          <w:sz w:val="21"/>
          <w:szCs w:val="21"/>
        </w:rPr>
        <w:t xml:space="preserve">Priming</w:t>
      </w:r>
      <w:r>
        <w:rPr>
          <w:rFonts w:ascii="Inter" w:cs="Inter" w:eastAsia="Inter" w:hAnsi="Inter"/>
          <w:color w:val="1A2F45"/>
          <w:sz w:val="21"/>
          <w:szCs w:val="21"/>
        </w:rPr>
        <w:t xml:space="preserve">: el traslado de la saliencia mediática a los criterios con que la ciudadanía evalúa a los actores políticos.</w:t>
      </w:r>
    </w:p>
    <w:p>
      <w:pPr>
        <w:pStyle w:val="ListParagraph"/>
        <w:numPr>
          <w:ilvl w:val="0"/>
          <w:numId w:val="2"/>
        </w:numPr>
        <w:spacing w:after="90" w:line="280"/>
      </w:pPr>
      <w:r>
        <w:rPr>
          <w:rFonts w:ascii="Inter" w:cs="Inter" w:eastAsia="Inter" w:hAnsi="Inter"/>
          <w:color w:val="1A2F45"/>
          <w:sz w:val="21"/>
          <w:szCs w:val="21"/>
        </w:rPr>
        <w:t xml:space="preserve">Prioridad informativa: quién publica primero y quién sigue, es decir, el establecimiento de agenda </w:t>
      </w:r>
      <w:r>
        <w:rPr>
          <w:rFonts w:ascii="Inter" w:cs="Inter" w:eastAsia="Inter" w:hAnsi="Inter"/>
          <w:i/>
          <w:iCs/>
          <w:color w:val="1A2F45"/>
          <w:sz w:val="21"/>
          <w:szCs w:val="21"/>
        </w:rPr>
        <w:t xml:space="preserve">inter-medios</w:t>
      </w:r>
      <w:r>
        <w:rPr>
          <w:rFonts w:ascii="Inter" w:cs="Inter" w:eastAsia="Inter" w:hAnsi="Inter"/>
          <w:color w:val="1A2F45"/>
          <w:sz w:val="21"/>
          <w:szCs w:val="21"/>
        </w:rPr>
        <w:t xml:space="preserve">.</w:t>
      </w:r>
    </w:p>
    <w:p>
      <w:pPr>
        <w:spacing w:after="140" w:before="0" w:line="288"/>
      </w:pPr>
      <w:r>
        <w:rPr>
          <w:rFonts w:ascii="Inter" w:cs="Inter" w:eastAsia="Inter" w:hAnsi="Inter"/>
          <w:color w:val="1A2F45"/>
          <w:sz w:val="21"/>
          <w:szCs w:val="21"/>
        </w:rPr>
        <w:t xml:space="preserve">Cada uno se somete al mismo examen en tres pasos: qué exige el constructo, qué ofrece la base de datos, y qué distancia queda entre ambos. Cuando la distancia es salvable, se indica el cambio concreto que la salva.</w:t>
      </w:r>
    </w:p>
    <w:p>
      <w:pPr>
        <w:pStyle w:val="Heading1"/>
        <w:spacing w:after="170" w:before="460"/>
      </w:pPr>
      <w:r>
        <w:rPr>
          <w:rFonts w:ascii="Space Grotesk" w:cs="Space Grotesk" w:eastAsia="Space Grotesk" w:hAnsi="Space Grotesk"/>
          <w:b/>
          <w:bCs/>
          <w:color w:val="00C8B4"/>
          <w:sz w:val="32"/>
          <w:szCs w:val="32"/>
        </w:rPr>
        <w:t xml:space="preserve">2   </w:t>
      </w:r>
      <w:r>
        <w:rPr>
          <w:rFonts w:ascii="Space Grotesk" w:cs="Space Grotesk" w:eastAsia="Space Grotesk" w:hAnsi="Space Grotesk"/>
          <w:b/>
          <w:bCs/>
          <w:color w:val="1A2F45"/>
          <w:sz w:val="32"/>
          <w:szCs w:val="32"/>
        </w:rPr>
        <w:t xml:space="preserve">Qué observa realmente el instrumento</w:t>
      </w:r>
    </w:p>
    <w:p>
      <w:pPr>
        <w:pStyle w:val="Heading2"/>
        <w:spacing w:after="130" w:before="320"/>
      </w:pPr>
      <w:r>
        <w:rPr>
          <w:rFonts w:ascii="Space Grotesk" w:cs="Space Grotesk" w:eastAsia="Space Grotesk" w:hAnsi="Space Grotesk"/>
          <w:b/>
          <w:bCs/>
          <w:color w:val="00C8B4"/>
          <w:sz w:val="25"/>
          <w:szCs w:val="25"/>
        </w:rPr>
        <w:t xml:space="preserve">2.1   </w:t>
      </w:r>
      <w:r>
        <w:rPr>
          <w:rFonts w:ascii="Space Grotesk" w:cs="Space Grotesk" w:eastAsia="Space Grotesk" w:hAnsi="Space Grotesk"/>
          <w:b/>
          <w:bCs/>
          <w:color w:val="1A2F45"/>
          <w:sz w:val="25"/>
          <w:szCs w:val="25"/>
        </w:rPr>
        <w:t xml:space="preserve">La unidad de análisis</w:t>
      </w:r>
    </w:p>
    <w:p>
      <w:pPr>
        <w:spacing w:after="140" w:before="0" w:line="288"/>
      </w:pPr>
      <w:r>
        <w:rPr>
          <w:rFonts w:ascii="Inter" w:cs="Inter" w:eastAsia="Inter" w:hAnsi="Inter"/>
          <w:color w:val="1A2F45"/>
          <w:sz w:val="21"/>
          <w:szCs w:val="21"/>
        </w:rPr>
        <w:t xml:space="preserve">Cada fila de </w:t>
      </w:r>
      <w:r>
        <w:rPr>
          <w:rFonts w:ascii="JetBrains Mono" w:cs="JetBrains Mono" w:eastAsia="JetBrains Mono" w:hAnsi="JetBrains Mono"/>
          <w:color w:val="0F3460"/>
          <w:sz w:val="19"/>
          <w:szCs w:val="19"/>
        </w:rPr>
        <w:t xml:space="preserve">medios.noticias</w:t>
      </w:r>
      <w:r>
        <w:rPr>
          <w:rFonts w:ascii="Inter" w:cs="Inter" w:eastAsia="Inter" w:hAnsi="Inter"/>
          <w:color w:val="1A2F45"/>
          <w:sz w:val="21"/>
          <w:szCs w:val="21"/>
        </w:rPr>
        <w:t xml:space="preserve"> es una URL vista en la portada o el feed de una cabecera en un momento de observación. Conviene nombrar con precisión lo que eso es y lo que no es.</w:t>
      </w:r>
    </w:p>
    <w:p>
      <w:pPr>
        <w:spacing w:after="140" w:before="0" w:line="288"/>
      </w:pPr>
      <w:r>
        <w:rPr>
          <w:rFonts w:ascii="Inter" w:cs="Inter" w:eastAsia="Inter" w:hAnsi="Inter"/>
          <w:color w:val="1A2F45"/>
          <w:sz w:val="21"/>
          <w:szCs w:val="21"/>
        </w:rPr>
        <w:t xml:space="preserve">No es el artículo: </w:t>
      </w:r>
      <w:r>
        <w:rPr>
          <w:rFonts w:ascii="JetBrains Mono" w:cs="JetBrains Mono" w:eastAsia="JetBrains Mono" w:hAnsi="JetBrains Mono"/>
          <w:color w:val="0F3460"/>
          <w:sz w:val="19"/>
          <w:szCs w:val="19"/>
        </w:rPr>
        <w:t xml:space="preserve">texto_full</w:t>
      </w:r>
      <w:r>
        <w:rPr>
          <w:rFonts w:ascii="Inter" w:cs="Inter" w:eastAsia="Inter" w:hAnsi="Inter"/>
          <w:color w:val="1A2F45"/>
          <w:sz w:val="21"/>
          <w:szCs w:val="21"/>
        </w:rPr>
        <w:t xml:space="preserve"> lo aproxima, pero se trunca a 5.000 caracteres y su extracción puede fallar. No es el acontecimiento: un mismo hecho genera tantas piezas como cabeceras lo cubran, y esa multiplicidad es precisamente el objeto de estudio, no un problema a corregir. Y no es la producción de la cabecera: es lo que la cabecera </w:t>
      </w:r>
      <w:r>
        <w:rPr>
          <w:rFonts w:ascii="Inter" w:cs="Inter" w:eastAsia="Inter" w:hAnsi="Inter"/>
          <w:b/>
          <w:bCs/>
          <w:color w:val="1A2F45"/>
          <w:sz w:val="21"/>
          <w:szCs w:val="21"/>
        </w:rPr>
        <w:t xml:space="preserve">destacó</w:t>
      </w:r>
      <w:r>
        <w:rPr>
          <w:rFonts w:ascii="Inter" w:cs="Inter" w:eastAsia="Inter" w:hAnsi="Inter"/>
          <w:color w:val="1A2F45"/>
          <w:sz w:val="21"/>
          <w:szCs w:val="21"/>
        </w:rPr>
        <w:t xml:space="preserve"> en el momento de la observación.</w:t>
      </w:r>
    </w:p>
    <w:p>
      <w:pPr>
        <w:spacing w:after="140" w:before="0" w:line="288"/>
      </w:pPr>
      <w:r>
        <w:rPr>
          <w:rFonts w:ascii="Inter" w:cs="Inter" w:eastAsia="Inter" w:hAnsi="Inter"/>
          <w:color w:val="1A2F45"/>
          <w:sz w:val="21"/>
          <w:szCs w:val="21"/>
        </w:rPr>
        <w:t xml:space="preserve">La unidad es, por tanto, la pieza-en-portada. Es una unidad legítima y teóricamente motivada —el establecimiento de agenda se ocupa justamente de las señales de relevancia que el medio ofrece a su público, y la portada es esa señal—, pero hay que declararla como tal y no confundirla con el volumen de publicación.</w:t>
      </w:r>
    </w:p>
    <w:p>
      <w:pPr>
        <w:pStyle w:val="Heading2"/>
        <w:spacing w:after="130" w:before="320"/>
      </w:pPr>
      <w:r>
        <w:rPr>
          <w:rFonts w:ascii="Space Grotesk" w:cs="Space Grotesk" w:eastAsia="Space Grotesk" w:hAnsi="Space Grotesk"/>
          <w:b/>
          <w:bCs/>
          <w:color w:val="00C8B4"/>
          <w:sz w:val="25"/>
          <w:szCs w:val="25"/>
        </w:rPr>
        <w:t xml:space="preserve">2.2   </w:t>
      </w:r>
      <w:r>
        <w:rPr>
          <w:rFonts w:ascii="Space Grotesk" w:cs="Space Grotesk" w:eastAsia="Space Grotesk" w:hAnsi="Space Grotesk"/>
          <w:b/>
          <w:bCs/>
          <w:color w:val="1A2F45"/>
          <w:sz w:val="25"/>
          <w:szCs w:val="25"/>
        </w:rPr>
        <w:t xml:space="preserve">Universo, muestra y cadencia</w:t>
      </w:r>
    </w:p>
    <w:p>
      <w:pPr>
        <w:spacing w:after="60" w:before="330"/>
      </w:pPr>
      <w:r>
        <w:rPr>
          <w:rFonts w:ascii="Space Grotesk" w:cs="Space Grotesk" w:eastAsia="Space Grotesk" w:hAnsi="Space Grotesk"/>
          <w:b/>
          <w:bCs/>
          <w:caps/>
          <w:color w:val="00C8B4"/>
          <w:spacing w:val="20"/>
          <w:sz w:val="17"/>
          <w:szCs w:val="17"/>
        </w:rPr>
        <w:t xml:space="preserve">Tabla 1.  </w:t>
      </w:r>
      <w:r>
        <w:rPr>
          <w:rFonts w:ascii="Space Grotesk" w:cs="Space Grotesk" w:eastAsia="Space Grotesk" w:hAnsi="Space Grotesk"/>
          <w:b/>
          <w:bCs/>
          <w:color w:val="1A2F45"/>
          <w:sz w:val="19"/>
          <w:szCs w:val="19"/>
        </w:rPr>
        <w:t xml:space="preserve">Parámetros del diseño muestral</w:t>
      </w:r>
    </w:p>
    <w:tbl>
      <w:tblPr>
        <w:tblW w:type="dxa" w:w="9020"/>
        <w:tblBorders>
          <w:top w:val="single" w:color="E4EDF5" w:sz="2"/>
          <w:left w:val="none" w:color="FFFFFF" w:sz="0"/>
          <w:bottom w:val="single" w:color="E4EDF5" w:sz="2"/>
          <w:right w:val="none" w:color="FFFFFF" w:sz="0"/>
          <w:insideH w:val="single" w:color="E4EDF5" w:sz="2"/>
          <w:insideV w:val="none" w:color="FFFFFF" w:sz="0"/>
        </w:tblBorders>
      </w:tblPr>
      <w:tblGrid>
        <w:gridCol w:w="2100"/>
        <w:gridCol w:w="2500"/>
        <w:gridCol w:w="4420"/>
      </w:tblGrid>
      <w:tr>
        <w:trPr>
          <w:tblHeader/>
        </w:trPr>
        <w:tc>
          <w:tcPr>
            <w:tcW w:type="dxa" w:w="210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Parámetro</w:t>
            </w:r>
          </w:p>
        </w:tc>
        <w:tc>
          <w:tcPr>
            <w:tcW w:type="dxa" w:w="250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Valor</w:t>
            </w:r>
          </w:p>
        </w:tc>
        <w:tc>
          <w:tcPr>
            <w:tcW w:type="dxa" w:w="442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Implicación metodológica</w:t>
            </w:r>
          </w:p>
        </w:tc>
      </w:tr>
      <w:tr>
        <w:tc>
          <w:tcPr>
            <w:tcW w:type="dxa" w:w="21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Cabeceras configuradas</w:t>
            </w:r>
          </w:p>
        </w:tc>
        <w:tc>
          <w:tcPr>
            <w:tcW w:type="dxa" w:w="2500"/>
            <w:shd w:fill="FFFFFF" w:color="auto" w:val="clear"/>
            <w:tcMar>
              <w:top w:type="dxa" w:w="110"/>
              <w:left w:type="dxa" w:w="130"/>
              <w:bottom w:type="dxa" w:w="110"/>
              <w:right w:type="dxa" w:w="130"/>
            </w:tcMar>
          </w:tcPr>
          <w:p>
            <w:pPr>
              <w:spacing w:after="0" w:before="0" w:line="250"/>
            </w:pPr>
            <w:r>
              <w:rPr>
                <w:rFonts w:ascii="Inter" w:cs="Inter" w:eastAsia="Inter" w:hAnsi="Inter"/>
                <w:b/>
                <w:bCs/>
                <w:color w:val="009E8E"/>
                <w:sz w:val="18"/>
                <w:szCs w:val="18"/>
              </w:rPr>
              <w:t xml:space="preserve">14</w:t>
            </w:r>
          </w:p>
        </w:tc>
        <w:tc>
          <w:tcPr>
            <w:tcW w:type="dxa" w:w="442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Universo declarado</w:t>
            </w:r>
          </w:p>
        </w:tc>
      </w:tr>
      <w:tr>
        <w:tc>
          <w:tcPr>
            <w:tcW w:type="dxa" w:w="210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Cabeceras activas</w:t>
            </w:r>
          </w:p>
        </w:tc>
        <w:tc>
          <w:tcPr>
            <w:tcW w:type="dxa" w:w="2500"/>
            <w:shd w:fill="F5F8FA" w:color="auto" w:val="clear"/>
            <w:tcMar>
              <w:top w:type="dxa" w:w="110"/>
              <w:left w:type="dxa" w:w="130"/>
              <w:bottom w:type="dxa" w:w="110"/>
              <w:right w:type="dxa" w:w="130"/>
            </w:tcMar>
          </w:tcPr>
          <w:p>
            <w:pPr>
              <w:spacing w:after="0" w:before="0" w:line="250"/>
            </w:pPr>
            <w:r>
              <w:rPr>
                <w:rFonts w:ascii="Inter" w:cs="Inter" w:eastAsia="Inter" w:hAnsi="Inter"/>
                <w:b/>
                <w:bCs/>
                <w:color w:val="009E8E"/>
                <w:sz w:val="18"/>
                <w:szCs w:val="18"/>
              </w:rPr>
              <w:t xml:space="preserve">12</w:t>
            </w:r>
          </w:p>
        </w:tc>
        <w:tc>
          <w:tcPr>
            <w:tcW w:type="dxa" w:w="442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El Pueblo Canario y Canarias Noticias devuelven ECONNREFUSED de forma persistente: 0 piezas históricas. El universo efectivo es 12.</w:t>
            </w:r>
          </w:p>
        </w:tc>
      </w:tr>
      <w:tr>
        <w:tc>
          <w:tcPr>
            <w:tcW w:type="dxa" w:w="21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Cadencia</w:t>
            </w:r>
          </w:p>
        </w:tc>
        <w:tc>
          <w:tcPr>
            <w:tcW w:type="dxa" w:w="25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1 ejecución diaria, cron a las 10:00 UTC</w:t>
            </w:r>
          </w:p>
        </w:tc>
        <w:tc>
          <w:tcPr>
            <w:tcW w:type="dxa" w:w="442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GitHub encola los cron con retraso variable: la hora real oscila. No hay resolución intradiaria.</w:t>
            </w:r>
          </w:p>
        </w:tc>
      </w:tr>
      <w:tr>
        <w:tc>
          <w:tcPr>
            <w:tcW w:type="dxa" w:w="210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Cuota por cabecera</w:t>
            </w:r>
          </w:p>
        </w:tc>
        <w:tc>
          <w:tcPr>
            <w:tcW w:type="dxa" w:w="2500"/>
            <w:shd w:fill="F5F8FA" w:color="auto" w:val="clear"/>
            <w:tcMar>
              <w:top w:type="dxa" w:w="110"/>
              <w:left w:type="dxa" w:w="130"/>
              <w:bottom w:type="dxa" w:w="110"/>
              <w:right w:type="dxa" w:w="130"/>
            </w:tcMar>
          </w:tcPr>
          <w:p>
            <w:pPr>
              <w:spacing w:after="0" w:before="0" w:line="250"/>
            </w:pPr>
            <w:r>
              <w:rPr>
                <w:rFonts w:ascii="Inter" w:cs="Inter" w:eastAsia="Inter" w:hAnsi="Inter"/>
                <w:b/>
                <w:bCs/>
                <w:color w:val="D4940A"/>
                <w:sz w:val="18"/>
                <w:szCs w:val="18"/>
              </w:rPr>
              <w:t xml:space="preserve">20–30 piezas</w:t>
            </w:r>
          </w:p>
        </w:tc>
        <w:tc>
          <w:tcPr>
            <w:tcW w:type="dxa" w:w="442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Desigual entre cabeceras. Los volúmenes brutos NO son comparables entre medios; solo lo son las cuotas internas.</w:t>
            </w:r>
          </w:p>
        </w:tc>
      </w:tr>
      <w:tr>
        <w:tc>
          <w:tcPr>
            <w:tcW w:type="dxa" w:w="21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Fuente</w:t>
            </w:r>
          </w:p>
        </w:tc>
        <w:tc>
          <w:tcPr>
            <w:tcW w:type="dxa" w:w="25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Cabecera del feed RSS (6 cabeceras) + parte superior de la portada HTML (las 14)</w:t>
            </w:r>
          </w:p>
        </w:tc>
        <w:tc>
          <w:tcPr>
            <w:tcW w:type="dxa" w:w="442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Muestra de prominencia, no censo de producción.</w:t>
            </w:r>
          </w:p>
        </w:tc>
      </w:tr>
      <w:tr>
        <w:tc>
          <w:tcPr>
            <w:tcW w:type="dxa" w:w="210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Filtro de entrada</w:t>
            </w:r>
          </w:p>
        </w:tc>
        <w:tc>
          <w:tcPr>
            <w:tcW w:type="dxa" w:w="2500"/>
            <w:shd w:fill="F5F8FA" w:color="auto" w:val="clear"/>
            <w:tcMar>
              <w:top w:type="dxa" w:w="110"/>
              <w:left w:type="dxa" w:w="130"/>
              <w:bottom w:type="dxa" w:w="110"/>
              <w:right w:type="dxa" w:w="130"/>
            </w:tcMar>
          </w:tcPr>
          <w:p>
            <w:pPr>
              <w:spacing w:after="0" w:before="0" w:line="250"/>
            </w:pPr>
            <w:r>
              <w:rPr>
                <w:rFonts w:ascii="Inter" w:cs="Inter" w:eastAsia="Inter" w:hAnsi="Inter"/>
                <w:b/>
                <w:bCs/>
                <w:color w:val="FF4757"/>
                <w:sz w:val="18"/>
                <w:szCs w:val="18"/>
              </w:rPr>
              <w:t xml:space="preserve">Temático</w:t>
            </w:r>
          </w:p>
        </w:tc>
        <w:tc>
          <w:tcPr>
            <w:tcW w:type="dxa" w:w="442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Las piezas sin tema asignado se descartan y no se almacenan. Ver 2.3.</w:t>
            </w:r>
          </w:p>
        </w:tc>
      </w:tr>
    </w:tbl>
    <w:p>
      <w:pPr>
        <w:spacing w:after="200" w:before="90"/>
      </w:pPr>
      <w:r>
        <w:rPr>
          <w:rFonts w:ascii="Inter" w:cs="Inter" w:eastAsia="Inter" w:hAnsi="Inter"/>
          <w:i/>
          <w:iCs/>
          <w:color w:val="6B8CA5"/>
          <w:sz w:val="16"/>
          <w:szCs w:val="16"/>
        </w:rPr>
        <w:t xml:space="preserve">Fuente: elaboración propia a partir de observatorio/config/, .github/workflows/scraping.yml y observatorio/recoleccion/orquestador.py.</w:t>
      </w:r>
    </w:p>
    <w:p>
      <w:pPr>
        <w:spacing w:after="140" w:before="0" w:line="288"/>
      </w:pPr>
      <w:r>
        <w:rPr>
          <w:rFonts w:ascii="Inter" w:cs="Inter" w:eastAsia="Inter" w:hAnsi="Inter"/>
          <w:color w:val="1A2F45"/>
          <w:sz w:val="21"/>
          <w:szCs w:val="21"/>
        </w:rPr>
        <w:t xml:space="preserve">Dos consecuencias se siguen directamente de esta tabla y conviene fijarlas antes de seguir.</w:t>
      </w:r>
    </w:p>
    <w:p>
      <w:pPr>
        <w:spacing w:after="140" w:before="0" w:line="288"/>
      </w:pPr>
      <w:r>
        <w:rPr>
          <w:rFonts w:ascii="Inter" w:cs="Inter" w:eastAsia="Inter" w:hAnsi="Inter"/>
          <w:color w:val="1A2F45"/>
          <w:sz w:val="21"/>
          <w:szCs w:val="21"/>
        </w:rPr>
        <w:t xml:space="preserve">Primera: las piezas que aparecen y desaparecen de portada dentro de un mismo ciclo de 24 horas son invisibles para el instrumento. El sesgo no es aleatorio, es sistemático a favor de las historias persistentes y en contra de las efímeras. Para el estudio de la agenda esto atenúa la rotación real del ciclo informativo.</w:t>
      </w:r>
    </w:p>
    <w:p>
      <w:pPr>
        <w:spacing w:after="140" w:before="0" w:line="288"/>
      </w:pPr>
      <w:r>
        <w:rPr>
          <w:rFonts w:ascii="Inter" w:cs="Inter" w:eastAsia="Inter" w:hAnsi="Inter"/>
          <w:color w:val="1A2F45"/>
          <w:sz w:val="21"/>
          <w:szCs w:val="21"/>
        </w:rPr>
        <w:t xml:space="preserve">Segunda: la cuota desigual (30 piezas para Canarias7, La Provincia, El Día y Diario de Avisos; 25 para la mayoría; 20 para El Hierro Hoy) hace que </w:t>
      </w:r>
      <w:r>
        <w:rPr>
          <w:rFonts w:ascii="Inter" w:cs="Inter" w:eastAsia="Inter" w:hAnsi="Inter"/>
          <w:b/>
          <w:bCs/>
          <w:color w:val="1A2F45"/>
          <w:sz w:val="21"/>
          <w:szCs w:val="21"/>
        </w:rPr>
        <w:t xml:space="preserve">cualquier comparación de volumen bruto entre cabeceras mida la configuración del raspador, no la actividad del medio</w:t>
      </w:r>
      <w:r>
        <w:rPr>
          <w:rFonts w:ascii="Inter" w:cs="Inter" w:eastAsia="Inter" w:hAnsi="Inter"/>
          <w:color w:val="1A2F45"/>
          <w:sz w:val="21"/>
          <w:szCs w:val="21"/>
        </w:rPr>
        <w:t xml:space="preserve">. Solo son comparables las distribuciones internas: qué proporción de lo que cada cabecera destaca corresponde a cada tema.</w:t>
      </w:r>
    </w:p>
    <w:p>
      <w:pPr>
        <w:pStyle w:val="Heading2"/>
        <w:spacing w:after="130" w:before="320"/>
      </w:pPr>
      <w:r>
        <w:rPr>
          <w:rFonts w:ascii="Space Grotesk" w:cs="Space Grotesk" w:eastAsia="Space Grotesk" w:hAnsi="Space Grotesk"/>
          <w:b/>
          <w:bCs/>
          <w:color w:val="00C8B4"/>
          <w:sz w:val="25"/>
          <w:szCs w:val="25"/>
        </w:rPr>
        <w:t xml:space="preserve">2.3   </w:t>
      </w:r>
      <w:r>
        <w:rPr>
          <w:rFonts w:ascii="Space Grotesk" w:cs="Space Grotesk" w:eastAsia="Space Grotesk" w:hAnsi="Space Grotesk"/>
          <w:b/>
          <w:bCs/>
          <w:color w:val="1A2F45"/>
          <w:sz w:val="25"/>
          <w:szCs w:val="25"/>
        </w:rPr>
        <w:t xml:space="preserve">Lo que el corpus no contiene: el problema del denominador</w:t>
      </w:r>
    </w:p>
    <w:p>
      <w:pPr>
        <w:spacing w:after="140" w:before="0" w:line="288"/>
      </w:pPr>
      <w:r>
        <w:rPr>
          <w:rFonts w:ascii="Inter" w:cs="Inter" w:eastAsia="Inter" w:hAnsi="Inter"/>
          <w:color w:val="1A2F45"/>
          <w:sz w:val="21"/>
          <w:szCs w:val="21"/>
        </w:rPr>
        <w:t xml:space="preserve">Esta es la limitación central del instrumento en su estado actual, y la que más análisis invalida si no se corrige.</w:t>
      </w:r>
    </w:p>
    <w:p>
      <w:pPr>
        <w:spacing w:after="140" w:before="0" w:line="288"/>
      </w:pPr>
      <w:r>
        <w:rPr>
          <w:rFonts w:ascii="Inter" w:cs="Inter" w:eastAsia="Inter" w:hAnsi="Inter"/>
          <w:color w:val="1A2F45"/>
          <w:sz w:val="21"/>
          <w:szCs w:val="21"/>
        </w:rPr>
        <w:t xml:space="preserve">El clasificador puntúa cada pieza contra los 15 temas y descarta la que no alcance el umbral. El descarte no es una etiqueta: es una eliminación. La pieza no se guarda (</w:t>
      </w:r>
      <w:r>
        <w:rPr>
          <w:rFonts w:ascii="JetBrains Mono" w:cs="JetBrains Mono" w:eastAsia="JetBrains Mono" w:hAnsi="JetBrains Mono"/>
          <w:color w:val="0F3460"/>
          <w:sz w:val="19"/>
          <w:szCs w:val="19"/>
        </w:rPr>
        <w:t xml:space="preserve">guardar_noticia</w:t>
      </w:r>
      <w:r>
        <w:rPr>
          <w:rFonts w:ascii="Inter" w:cs="Inter" w:eastAsia="Inter" w:hAnsi="Inter"/>
          <w:color w:val="1A2F45"/>
          <w:sz w:val="21"/>
          <w:szCs w:val="21"/>
        </w:rPr>
        <w:t xml:space="preserve"> devuelve </w:t>
      </w:r>
      <w:r>
        <w:rPr>
          <w:rFonts w:ascii="JetBrains Mono" w:cs="JetBrains Mono" w:eastAsia="JetBrains Mono" w:hAnsi="JetBrains Mono"/>
          <w:color w:val="0F3460"/>
          <w:sz w:val="19"/>
          <w:szCs w:val="19"/>
        </w:rPr>
        <w:t xml:space="preserve">False</w:t>
      </w:r>
      <w:r>
        <w:rPr>
          <w:rFonts w:ascii="Inter" w:cs="Inter" w:eastAsia="Inter" w:hAnsi="Inter"/>
          <w:color w:val="1A2F45"/>
          <w:sz w:val="21"/>
          <w:szCs w:val="21"/>
        </w:rPr>
        <w:t xml:space="preserve">) y, si por alguna vía llegara sin tema a la base remota, se purga.</w:t>
      </w:r>
    </w:p>
    <w:tbl>
      <w:tblPr>
        <w:tblW w:type="dxa" w:w="9020"/>
        <w:tblBorders>
          <w:top w:val="none" w:color="FFFFFF" w:sz="0"/>
          <w:left w:val="single" w:color="FF4757" w:sz="24"/>
          <w:bottom w:val="none" w:color="FFFFFF" w:sz="0"/>
          <w:right w:val="none" w:color="FFFFFF" w:sz="0"/>
          <w:insideH w:val="none" w:color="FFFFFF" w:sz="0"/>
          <w:insideV w:val="none" w:color="FFFFFF" w:sz="0"/>
        </w:tblBorders>
      </w:tblPr>
      <w:tblGrid>
        <w:gridCol w:w="9020"/>
      </w:tblGrid>
      <w:tr>
        <w:tc>
          <w:tcPr>
            <w:tcW w:type="dxa" w:w="9020"/>
            <w:shd w:fill="F5F8FA" w:color="auto" w:val="clear"/>
            <w:tcMar>
              <w:top w:type="dxa" w:w="200"/>
              <w:left w:type="dxa" w:w="260"/>
              <w:bottom w:type="dxa" w:w="200"/>
              <w:right w:type="dxa" w:w="240"/>
            </w:tcMar>
          </w:tcPr>
          <w:p>
            <w:pPr>
              <w:spacing w:after="110"/>
            </w:pPr>
            <w:r>
              <w:rPr>
                <w:rFonts w:ascii="Space Grotesk" w:cs="Space Grotesk" w:eastAsia="Space Grotesk" w:hAnsi="Space Grotesk"/>
                <w:b/>
                <w:bCs/>
                <w:caps/>
                <w:color w:val="FF4757"/>
                <w:spacing w:val="24"/>
                <w:sz w:val="17"/>
                <w:szCs w:val="17"/>
              </w:rPr>
              <w:t xml:space="preserve">Consecuencia</w:t>
            </w:r>
          </w:p>
          <w:p>
            <w:pPr>
              <w:spacing w:after="140" w:before="0" w:line="288"/>
            </w:pPr>
            <w:r>
              <w:rPr>
                <w:rFonts w:ascii="Inter" w:cs="Inter" w:eastAsia="Inter" w:hAnsi="Inter"/>
                <w:b/>
                <w:bCs/>
                <w:color w:val="1A2F45"/>
                <w:sz w:val="21"/>
                <w:szCs w:val="21"/>
              </w:rPr>
              <w:t xml:space="preserve">La saliencia es, por definición, una magnitud relativa al total de la producción. Sin denominador no puede calcularse.</w:t>
            </w:r>
          </w:p>
          <w:p>
            <w:pPr>
              <w:spacing w:after="140" w:before="0" w:line="288"/>
            </w:pPr>
            <w:r>
              <w:rPr>
                <w:rFonts w:ascii="Inter" w:cs="Inter" w:eastAsia="Inter" w:hAnsi="Inter"/>
                <w:color w:val="1A2F45"/>
                <w:sz w:val="21"/>
                <w:szCs w:val="21"/>
              </w:rPr>
              <w:t xml:space="preserve">Con el corpus actual no es posible afirmar «el 18 % de la agenda de Canarias7 fue vivienda». Solo es posible afirmar «el 18 % de la agenda de Canarias7 relevante para ODESOCAN fue vivienda», que es una magnitud distinta y mucho menos informativa. Peor aún: una cabecera con mucha cobertura deportiva y cultural resulta indistinguible de otra sin ella, porque a ambas se les ha amputado el mismo tipo de contenido antes de contar.</w:t>
            </w:r>
          </w:p>
          <w:p>
            <w:pPr>
              <w:spacing w:after="0" w:before="0" w:line="288"/>
            </w:pPr>
            <w:r>
              <w:rPr>
                <w:rFonts w:ascii="Inter" w:cs="Inter" w:eastAsia="Inter" w:hAnsi="Inter"/>
                <w:color w:val="1A2F45"/>
                <w:sz w:val="21"/>
                <w:szCs w:val="21"/>
              </w:rPr>
              <w:t xml:space="preserve">Los 15 temas son la agenda normativa de ODESOCAN, no una taxonomía exhaustiva del contenido periodístico. El filtro es adecuado para alimentar un panel de seguimiento de derechos sociales; es inadecuado como base muestral para medir la agenda de un medio.</w:t>
            </w:r>
          </w:p>
        </w:tc>
      </w:tr>
    </w:tbl>
    <w:p>
      <w:pPr>
        <w:spacing w:after="140" w:before="0" w:line="288"/>
      </w:pPr>
      <w:r>
        <w:rPr>
          <w:rFonts w:ascii="Inter" w:cs="Inter" w:eastAsia="Inter" w:hAnsi="Inter"/>
          <w:color w:val="1A2F45"/>
          <w:sz w:val="21"/>
          <w:szCs w:val="21"/>
        </w:rPr>
        <w:t xml:space="preserve">El arreglo es barato y está detallado en el capítulo 10 (cambio R1): almacenar todas las piezas, con </w:t>
      </w:r>
      <w:r>
        <w:rPr>
          <w:rFonts w:ascii="JetBrains Mono" w:cs="JetBrains Mono" w:eastAsia="JetBrains Mono" w:hAnsi="JetBrains Mono"/>
          <w:color w:val="0F3460"/>
          <w:sz w:val="19"/>
          <w:szCs w:val="19"/>
        </w:rPr>
        <w:t xml:space="preserve">temas</w:t>
      </w:r>
      <w:r>
        <w:rPr>
          <w:rFonts w:ascii="Inter" w:cs="Inter" w:eastAsia="Inter" w:hAnsi="Inter"/>
          <w:color w:val="1A2F45"/>
          <w:sz w:val="21"/>
          <w:szCs w:val="21"/>
        </w:rPr>
        <w:t xml:space="preserve"> como array vacío cuando ninguna supere el umbral, y filtrar en la consulta y no en la ingesta. A partir de ese momento el denominador existe y todos los indicadores del capítulo 4 pasan de «requiere ajuste» a «disponible». Mientras no se haga, todo análisis de saliencia debe declarar explícitamente que el denominador es la agenda temática de ODESOCAN y no la producción de la cabecera.</w:t>
      </w:r>
    </w:p>
    <w:p>
      <w:pPr>
        <w:pStyle w:val="Heading1"/>
        <w:spacing w:after="170" w:before="460"/>
      </w:pPr>
      <w:r>
        <w:rPr>
          <w:rFonts w:ascii="Space Grotesk" w:cs="Space Grotesk" w:eastAsia="Space Grotesk" w:hAnsi="Space Grotesk"/>
          <w:b/>
          <w:bCs/>
          <w:color w:val="00C8B4"/>
          <w:sz w:val="32"/>
          <w:szCs w:val="32"/>
        </w:rPr>
        <w:t xml:space="preserve">3   </w:t>
      </w:r>
      <w:r>
        <w:rPr>
          <w:rFonts w:ascii="Space Grotesk" w:cs="Space Grotesk" w:eastAsia="Space Grotesk" w:hAnsi="Space Grotesk"/>
          <w:b/>
          <w:bCs/>
          <w:color w:val="1A2F45"/>
          <w:sz w:val="32"/>
          <w:szCs w:val="32"/>
        </w:rPr>
        <w:t xml:space="preserve">De la teoría al dato: mapa de operacionalización</w:t>
      </w:r>
    </w:p>
    <w:p>
      <w:pPr>
        <w:spacing w:after="140" w:before="0" w:line="288"/>
      </w:pPr>
      <w:r>
        <w:rPr>
          <w:rFonts w:ascii="Inter" w:cs="Inter" w:eastAsia="Inter" w:hAnsi="Inter"/>
          <w:color w:val="1A2F45"/>
          <w:sz w:val="21"/>
          <w:szCs w:val="21"/>
        </w:rPr>
        <w:t xml:space="preserve">La tabla siguiente es el núcleo del cuaderno. Cada fila recorre el camino completo desde el constructo teórico hasta la columna concreta que lo sostiene, y emite un dictamen sobre su viabilidad actual.</w:t>
      </w:r>
    </w:p>
    <w:p>
      <w:pPr>
        <w:spacing w:after="60" w:before="330"/>
      </w:pPr>
      <w:r>
        <w:rPr>
          <w:rFonts w:ascii="Space Grotesk" w:cs="Space Grotesk" w:eastAsia="Space Grotesk" w:hAnsi="Space Grotesk"/>
          <w:b/>
          <w:bCs/>
          <w:caps/>
          <w:color w:val="00C8B4"/>
          <w:spacing w:val="20"/>
          <w:sz w:val="17"/>
          <w:szCs w:val="17"/>
        </w:rPr>
        <w:t xml:space="preserve">Tabla 2.  </w:t>
      </w:r>
      <w:r>
        <w:rPr>
          <w:rFonts w:ascii="Space Grotesk" w:cs="Space Grotesk" w:eastAsia="Space Grotesk" w:hAnsi="Space Grotesk"/>
          <w:b/>
          <w:bCs/>
          <w:color w:val="1A2F45"/>
          <w:sz w:val="19"/>
          <w:szCs w:val="19"/>
        </w:rPr>
        <w:t xml:space="preserve">Constructos, indicadores y viabilidad</w:t>
      </w:r>
    </w:p>
    <w:tbl>
      <w:tblPr>
        <w:tblW w:type="dxa" w:w="9020"/>
        <w:tblBorders>
          <w:top w:val="single" w:color="E4EDF5" w:sz="2"/>
          <w:left w:val="none" w:color="FFFFFF" w:sz="0"/>
          <w:bottom w:val="single" w:color="E4EDF5" w:sz="2"/>
          <w:right w:val="none" w:color="FFFFFF" w:sz="0"/>
          <w:insideH w:val="single" w:color="E4EDF5" w:sz="2"/>
          <w:insideV w:val="none" w:color="FFFFFF" w:sz="0"/>
        </w:tblBorders>
      </w:tblPr>
      <w:tblGrid>
        <w:gridCol w:w="1850"/>
        <w:gridCol w:w="2550"/>
        <w:gridCol w:w="3020"/>
        <w:gridCol w:w="1600"/>
      </w:tblGrid>
      <w:tr>
        <w:trPr>
          <w:tblHeader/>
        </w:trPr>
        <w:tc>
          <w:tcPr>
            <w:tcW w:type="dxa" w:w="185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Constructo</w:t>
            </w:r>
          </w:p>
        </w:tc>
        <w:tc>
          <w:tcPr>
            <w:tcW w:type="dxa" w:w="255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Indicador</w:t>
            </w:r>
          </w:p>
        </w:tc>
        <w:tc>
          <w:tcPr>
            <w:tcW w:type="dxa" w:w="302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Dato que lo sostiene</w:t>
            </w:r>
          </w:p>
        </w:tc>
        <w:tc>
          <w:tcPr>
            <w:tcW w:type="dxa" w:w="160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Estado</w:t>
            </w:r>
          </w:p>
        </w:tc>
      </w:tr>
      <w:tr>
        <w:tc>
          <w:tcPr>
            <w:tcW w:type="dxa" w:w="185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Agenda, 1.er nivel</w:t>
            </w:r>
          </w:p>
          <w:p>
            <w:pPr>
              <w:spacing w:after="0" w:before="60" w:line="250"/>
            </w:pPr>
            <w:r>
              <w:rPr>
                <w:rFonts w:ascii="Inter" w:cs="Inter" w:eastAsia="Inter" w:hAnsi="Inter"/>
                <w:color w:val="1A2F45"/>
                <w:sz w:val="18"/>
                <w:szCs w:val="18"/>
              </w:rPr>
              <w:t xml:space="preserve">Saliencia temática</w:t>
            </w:r>
          </w:p>
        </w:tc>
        <w:tc>
          <w:tcPr>
            <w:tcW w:type="dxa" w:w="255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Cuota temática por cabecera y periodo</w:t>
            </w:r>
          </w:p>
        </w:tc>
        <w:tc>
          <w:tcPr>
            <w:tcW w:type="dxa" w:w="3020"/>
            <w:shd w:fill="FFFFFF" w:color="auto" w:val="clear"/>
            <w:tcMar>
              <w:top w:type="dxa" w:w="110"/>
              <w:left w:type="dxa" w:w="130"/>
              <w:bottom w:type="dxa" w:w="110"/>
              <w:right w:type="dxa" w:w="130"/>
            </w:tcMar>
          </w:tcPr>
          <w:p>
            <w:pPr>
              <w:spacing w:after="0" w:before="0" w:line="250"/>
            </w:pPr>
            <w:r>
              <w:rPr>
                <w:rFonts w:ascii="JetBrains Mono" w:cs="JetBrains Mono" w:eastAsia="JetBrains Mono" w:hAnsi="JetBrains Mono"/>
                <w:color w:val="1A2F45"/>
                <w:sz w:val="16"/>
                <w:szCs w:val="16"/>
              </w:rPr>
              <w:t xml:space="preserve">noticias.temas, medio, fecha</w:t>
            </w:r>
          </w:p>
        </w:tc>
        <w:tc>
          <w:tcPr>
            <w:tcW w:type="dxa" w:w="1600"/>
            <w:shd w:fill="FFFFFF" w:color="auto" w:val="clear"/>
            <w:tcMar>
              <w:top w:type="dxa" w:w="110"/>
              <w:left w:type="dxa" w:w="130"/>
              <w:bottom w:type="dxa" w:w="110"/>
              <w:right w:type="dxa" w:w="130"/>
            </w:tcMar>
          </w:tcPr>
          <w:p>
            <w:pPr>
              <w:spacing w:after="0" w:before="0" w:line="250"/>
            </w:pPr>
            <w:r>
              <w:rPr>
                <w:rFonts w:ascii="Inter" w:cs="Inter" w:eastAsia="Inter" w:hAnsi="Inter"/>
                <w:b/>
                <w:bCs/>
                <w:color w:val="D4940A"/>
                <w:sz w:val="18"/>
                <w:szCs w:val="18"/>
              </w:rPr>
              <w:t xml:space="preserve">Requiere ajuste</w:t>
            </w:r>
          </w:p>
        </w:tc>
      </w:tr>
      <w:tr>
        <w:tc>
          <w:tcPr>
            <w:tcW w:type="dxa" w:w="185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Agenda, 1.er nivel</w:t>
            </w:r>
          </w:p>
          <w:p>
            <w:pPr>
              <w:spacing w:after="0" w:before="60" w:line="250"/>
            </w:pPr>
            <w:r>
              <w:rPr>
                <w:rFonts w:ascii="Inter" w:cs="Inter" w:eastAsia="Inter" w:hAnsi="Inter"/>
                <w:color w:val="1A2F45"/>
                <w:sz w:val="18"/>
                <w:szCs w:val="18"/>
              </w:rPr>
              <w:t xml:space="preserve">Diversidad</w:t>
            </w:r>
          </w:p>
        </w:tc>
        <w:tc>
          <w:tcPr>
            <w:tcW w:type="dxa" w:w="255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Entropía normalizada de la distribución temática</w:t>
            </w:r>
          </w:p>
        </w:tc>
        <w:tc>
          <w:tcPr>
            <w:tcW w:type="dxa" w:w="302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id.</w:t>
            </w:r>
          </w:p>
        </w:tc>
        <w:tc>
          <w:tcPr>
            <w:tcW w:type="dxa" w:w="1600"/>
            <w:shd w:fill="F5F8FA" w:color="auto" w:val="clear"/>
            <w:tcMar>
              <w:top w:type="dxa" w:w="110"/>
              <w:left w:type="dxa" w:w="130"/>
              <w:bottom w:type="dxa" w:w="110"/>
              <w:right w:type="dxa" w:w="130"/>
            </w:tcMar>
          </w:tcPr>
          <w:p>
            <w:pPr>
              <w:spacing w:after="0" w:before="0" w:line="250"/>
            </w:pPr>
            <w:r>
              <w:rPr>
                <w:rFonts w:ascii="Inter" w:cs="Inter" w:eastAsia="Inter" w:hAnsi="Inter"/>
                <w:b/>
                <w:bCs/>
                <w:color w:val="D4940A"/>
                <w:sz w:val="18"/>
                <w:szCs w:val="18"/>
              </w:rPr>
              <w:t xml:space="preserve">Requiere ajuste</w:t>
            </w:r>
          </w:p>
        </w:tc>
      </w:tr>
      <w:tr>
        <w:tc>
          <w:tcPr>
            <w:tcW w:type="dxa" w:w="185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Agenda, 1.er nivel</w:t>
            </w:r>
          </w:p>
          <w:p>
            <w:pPr>
              <w:spacing w:after="0" w:before="60" w:line="250"/>
            </w:pPr>
            <w:r>
              <w:rPr>
                <w:rFonts w:ascii="Inter" w:cs="Inter" w:eastAsia="Inter" w:hAnsi="Inter"/>
                <w:color w:val="1A2F45"/>
                <w:sz w:val="18"/>
                <w:szCs w:val="18"/>
              </w:rPr>
              <w:t xml:space="preserve">Convergencia</w:t>
            </w:r>
          </w:p>
        </w:tc>
        <w:tc>
          <w:tcPr>
            <w:tcW w:type="dxa" w:w="255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ρ de Spearman entre rankings temáticos de pares de cabeceras</w:t>
            </w:r>
          </w:p>
        </w:tc>
        <w:tc>
          <w:tcPr>
            <w:tcW w:type="dxa" w:w="302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id.</w:t>
            </w:r>
          </w:p>
        </w:tc>
        <w:tc>
          <w:tcPr>
            <w:tcW w:type="dxa" w:w="1600"/>
            <w:shd w:fill="FFFFFF" w:color="auto" w:val="clear"/>
            <w:tcMar>
              <w:top w:type="dxa" w:w="110"/>
              <w:left w:type="dxa" w:w="130"/>
              <w:bottom w:type="dxa" w:w="110"/>
              <w:right w:type="dxa" w:w="130"/>
            </w:tcMar>
          </w:tcPr>
          <w:p>
            <w:pPr>
              <w:spacing w:after="0" w:before="0" w:line="250"/>
            </w:pPr>
            <w:r>
              <w:rPr>
                <w:rFonts w:ascii="Inter" w:cs="Inter" w:eastAsia="Inter" w:hAnsi="Inter"/>
                <w:b/>
                <w:bCs/>
                <w:color w:val="D4940A"/>
                <w:sz w:val="18"/>
                <w:szCs w:val="18"/>
              </w:rPr>
              <w:t xml:space="preserve">Requiere ajuste</w:t>
            </w:r>
          </w:p>
        </w:tc>
      </w:tr>
      <w:tr>
        <w:tc>
          <w:tcPr>
            <w:tcW w:type="dxa" w:w="185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Agenda, 1.er nivel</w:t>
            </w:r>
          </w:p>
          <w:p>
            <w:pPr>
              <w:spacing w:after="0" w:before="60" w:line="250"/>
            </w:pPr>
            <w:r>
              <w:rPr>
                <w:rFonts w:ascii="Inter" w:cs="Inter" w:eastAsia="Inter" w:hAnsi="Inter"/>
                <w:color w:val="1A2F45"/>
                <w:sz w:val="18"/>
                <w:szCs w:val="18"/>
              </w:rPr>
              <w:t xml:space="preserve">Prominencia</w:t>
            </w:r>
          </w:p>
        </w:tc>
        <w:tc>
          <w:tcPr>
            <w:tcW w:type="dxa" w:w="255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Posición de la pieza en portada</w:t>
            </w:r>
          </w:p>
        </w:tc>
        <w:tc>
          <w:tcPr>
            <w:tcW w:type="dxa" w:w="302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No se almacena. Recuperable de forma aproximada por el orden de id</w:t>
            </w:r>
          </w:p>
        </w:tc>
        <w:tc>
          <w:tcPr>
            <w:tcW w:type="dxa" w:w="1600"/>
            <w:shd w:fill="F5F8FA" w:color="auto" w:val="clear"/>
            <w:tcMar>
              <w:top w:type="dxa" w:w="110"/>
              <w:left w:type="dxa" w:w="130"/>
              <w:bottom w:type="dxa" w:w="110"/>
              <w:right w:type="dxa" w:w="130"/>
            </w:tcMar>
          </w:tcPr>
          <w:p>
            <w:pPr>
              <w:spacing w:after="0" w:before="0" w:line="250"/>
            </w:pPr>
            <w:r>
              <w:rPr>
                <w:rFonts w:ascii="Inter" w:cs="Inter" w:eastAsia="Inter" w:hAnsi="Inter"/>
                <w:b/>
                <w:bCs/>
                <w:color w:val="D4940A"/>
                <w:sz w:val="18"/>
                <w:szCs w:val="18"/>
              </w:rPr>
              <w:t xml:space="preserve">Requiere ajuste</w:t>
            </w:r>
          </w:p>
        </w:tc>
      </w:tr>
      <w:tr>
        <w:tc>
          <w:tcPr>
            <w:tcW w:type="dxa" w:w="185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Agenda, 2.º nivel</w:t>
            </w:r>
          </w:p>
          <w:p>
            <w:pPr>
              <w:spacing w:after="0" w:before="60" w:line="250"/>
            </w:pPr>
            <w:r>
              <w:rPr>
                <w:rFonts w:ascii="Inter" w:cs="Inter" w:eastAsia="Inter" w:hAnsi="Inter"/>
                <w:color w:val="1A2F45"/>
                <w:sz w:val="18"/>
                <w:szCs w:val="18"/>
              </w:rPr>
              <w:t xml:space="preserve">Atributos</w:t>
            </w:r>
          </w:p>
        </w:tc>
        <w:tc>
          <w:tcPr>
            <w:tcW w:type="dxa" w:w="255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Vocabulario distintivo de cada cabecera dentro de un mismo tema</w:t>
            </w:r>
          </w:p>
        </w:tc>
        <w:tc>
          <w:tcPr>
            <w:tcW w:type="dxa" w:w="3020"/>
            <w:shd w:fill="FFFFFF" w:color="auto" w:val="clear"/>
            <w:tcMar>
              <w:top w:type="dxa" w:w="110"/>
              <w:left w:type="dxa" w:w="130"/>
              <w:bottom w:type="dxa" w:w="110"/>
              <w:right w:type="dxa" w:w="130"/>
            </w:tcMar>
          </w:tcPr>
          <w:p>
            <w:pPr>
              <w:spacing w:after="0" w:before="0" w:line="250"/>
            </w:pPr>
            <w:r>
              <w:rPr>
                <w:rFonts w:ascii="JetBrains Mono" w:cs="JetBrains Mono" w:eastAsia="JetBrains Mono" w:hAnsi="JetBrains Mono"/>
                <w:color w:val="1A2F45"/>
                <w:sz w:val="16"/>
                <w:szCs w:val="16"/>
              </w:rPr>
              <w:t xml:space="preserve">wordcloud_terms</w:t>
            </w:r>
          </w:p>
          <w:p>
            <w:pPr>
              <w:spacing w:after="0" w:before="60" w:line="250"/>
            </w:pPr>
            <w:r>
              <w:rPr>
                <w:rFonts w:ascii="JetBrains Mono" w:cs="JetBrains Mono" w:eastAsia="JetBrains Mono" w:hAnsi="JetBrains Mono"/>
                <w:color w:val="1A2F45"/>
                <w:sz w:val="16"/>
                <w:szCs w:val="16"/>
              </w:rPr>
              <w:t xml:space="preserve">(ámbito medio × tema)</w:t>
            </w:r>
          </w:p>
        </w:tc>
        <w:tc>
          <w:tcPr>
            <w:tcW w:type="dxa" w:w="1600"/>
            <w:shd w:fill="FFFFFF" w:color="auto" w:val="clear"/>
            <w:tcMar>
              <w:top w:type="dxa" w:w="110"/>
              <w:left w:type="dxa" w:w="130"/>
              <w:bottom w:type="dxa" w:w="110"/>
              <w:right w:type="dxa" w:w="130"/>
            </w:tcMar>
          </w:tcPr>
          <w:p>
            <w:pPr>
              <w:spacing w:after="0" w:before="0" w:line="250"/>
            </w:pPr>
            <w:r>
              <w:rPr>
                <w:rFonts w:ascii="Inter" w:cs="Inter" w:eastAsia="Inter" w:hAnsi="Inter"/>
                <w:b/>
                <w:bCs/>
                <w:color w:val="009E8E"/>
                <w:sz w:val="18"/>
                <w:szCs w:val="18"/>
              </w:rPr>
              <w:t xml:space="preserve">Disponible</w:t>
            </w:r>
          </w:p>
        </w:tc>
      </w:tr>
      <w:tr>
        <w:tc>
          <w:tcPr>
            <w:tcW w:type="dxa" w:w="185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Encuadre</w:t>
            </w:r>
          </w:p>
        </w:tc>
        <w:tc>
          <w:tcPr>
            <w:tcW w:type="dxa" w:w="255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Marcos genéricos y específicos del asunto</w:t>
            </w:r>
          </w:p>
        </w:tc>
        <w:tc>
          <w:tcPr>
            <w:tcW w:type="dxa" w:w="3020"/>
            <w:shd w:fill="F5F8FA" w:color="auto" w:val="clear"/>
            <w:tcMar>
              <w:top w:type="dxa" w:w="110"/>
              <w:left w:type="dxa" w:w="130"/>
              <w:bottom w:type="dxa" w:w="110"/>
              <w:right w:type="dxa" w:w="130"/>
            </w:tcMar>
          </w:tcPr>
          <w:p>
            <w:pPr>
              <w:spacing w:after="0" w:before="0" w:line="250"/>
            </w:pPr>
            <w:r>
              <w:rPr>
                <w:rFonts w:ascii="JetBrains Mono" w:cs="JetBrains Mono" w:eastAsia="JetBrains Mono" w:hAnsi="JetBrains Mono"/>
                <w:color w:val="1A2F45"/>
                <w:sz w:val="16"/>
                <w:szCs w:val="16"/>
              </w:rPr>
              <w:t xml:space="preserve">texto_full (5.000 car.)</w:t>
            </w:r>
          </w:p>
        </w:tc>
        <w:tc>
          <w:tcPr>
            <w:tcW w:type="dxa" w:w="1600"/>
            <w:shd w:fill="F5F8FA" w:color="auto" w:val="clear"/>
            <w:tcMar>
              <w:top w:type="dxa" w:w="110"/>
              <w:left w:type="dxa" w:w="130"/>
              <w:bottom w:type="dxa" w:w="110"/>
              <w:right w:type="dxa" w:w="130"/>
            </w:tcMar>
          </w:tcPr>
          <w:p>
            <w:pPr>
              <w:spacing w:after="0" w:before="0" w:line="250"/>
            </w:pPr>
            <w:r>
              <w:rPr>
                <w:rFonts w:ascii="Inter" w:cs="Inter" w:eastAsia="Inter" w:hAnsi="Inter"/>
                <w:b/>
                <w:bCs/>
                <w:color w:val="D4940A"/>
                <w:sz w:val="18"/>
                <w:szCs w:val="18"/>
              </w:rPr>
              <w:t xml:space="preserve">Requiere protocolo</w:t>
            </w:r>
          </w:p>
        </w:tc>
      </w:tr>
      <w:tr>
        <w:tc>
          <w:tcPr>
            <w:tcW w:type="dxa" w:w="185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Priming</w:t>
            </w:r>
          </w:p>
        </w:tc>
        <w:tc>
          <w:tcPr>
            <w:tcW w:type="dxa" w:w="255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Traslado de la saliencia mediática a los criterios de evaluación pública</w:t>
            </w:r>
          </w:p>
        </w:tc>
        <w:tc>
          <w:tcPr>
            <w:tcW w:type="dxa" w:w="302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Ninguno: exige serie de opinión pública externa</w:t>
            </w:r>
          </w:p>
        </w:tc>
        <w:tc>
          <w:tcPr>
            <w:tcW w:type="dxa" w:w="1600"/>
            <w:shd w:fill="FFFFFF" w:color="auto" w:val="clear"/>
            <w:tcMar>
              <w:top w:type="dxa" w:w="110"/>
              <w:left w:type="dxa" w:w="130"/>
              <w:bottom w:type="dxa" w:w="110"/>
              <w:right w:type="dxa" w:w="130"/>
            </w:tcMar>
          </w:tcPr>
          <w:p>
            <w:pPr>
              <w:spacing w:after="0" w:before="0" w:line="250"/>
            </w:pPr>
            <w:r>
              <w:rPr>
                <w:rFonts w:ascii="Inter" w:cs="Inter" w:eastAsia="Inter" w:hAnsi="Inter"/>
                <w:b/>
                <w:bCs/>
                <w:color w:val="FF4757"/>
                <w:sz w:val="18"/>
                <w:szCs w:val="18"/>
              </w:rPr>
              <w:t xml:space="preserve">Bloqueado</w:t>
            </w:r>
          </w:p>
        </w:tc>
      </w:tr>
      <w:tr>
        <w:tc>
          <w:tcPr>
            <w:tcW w:type="dxa" w:w="185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Agenda inter-medios</w:t>
            </w:r>
          </w:p>
          <w:p>
            <w:pPr>
              <w:spacing w:after="0" w:before="60" w:line="250"/>
            </w:pPr>
            <w:r>
              <w:rPr>
                <w:rFonts w:ascii="Inter" w:cs="Inter" w:eastAsia="Inter" w:hAnsi="Inter"/>
                <w:color w:val="1A2F45"/>
                <w:sz w:val="18"/>
                <w:szCs w:val="18"/>
              </w:rPr>
              <w:t xml:space="preserve">Prioridad</w:t>
            </w:r>
          </w:p>
        </w:tc>
        <w:tc>
          <w:tcPr>
            <w:tcW w:type="dxa" w:w="255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Quién publica primero una misma historia</w:t>
            </w:r>
          </w:p>
        </w:tc>
        <w:tc>
          <w:tcPr>
            <w:tcW w:type="dxa" w:w="302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Marca temporal no fiable; sin resolución intradiaria; sin identificación de historia</w:t>
            </w:r>
          </w:p>
        </w:tc>
        <w:tc>
          <w:tcPr>
            <w:tcW w:type="dxa" w:w="1600"/>
            <w:shd w:fill="F5F8FA" w:color="auto" w:val="clear"/>
            <w:tcMar>
              <w:top w:type="dxa" w:w="110"/>
              <w:left w:type="dxa" w:w="130"/>
              <w:bottom w:type="dxa" w:w="110"/>
              <w:right w:type="dxa" w:w="130"/>
            </w:tcMar>
          </w:tcPr>
          <w:p>
            <w:pPr>
              <w:spacing w:after="0" w:before="0" w:line="250"/>
            </w:pPr>
            <w:r>
              <w:rPr>
                <w:rFonts w:ascii="Inter" w:cs="Inter" w:eastAsia="Inter" w:hAnsi="Inter"/>
                <w:b/>
                <w:bCs/>
                <w:color w:val="FF4757"/>
                <w:sz w:val="18"/>
                <w:szCs w:val="18"/>
              </w:rPr>
              <w:t xml:space="preserve">Bloqueado</w:t>
            </w:r>
          </w:p>
        </w:tc>
      </w:tr>
    </w:tbl>
    <w:p>
      <w:pPr>
        <w:spacing w:after="200" w:before="90"/>
      </w:pPr>
      <w:r>
        <w:rPr>
          <w:rFonts w:ascii="Inter" w:cs="Inter" w:eastAsia="Inter" w:hAnsi="Inter"/>
          <w:i/>
          <w:iCs/>
          <w:color w:val="6B8CA5"/>
          <w:sz w:val="16"/>
          <w:szCs w:val="16"/>
        </w:rPr>
        <w:t xml:space="preserve">Estado: «disponible» = calculable hoy; «requiere ajuste» = calculable tras un cambio menor documentado en el capítulo 10; «requiere protocolo» = el dato existe pero falta el instrumento de codificación; «bloqueado» = falta el dato.</w:t>
      </w:r>
    </w:p>
    <w:p>
      <w:pPr>
        <w:pStyle w:val="Heading1"/>
        <w:spacing w:after="170" w:before="460"/>
      </w:pPr>
      <w:r>
        <w:rPr>
          <w:rFonts w:ascii="Space Grotesk" w:cs="Space Grotesk" w:eastAsia="Space Grotesk" w:hAnsi="Space Grotesk"/>
          <w:b/>
          <w:bCs/>
          <w:color w:val="00C8B4"/>
          <w:sz w:val="32"/>
          <w:szCs w:val="32"/>
        </w:rPr>
        <w:t xml:space="preserve">4   </w:t>
      </w:r>
      <w:r>
        <w:rPr>
          <w:rFonts w:ascii="Space Grotesk" w:cs="Space Grotesk" w:eastAsia="Space Grotesk" w:hAnsi="Space Grotesk"/>
          <w:b/>
          <w:bCs/>
          <w:color w:val="1A2F45"/>
          <w:sz w:val="32"/>
          <w:szCs w:val="32"/>
        </w:rPr>
        <w:t xml:space="preserve">Primer nivel: la agenda temática</w:t>
      </w:r>
    </w:p>
    <w:p>
      <w:pPr>
        <w:spacing w:after="140" w:before="0" w:line="288"/>
      </w:pPr>
      <w:r>
        <w:rPr>
          <w:rFonts w:ascii="Inter" w:cs="Inter" w:eastAsia="Inter" w:hAnsi="Inter"/>
          <w:color w:val="1A2F45"/>
          <w:sz w:val="21"/>
          <w:szCs w:val="21"/>
        </w:rPr>
        <w:t xml:space="preserve">El primer nivel del establecimiento de agenda mide qué asuntos reciben atención y en qué proporción. Es la formulación original de McCombs y Shaw (1972), y su operacionalización canónica —correlación de rangos entre la agenda del medio y la del público— sigue siendo la referencia. Aquí se aplica entre cabeceras, no entre medio y público, porque el instrumento observa medios.</w:t>
      </w:r>
    </w:p>
    <w:p>
      <w:pPr>
        <w:pStyle w:val="Heading2"/>
        <w:spacing w:after="130" w:before="320"/>
      </w:pPr>
      <w:r>
        <w:rPr>
          <w:rFonts w:ascii="Space Grotesk" w:cs="Space Grotesk" w:eastAsia="Space Grotesk" w:hAnsi="Space Grotesk"/>
          <w:b/>
          <w:bCs/>
          <w:color w:val="00C8B4"/>
          <w:sz w:val="25"/>
          <w:szCs w:val="25"/>
        </w:rPr>
        <w:t xml:space="preserve">4.1   </w:t>
      </w:r>
      <w:r>
        <w:rPr>
          <w:rFonts w:ascii="Space Grotesk" w:cs="Space Grotesk" w:eastAsia="Space Grotesk" w:hAnsi="Space Grotesk"/>
          <w:b/>
          <w:bCs/>
          <w:color w:val="1A2F45"/>
          <w:sz w:val="25"/>
          <w:szCs w:val="25"/>
        </w:rPr>
        <w:t xml:space="preserve">Decisión previa: el peso de las piezas multitema</w:t>
      </w:r>
    </w:p>
    <w:p>
      <w:pPr>
        <w:spacing w:after="140" w:before="0" w:line="288"/>
      </w:pPr>
      <w:r>
        <w:rPr>
          <w:rFonts w:ascii="Inter" w:cs="Inter" w:eastAsia="Inter" w:hAnsi="Inter"/>
          <w:color w:val="1A2F45"/>
          <w:sz w:val="21"/>
          <w:szCs w:val="21"/>
        </w:rPr>
        <w:t xml:space="preserve">El clasificador es multietiqueta: </w:t>
      </w:r>
      <w:r>
        <w:rPr>
          <w:rFonts w:ascii="JetBrains Mono" w:cs="JetBrains Mono" w:eastAsia="JetBrains Mono" w:hAnsi="JetBrains Mono"/>
          <w:color w:val="0F3460"/>
          <w:sz w:val="19"/>
          <w:szCs w:val="19"/>
        </w:rPr>
        <w:t xml:space="preserve">temas</w:t>
      </w:r>
      <w:r>
        <w:rPr>
          <w:rFonts w:ascii="Inter" w:cs="Inter" w:eastAsia="Inter" w:hAnsi="Inter"/>
          <w:color w:val="1A2F45"/>
          <w:sz w:val="21"/>
          <w:szCs w:val="21"/>
        </w:rPr>
        <w:t xml:space="preserve"> es un array y una pieza puede llevar varios temas. Antes de contar nada hay que decidir cómo pesa una pieza que pertenece a tres temas a la vez, y la decisión no es inocua.</w:t>
      </w:r>
    </w:p>
    <w:p>
      <w:pPr>
        <w:pStyle w:val="ListParagraph"/>
        <w:numPr>
          <w:ilvl w:val="0"/>
          <w:numId w:val="2"/>
        </w:numPr>
        <w:spacing w:after="90" w:line="280"/>
      </w:pPr>
      <w:r>
        <w:rPr>
          <w:rFonts w:ascii="Inter" w:cs="Inter" w:eastAsia="Inter" w:hAnsi="Inter"/>
          <w:b/>
          <w:bCs/>
          <w:color w:val="1A2F45"/>
          <w:sz w:val="21"/>
          <w:szCs w:val="21"/>
        </w:rPr>
        <w:t xml:space="preserve">Recuento pleno</w:t>
      </w:r>
      <w:r>
        <w:rPr>
          <w:rFonts w:ascii="Inter" w:cs="Inter" w:eastAsia="Inter" w:hAnsi="Inter"/>
          <w:color w:val="1A2F45"/>
          <w:sz w:val="21"/>
          <w:szCs w:val="21"/>
        </w:rPr>
        <w:t xml:space="preserve">: cada tema suma 1. Los totales por tema exceden el número de piezas. Es lo adecuado para analizar co-ocurrencia temática (qué temas viajan juntos).</w:t>
      </w:r>
    </w:p>
    <w:p>
      <w:pPr>
        <w:pStyle w:val="ListParagraph"/>
        <w:numPr>
          <w:ilvl w:val="0"/>
          <w:numId w:val="2"/>
        </w:numPr>
        <w:spacing w:after="90" w:line="280"/>
      </w:pPr>
      <w:r>
        <w:rPr>
          <w:rFonts w:ascii="Inter" w:cs="Inter" w:eastAsia="Inter" w:hAnsi="Inter"/>
          <w:b/>
          <w:bCs/>
          <w:color w:val="1A2F45"/>
          <w:sz w:val="21"/>
          <w:szCs w:val="21"/>
        </w:rPr>
        <w:t xml:space="preserve">Peso fraccionado</w:t>
      </w:r>
      <w:r>
        <w:rPr>
          <w:rFonts w:ascii="Inter" w:cs="Inter" w:eastAsia="Inter" w:hAnsi="Inter"/>
          <w:color w:val="1A2F45"/>
          <w:sz w:val="21"/>
          <w:szCs w:val="21"/>
        </w:rPr>
        <w:t xml:space="preserve">: cada tema suma 1/k, donde k es el número de temas de la pieza. Las cuotas suman 1 y son comparables entre cabeceras. Es lo adecuado para medir saliencia.</w:t>
      </w:r>
    </w:p>
    <w:p>
      <w:pPr>
        <w:spacing w:after="140" w:before="0" w:line="288"/>
      </w:pPr>
      <w:r>
        <w:rPr>
          <w:rFonts w:ascii="Inter" w:cs="Inter" w:eastAsia="Inter" w:hAnsi="Inter"/>
          <w:color w:val="1A2F45"/>
          <w:sz w:val="21"/>
          <w:szCs w:val="21"/>
        </w:rPr>
        <w:t xml:space="preserve">La recomendación es peso fraccionado para toda cuota de saliencia, y declararlo. La razón no es estética: las cabeceras difieren en su propensión al multietiquetado —depende de la longitud de titulares y entradillas—, de modo que el recuento pleno premia sistemáticamente a las que escriben titulares largos.</w:t>
      </w:r>
    </w:p>
    <w:p>
      <w:pPr>
        <w:spacing w:after="140" w:before="0" w:line="288"/>
      </w:pPr>
      <w:r>
        <w:rPr>
          <w:rFonts w:ascii="Inter" w:cs="Inter" w:eastAsia="Inter" w:hAnsi="Inter"/>
          <w:color w:val="1A2F45"/>
          <w:sz w:val="21"/>
          <w:szCs w:val="21"/>
        </w:rPr>
        <w:t xml:space="preserve">Hay además un sesgo interno al clasificador que conviene reportar. El parámetro </w:t>
      </w:r>
      <w:r>
        <w:rPr>
          <w:rFonts w:ascii="JetBrains Mono" w:cs="JetBrains Mono" w:eastAsia="JetBrains Mono" w:hAnsi="JetBrains Mono"/>
          <w:color w:val="0F3460"/>
          <w:sz w:val="19"/>
          <w:szCs w:val="19"/>
        </w:rPr>
        <w:t xml:space="preserve">peso_titulo</w:t>
      </w:r>
      <w:r>
        <w:rPr>
          <w:rFonts w:ascii="Inter" w:cs="Inter" w:eastAsia="Inter" w:hAnsi="Inter"/>
          <w:color w:val="1A2F45"/>
          <w:sz w:val="21"/>
          <w:szCs w:val="21"/>
        </w:rPr>
        <w:t xml:space="preserve"> vale 4 en violencia de género y salud mental, y 2 en política y medio ambiente. Con peso 4, una sola palabra clave en el titular basta para superar el umbral de 2,6. Eso hace que esos dos temas se activen con más facilidad que el resto: la decisión es deliberada —se prioriza no perder cobertura— pero introduce una asimetría en las cuotas que no debe leerse como asimetría en la agenda de los medios. Cualquier serie que compare temas entre sí debe advertirlo.</w:t>
      </w:r>
    </w:p>
    <w:p>
      <w:pPr>
        <w:pStyle w:val="Heading2"/>
        <w:spacing w:after="130" w:before="320"/>
      </w:pPr>
      <w:r>
        <w:rPr>
          <w:rFonts w:ascii="Space Grotesk" w:cs="Space Grotesk" w:eastAsia="Space Grotesk" w:hAnsi="Space Grotesk"/>
          <w:b/>
          <w:bCs/>
          <w:color w:val="00C8B4"/>
          <w:sz w:val="25"/>
          <w:szCs w:val="25"/>
        </w:rPr>
        <w:t xml:space="preserve">4.2   </w:t>
      </w:r>
      <w:r>
        <w:rPr>
          <w:rFonts w:ascii="Space Grotesk" w:cs="Space Grotesk" w:eastAsia="Space Grotesk" w:hAnsi="Space Grotesk"/>
          <w:b/>
          <w:bCs/>
          <w:color w:val="1A2F45"/>
          <w:sz w:val="25"/>
          <w:szCs w:val="25"/>
        </w:rPr>
        <w:t xml:space="preserve">Indicadores</w:t>
      </w:r>
    </w:p>
    <w:p>
      <w:pPr>
        <w:spacing w:after="60" w:before="330"/>
      </w:pPr>
      <w:r>
        <w:rPr>
          <w:rFonts w:ascii="Space Grotesk" w:cs="Space Grotesk" w:eastAsia="Space Grotesk" w:hAnsi="Space Grotesk"/>
          <w:b/>
          <w:bCs/>
          <w:caps/>
          <w:color w:val="00C8B4"/>
          <w:spacing w:val="20"/>
          <w:sz w:val="17"/>
          <w:szCs w:val="17"/>
        </w:rPr>
        <w:t xml:space="preserve">Tabla 3.  </w:t>
      </w:r>
      <w:r>
        <w:rPr>
          <w:rFonts w:ascii="Space Grotesk" w:cs="Space Grotesk" w:eastAsia="Space Grotesk" w:hAnsi="Space Grotesk"/>
          <w:b/>
          <w:bCs/>
          <w:color w:val="1A2F45"/>
          <w:sz w:val="19"/>
          <w:szCs w:val="19"/>
        </w:rPr>
        <w:t xml:space="preserve">Batería de indicadores del primer nivel</w:t>
      </w:r>
    </w:p>
    <w:tbl>
      <w:tblPr>
        <w:tblW w:type="dxa" w:w="9020"/>
        <w:tblBorders>
          <w:top w:val="single" w:color="E4EDF5" w:sz="2"/>
          <w:left w:val="none" w:color="FFFFFF" w:sz="0"/>
          <w:bottom w:val="single" w:color="E4EDF5" w:sz="2"/>
          <w:right w:val="none" w:color="FFFFFF" w:sz="0"/>
          <w:insideH w:val="single" w:color="E4EDF5" w:sz="2"/>
          <w:insideV w:val="none" w:color="FFFFFF" w:sz="0"/>
        </w:tblBorders>
      </w:tblPr>
      <w:tblGrid>
        <w:gridCol w:w="1900"/>
        <w:gridCol w:w="3520"/>
        <w:gridCol w:w="3600"/>
      </w:tblGrid>
      <w:tr>
        <w:trPr>
          <w:tblHeader/>
        </w:trPr>
        <w:tc>
          <w:tcPr>
            <w:tcW w:type="dxa" w:w="190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Indicador</w:t>
            </w:r>
          </w:p>
        </w:tc>
        <w:tc>
          <w:tcPr>
            <w:tcW w:type="dxa" w:w="352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Definición</w:t>
            </w:r>
          </w:p>
        </w:tc>
        <w:tc>
          <w:tcPr>
            <w:tcW w:type="dxa" w:w="360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Lectura</w:t>
            </w:r>
          </w:p>
        </w:tc>
      </w:tr>
      <w:tr>
        <w:tc>
          <w:tcPr>
            <w:tcW w:type="dxa" w:w="1900"/>
            <w:shd w:fill="FFFFFF" w:color="auto" w:val="clear"/>
            <w:tcMar>
              <w:top w:type="dxa" w:w="110"/>
              <w:left w:type="dxa" w:w="130"/>
              <w:bottom w:type="dxa" w:w="110"/>
              <w:right w:type="dxa" w:w="130"/>
            </w:tcMar>
          </w:tcPr>
          <w:p>
            <w:pPr>
              <w:spacing w:after="0" w:before="0" w:line="250"/>
            </w:pPr>
            <w:r>
              <w:rPr>
                <w:rFonts w:ascii="Inter" w:cs="Inter" w:eastAsia="Inter" w:hAnsi="Inter"/>
                <w:b/>
                <w:bCs/>
                <w:color w:val="1A2F45"/>
                <w:sz w:val="18"/>
                <w:szCs w:val="18"/>
              </w:rPr>
              <w:t xml:space="preserve">Cuota temática</w:t>
            </w:r>
          </w:p>
          <w:p>
            <w:pPr>
              <w:spacing w:after="0" w:before="60" w:line="250"/>
            </w:pPr>
            <w:r>
              <w:rPr>
                <w:rFonts w:ascii="Inter" w:cs="Inter" w:eastAsia="Inter" w:hAnsi="Inter"/>
                <w:b/>
                <w:bCs/>
                <w:color w:val="1A2F45"/>
                <w:sz w:val="18"/>
                <w:szCs w:val="18"/>
              </w:rPr>
              <w:t xml:space="preserve">S(m,t,p)</w:t>
            </w:r>
          </w:p>
        </w:tc>
        <w:tc>
          <w:tcPr>
            <w:tcW w:type="dxa" w:w="352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Proporción de la agenda de la cabecera m en el periodo p dedicada al tema t, con peso fraccionado</w:t>
            </w:r>
          </w:p>
        </w:tc>
        <w:tc>
          <w:tcPr>
            <w:tcW w:type="dxa" w:w="36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La unidad básica. Comparable entre cabeceras.</w:t>
            </w:r>
          </w:p>
        </w:tc>
      </w:tr>
      <w:tr>
        <w:tc>
          <w:tcPr>
            <w:tcW w:type="dxa" w:w="1900"/>
            <w:shd w:fill="F5F8FA" w:color="auto" w:val="clear"/>
            <w:tcMar>
              <w:top w:type="dxa" w:w="110"/>
              <w:left w:type="dxa" w:w="130"/>
              <w:bottom w:type="dxa" w:w="110"/>
              <w:right w:type="dxa" w:w="130"/>
            </w:tcMar>
          </w:tcPr>
          <w:p>
            <w:pPr>
              <w:spacing w:after="0" w:before="0" w:line="250"/>
            </w:pPr>
            <w:r>
              <w:rPr>
                <w:rFonts w:ascii="Inter" w:cs="Inter" w:eastAsia="Inter" w:hAnsi="Inter"/>
                <w:b/>
                <w:bCs/>
                <w:color w:val="1A2F45"/>
                <w:sz w:val="18"/>
                <w:szCs w:val="18"/>
              </w:rPr>
              <w:t xml:space="preserve">Agenda del sistema</w:t>
            </w:r>
          </w:p>
          <w:p>
            <w:pPr>
              <w:spacing w:after="0" w:before="60" w:line="250"/>
            </w:pPr>
            <w:r>
              <w:rPr>
                <w:rFonts w:ascii="Inter" w:cs="Inter" w:eastAsia="Inter" w:hAnsi="Inter"/>
                <w:b/>
                <w:bCs/>
                <w:color w:val="1A2F45"/>
                <w:sz w:val="18"/>
                <w:szCs w:val="18"/>
              </w:rPr>
              <w:t xml:space="preserve">S(·,t,p)</w:t>
            </w:r>
          </w:p>
        </w:tc>
        <w:tc>
          <w:tcPr>
            <w:tcW w:type="dxa" w:w="352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Media no ponderada de las cuotas de las cabeceras activas</w:t>
            </w:r>
          </w:p>
        </w:tc>
        <w:tc>
          <w:tcPr>
            <w:tcW w:type="dxa" w:w="360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No ponderar evita que las cuotas de raspado desiguales dominen el agregado.</w:t>
            </w:r>
          </w:p>
        </w:tc>
      </w:tr>
      <w:tr>
        <w:tc>
          <w:tcPr>
            <w:tcW w:type="dxa" w:w="1900"/>
            <w:shd w:fill="FFFFFF" w:color="auto" w:val="clear"/>
            <w:tcMar>
              <w:top w:type="dxa" w:w="110"/>
              <w:left w:type="dxa" w:w="130"/>
              <w:bottom w:type="dxa" w:w="110"/>
              <w:right w:type="dxa" w:w="130"/>
            </w:tcMar>
          </w:tcPr>
          <w:p>
            <w:pPr>
              <w:spacing w:after="0" w:before="0" w:line="250"/>
            </w:pPr>
            <w:r>
              <w:rPr>
                <w:rFonts w:ascii="Inter" w:cs="Inter" w:eastAsia="Inter" w:hAnsi="Inter"/>
                <w:b/>
                <w:bCs/>
                <w:color w:val="1A2F45"/>
                <w:sz w:val="18"/>
                <w:szCs w:val="18"/>
              </w:rPr>
              <w:t xml:space="preserve">Diversidad</w:t>
            </w:r>
          </w:p>
          <w:p>
            <w:pPr>
              <w:spacing w:after="0" w:before="60" w:line="250"/>
            </w:pPr>
            <w:r>
              <w:rPr>
                <w:rFonts w:ascii="Inter" w:cs="Inter" w:eastAsia="Inter" w:hAnsi="Inter"/>
                <w:b/>
                <w:bCs/>
                <w:color w:val="1A2F45"/>
                <w:sz w:val="18"/>
                <w:szCs w:val="18"/>
              </w:rPr>
              <w:t xml:space="preserve">H normalizada</w:t>
            </w:r>
          </w:p>
        </w:tc>
        <w:tc>
          <w:tcPr>
            <w:tcW w:type="dxa" w:w="352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Entropía de Shannon de la distribución temática, dividida por ln(15)</w:t>
            </w:r>
          </w:p>
        </w:tc>
        <w:tc>
          <w:tcPr>
            <w:tcW w:type="dxa" w:w="36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1 = atención repartida entre todos los temas; 0 = cabecera monotemática.</w:t>
            </w:r>
          </w:p>
        </w:tc>
      </w:tr>
      <w:tr>
        <w:tc>
          <w:tcPr>
            <w:tcW w:type="dxa" w:w="1900"/>
            <w:shd w:fill="F5F8FA" w:color="auto" w:val="clear"/>
            <w:tcMar>
              <w:top w:type="dxa" w:w="110"/>
              <w:left w:type="dxa" w:w="130"/>
              <w:bottom w:type="dxa" w:w="110"/>
              <w:right w:type="dxa" w:w="130"/>
            </w:tcMar>
          </w:tcPr>
          <w:p>
            <w:pPr>
              <w:spacing w:after="0" w:before="0" w:line="250"/>
            </w:pPr>
            <w:r>
              <w:rPr>
                <w:rFonts w:ascii="Inter" w:cs="Inter" w:eastAsia="Inter" w:hAnsi="Inter"/>
                <w:b/>
                <w:bCs/>
                <w:color w:val="1A2F45"/>
                <w:sz w:val="18"/>
                <w:szCs w:val="18"/>
              </w:rPr>
              <w:t xml:space="preserve">Convergencia</w:t>
            </w:r>
          </w:p>
          <w:p>
            <w:pPr>
              <w:spacing w:after="0" w:before="60" w:line="250"/>
            </w:pPr>
            <w:r>
              <w:rPr>
                <w:rFonts w:ascii="Inter" w:cs="Inter" w:eastAsia="Inter" w:hAnsi="Inter"/>
                <w:b/>
                <w:bCs/>
                <w:color w:val="1A2F45"/>
                <w:sz w:val="18"/>
                <w:szCs w:val="18"/>
              </w:rPr>
              <w:t xml:space="preserve">ρ de Spearman</w:t>
            </w:r>
          </w:p>
        </w:tc>
        <w:tc>
          <w:tcPr>
            <w:tcW w:type="dxa" w:w="352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Correlación de rangos entre las cuotas temáticas de dos cabeceras</w:t>
            </w:r>
          </w:p>
        </w:tc>
        <w:tc>
          <w:tcPr>
            <w:tcW w:type="dxa" w:w="360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Matriz 12×12. Su agrupamiento jerárquico revela familias de agenda.</w:t>
            </w:r>
          </w:p>
        </w:tc>
      </w:tr>
      <w:tr>
        <w:tc>
          <w:tcPr>
            <w:tcW w:type="dxa" w:w="1900"/>
            <w:shd w:fill="FFFFFF" w:color="auto" w:val="clear"/>
            <w:tcMar>
              <w:top w:type="dxa" w:w="110"/>
              <w:left w:type="dxa" w:w="130"/>
              <w:bottom w:type="dxa" w:w="110"/>
              <w:right w:type="dxa" w:w="130"/>
            </w:tcMar>
          </w:tcPr>
          <w:p>
            <w:pPr>
              <w:spacing w:after="0" w:before="0" w:line="250"/>
            </w:pPr>
            <w:r>
              <w:rPr>
                <w:rFonts w:ascii="Inter" w:cs="Inter" w:eastAsia="Inter" w:hAnsi="Inter"/>
                <w:b/>
                <w:bCs/>
                <w:color w:val="1A2F45"/>
                <w:sz w:val="18"/>
                <w:szCs w:val="18"/>
              </w:rPr>
              <w:t xml:space="preserve">Distancia al sistema</w:t>
            </w:r>
          </w:p>
          <w:p>
            <w:pPr>
              <w:spacing w:after="0" w:before="60" w:line="250"/>
            </w:pPr>
            <w:r>
              <w:rPr>
                <w:rFonts w:ascii="Inter" w:cs="Inter" w:eastAsia="Inter" w:hAnsi="Inter"/>
                <w:b/>
                <w:bCs/>
                <w:color w:val="1A2F45"/>
                <w:sz w:val="18"/>
                <w:szCs w:val="18"/>
              </w:rPr>
              <w:t xml:space="preserve">Jensen–Shannon</w:t>
            </w:r>
          </w:p>
        </w:tc>
        <w:tc>
          <w:tcPr>
            <w:tcW w:type="dxa" w:w="352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Divergencia entre la distribución de la cabecera y la del sistema</w:t>
            </w:r>
          </w:p>
        </w:tc>
        <w:tc>
          <w:tcPr>
            <w:tcW w:type="dxa" w:w="36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Identifica cabeceras con agenda propia frente a las que replican el consenso.</w:t>
            </w:r>
          </w:p>
        </w:tc>
      </w:tr>
    </w:tbl>
    <w:p>
      <w:pPr>
        <w:spacing w:after="200" w:before="90"/>
      </w:pPr>
      <w:r>
        <w:rPr>
          <w:rFonts w:ascii="Inter" w:cs="Inter" w:eastAsia="Inter" w:hAnsi="Inter"/>
          <w:i/>
          <w:iCs/>
          <w:color w:val="6B8CA5"/>
          <w:sz w:val="16"/>
          <w:szCs w:val="16"/>
        </w:rPr>
        <w:t xml:space="preserve">Con k = 15 temas, una ρ de Spearman requiere |ρ| &gt; 0,51 para ser significativa al 5 %. Con 12 cabeceras, la matriz tiene 66 pares: conviene corregir por comparaciones múltiples antes de interpretar celdas sueltas.</w:t>
      </w:r>
    </w:p>
    <w:p>
      <w:pPr>
        <w:pStyle w:val="Heading2"/>
        <w:spacing w:after="130" w:before="320"/>
      </w:pPr>
      <w:r>
        <w:rPr>
          <w:rFonts w:ascii="Space Grotesk" w:cs="Space Grotesk" w:eastAsia="Space Grotesk" w:hAnsi="Space Grotesk"/>
          <w:b/>
          <w:bCs/>
          <w:color w:val="00C8B4"/>
          <w:sz w:val="25"/>
          <w:szCs w:val="25"/>
        </w:rPr>
        <w:t xml:space="preserve">4.3   </w:t>
      </w:r>
      <w:r>
        <w:rPr>
          <w:rFonts w:ascii="Space Grotesk" w:cs="Space Grotesk" w:eastAsia="Space Grotesk" w:hAnsi="Space Grotesk"/>
          <w:b/>
          <w:bCs/>
          <w:color w:val="1A2F45"/>
          <w:sz w:val="25"/>
          <w:szCs w:val="25"/>
        </w:rPr>
        <w:t xml:space="preserve">Protocolo de cálculo</w:t>
      </w:r>
    </w:p>
    <w:p>
      <w:pPr>
        <w:spacing w:after="140" w:before="0" w:line="288"/>
      </w:pPr>
      <w:r>
        <w:rPr>
          <w:rFonts w:ascii="Inter" w:cs="Inter" w:eastAsia="Inter" w:hAnsi="Inter"/>
          <w:color w:val="1A2F45"/>
          <w:sz w:val="21"/>
          <w:szCs w:val="21"/>
        </w:rPr>
        <w:t xml:space="preserve">Primer paso obligatorio, antes de cualquier análisis: auditar el corpus. Esta consulta devuelve, por cabecera, el volumen, la fiabilidad de la marca temporal y la cobertura de texto completo.</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c>
          <w:tcPr>
            <w:tcW w:type="dxa" w:w="9020"/>
            <w:shd w:fill="0D1B2A" w:color="auto" w:val="clear"/>
            <w:tcMar>
              <w:top w:type="dxa" w:w="180"/>
              <w:left w:type="dxa" w:w="220"/>
              <w:bottom w:type="dxa" w:w="180"/>
              <w:right w:type="dxa" w:w="200"/>
            </w:tcMar>
          </w:tcPr>
          <w:p>
            <w:pPr>
              <w:spacing w:after="0" w:line="250"/>
            </w:pPr>
            <w:r>
              <w:rPr>
                <w:rFonts w:ascii="JetBrains Mono" w:cs="JetBrains Mono" w:eastAsia="JetBrains Mono" w:hAnsi="JetBrains Mono"/>
                <w:color w:val="6B8CA5"/>
                <w:sz w:val="16"/>
                <w:szCs w:val="16"/>
              </w:rPr>
              <w:t xml:space="preserve">-- Auditoría del corpus. Ejecutar contra medios.noticias por conexión directa.</w:t>
            </w:r>
          </w:p>
          <w:p>
            <w:pPr>
              <w:spacing w:after="0" w:line="250"/>
            </w:pPr>
            <w:r>
              <w:rPr>
                <w:rFonts w:ascii="JetBrains Mono" w:cs="JetBrains Mono" w:eastAsia="JetBrains Mono" w:hAnsi="JetBrains Mono"/>
                <w:color w:val="E0FAF7"/>
                <w:sz w:val="16"/>
                <w:szCs w:val="16"/>
              </w:rPr>
              <w:t xml:space="preserve">select</w:t>
            </w:r>
          </w:p>
          <w:p>
            <w:pPr>
              <w:spacing w:after="0" w:line="250"/>
            </w:pPr>
            <w:r>
              <w:rPr>
                <w:rFonts w:ascii="JetBrains Mono" w:cs="JetBrains Mono" w:eastAsia="JetBrains Mono" w:hAnsi="JetBrains Mono"/>
                <w:color w:val="E0FAF7"/>
                <w:sz w:val="16"/>
                <w:szCs w:val="16"/>
              </w:rPr>
              <w:t xml:space="preserve">  medio,</w:t>
            </w:r>
          </w:p>
          <w:p>
            <w:pPr>
              <w:spacing w:after="0" w:line="250"/>
            </w:pPr>
            <w:r>
              <w:rPr>
                <w:rFonts w:ascii="JetBrains Mono" w:cs="JetBrains Mono" w:eastAsia="JetBrains Mono" w:hAnsi="JetBrains Mono"/>
                <w:color w:val="E0FAF7"/>
                <w:sz w:val="16"/>
                <w:szCs w:val="16"/>
              </w:rPr>
              <w:t xml:space="preserve">  count(*)                                             as piezas,</w:t>
            </w:r>
          </w:p>
          <w:p>
            <w:pPr>
              <w:spacing w:after="0" w:line="250"/>
            </w:pPr>
            <w:r>
              <w:rPr>
                <w:rFonts w:ascii="JetBrains Mono" w:cs="JetBrains Mono" w:eastAsia="JetBrains Mono" w:hAnsi="JetBrains Mono"/>
                <w:color w:val="E0FAF7"/>
                <w:sz w:val="16"/>
                <w:szCs w:val="16"/>
              </w:rPr>
              <w:t xml:space="preserve">  min(fecha_scrap)::date                               as desde,</w:t>
            </w:r>
          </w:p>
          <w:p>
            <w:pPr>
              <w:spacing w:after="0" w:line="250"/>
            </w:pPr>
            <w:r>
              <w:rPr>
                <w:rFonts w:ascii="JetBrains Mono" w:cs="JetBrains Mono" w:eastAsia="JetBrains Mono" w:hAnsi="JetBrains Mono"/>
                <w:color w:val="E0FAF7"/>
                <w:sz w:val="16"/>
                <w:szCs w:val="16"/>
              </w:rPr>
              <w:t xml:space="preserve">  max(fecha_scrap)::date                               as hasta,</w:t>
            </w:r>
          </w:p>
          <w:p>
            <w:pPr>
              <w:spacing w:after="0" w:line="250"/>
            </w:pPr>
            <w:r>
              <w:rPr>
                <w:rFonts w:ascii="JetBrains Mono" w:cs="JetBrains Mono" w:eastAsia="JetBrains Mono" w:hAnsi="JetBrains Mono"/>
                <w:color w:val="E0FAF7"/>
                <w:sz w:val="16"/>
                <w:szCs w:val="16"/>
              </w:rPr>
              <w:t xml:space="preserve">  count(*) filter (where fuente = 'rss')                as fecha_de_feed,</w:t>
            </w:r>
          </w:p>
          <w:p>
            <w:pPr>
              <w:spacing w:after="0" w:line="250"/>
            </w:pPr>
            <w:r>
              <w:rPr>
                <w:rFonts w:ascii="JetBrains Mono" w:cs="JetBrains Mono" w:eastAsia="JetBrains Mono" w:hAnsi="JetBrains Mono"/>
                <w:color w:val="E0FAF7"/>
                <w:sz w:val="16"/>
                <w:szCs w:val="16"/>
              </w:rPr>
              <w:t xml:space="preserve">  round(100.0 * count(*) filter (where fuente = 'rss')</w:t>
            </w:r>
          </w:p>
          <w:p>
            <w:pPr>
              <w:spacing w:after="0" w:line="250"/>
            </w:pPr>
            <w:r>
              <w:rPr>
                <w:rFonts w:ascii="JetBrains Mono" w:cs="JetBrains Mono" w:eastAsia="JetBrains Mono" w:hAnsi="JetBrains Mono"/>
                <w:color w:val="E0FAF7"/>
                <w:sz w:val="16"/>
                <w:szCs w:val="16"/>
              </w:rPr>
              <w:t xml:space="preserve">        / nullif(count(*), 0), 1)                      as pct_fecha_fiable,</w:t>
            </w:r>
          </w:p>
          <w:p>
            <w:pPr>
              <w:spacing w:after="0" w:line="250"/>
            </w:pPr>
            <w:r>
              <w:rPr>
                <w:rFonts w:ascii="JetBrains Mono" w:cs="JetBrains Mono" w:eastAsia="JetBrains Mono" w:hAnsi="JetBrains Mono"/>
                <w:color w:val="E0FAF7"/>
                <w:sz w:val="16"/>
                <w:szCs w:val="16"/>
              </w:rPr>
              <w:t xml:space="preserve">  count(texto_full)                                    as con_texto,</w:t>
            </w:r>
          </w:p>
          <w:p>
            <w:pPr>
              <w:spacing w:after="0" w:line="250"/>
            </w:pPr>
            <w:r>
              <w:rPr>
                <w:rFonts w:ascii="JetBrains Mono" w:cs="JetBrains Mono" w:eastAsia="JetBrains Mono" w:hAnsi="JetBrains Mono"/>
                <w:color w:val="E0FAF7"/>
                <w:sz w:val="16"/>
                <w:szCs w:val="16"/>
              </w:rPr>
              <w:t xml:space="preserve">  round(100.0 * count(texto_full)</w:t>
            </w:r>
          </w:p>
          <w:p>
            <w:pPr>
              <w:spacing w:after="0" w:line="250"/>
            </w:pPr>
            <w:r>
              <w:rPr>
                <w:rFonts w:ascii="JetBrains Mono" w:cs="JetBrains Mono" w:eastAsia="JetBrains Mono" w:hAnsi="JetBrains Mono"/>
                <w:color w:val="E0FAF7"/>
                <w:sz w:val="16"/>
                <w:szCs w:val="16"/>
              </w:rPr>
              <w:t xml:space="preserve">        / nullif(count(*), 0), 1)                      as pct_texto,</w:t>
            </w:r>
          </w:p>
          <w:p>
            <w:pPr>
              <w:spacing w:after="0" w:line="250"/>
            </w:pPr>
            <w:r>
              <w:rPr>
                <w:rFonts w:ascii="JetBrains Mono" w:cs="JetBrains Mono" w:eastAsia="JetBrains Mono" w:hAnsi="JetBrains Mono"/>
                <w:color w:val="E0FAF7"/>
                <w:sz w:val="16"/>
                <w:szCs w:val="16"/>
              </w:rPr>
              <w:t xml:space="preserve">  round(avg(cardinality(temas)), 2)                    as temas_por_pieza</w:t>
            </w:r>
          </w:p>
          <w:p>
            <w:pPr>
              <w:spacing w:after="0" w:line="250"/>
            </w:pPr>
            <w:r>
              <w:rPr>
                <w:rFonts w:ascii="JetBrains Mono" w:cs="JetBrains Mono" w:eastAsia="JetBrains Mono" w:hAnsi="JetBrains Mono"/>
                <w:color w:val="E0FAF7"/>
                <w:sz w:val="16"/>
                <w:szCs w:val="16"/>
              </w:rPr>
              <w:t xml:space="preserve">from medios.noticias</w:t>
            </w:r>
          </w:p>
          <w:p>
            <w:pPr>
              <w:spacing w:after="0" w:line="250"/>
            </w:pPr>
            <w:r>
              <w:rPr>
                <w:rFonts w:ascii="JetBrains Mono" w:cs="JetBrains Mono" w:eastAsia="JetBrains Mono" w:hAnsi="JetBrains Mono"/>
                <w:color w:val="E0FAF7"/>
                <w:sz w:val="16"/>
                <w:szCs w:val="16"/>
              </w:rPr>
              <w:t xml:space="preserve">group by medio</w:t>
            </w:r>
          </w:p>
          <w:p>
            <w:pPr>
              <w:spacing w:after="0" w:line="250"/>
            </w:pPr>
            <w:r>
              <w:rPr>
                <w:rFonts w:ascii="JetBrains Mono" w:cs="JetBrains Mono" w:eastAsia="JetBrains Mono" w:hAnsi="JetBrains Mono"/>
                <w:color w:val="E0FAF7"/>
                <w:sz w:val="16"/>
                <w:szCs w:val="16"/>
              </w:rPr>
              <w:t xml:space="preserve">order by piezas desc;</w:t>
            </w:r>
          </w:p>
        </w:tc>
      </w:tr>
    </w:tbl>
    <w:p>
      <w:pPr>
        <w:spacing w:after="200" w:before="90"/>
      </w:pPr>
      <w:r>
        <w:rPr>
          <w:rFonts w:ascii="Inter" w:cs="Inter" w:eastAsia="Inter" w:hAnsi="Inter"/>
          <w:i/>
          <w:iCs/>
          <w:color w:val="6B8CA5"/>
          <w:sz w:val="16"/>
          <w:szCs w:val="16"/>
        </w:rPr>
        <w:t xml:space="preserve">Ninguna cifra de este cuaderno sustituye a esta consulta: las proporciones reales hay que medirlas, no suponerlas.</w:t>
      </w:r>
    </w:p>
    <w:p>
      <w:pPr>
        <w:spacing w:after="140" w:before="0" w:line="288"/>
      </w:pPr>
      <w:r>
        <w:rPr>
          <w:rFonts w:ascii="Inter" w:cs="Inter" w:eastAsia="Inter" w:hAnsi="Inter"/>
          <w:color w:val="1A2F45"/>
          <w:sz w:val="21"/>
          <w:szCs w:val="21"/>
        </w:rPr>
        <w:t xml:space="preserve">Con esas cifras sobre la mesa, el cálculo de los indicadores en R:</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c>
          <w:tcPr>
            <w:tcW w:type="dxa" w:w="9020"/>
            <w:shd w:fill="0D1B2A" w:color="auto" w:val="clear"/>
            <w:tcMar>
              <w:top w:type="dxa" w:w="180"/>
              <w:left w:type="dxa" w:w="220"/>
              <w:bottom w:type="dxa" w:w="180"/>
              <w:right w:type="dxa" w:w="200"/>
            </w:tcMar>
          </w:tcPr>
          <w:p>
            <w:pPr>
              <w:spacing w:after="0" w:line="250"/>
            </w:pPr>
            <w:r>
              <w:rPr>
                <w:rFonts w:ascii="JetBrains Mono" w:cs="JetBrains Mono" w:eastAsia="JetBrains Mono" w:hAnsi="JetBrains Mono"/>
                <w:color w:val="E0FAF7"/>
                <w:sz w:val="16"/>
                <w:szCs w:val="16"/>
              </w:rPr>
              <w:t xml:space="preserve">library(DBI); library(dplyr); library(tidyr); library(tibble); library(lubridate)</w:t>
            </w:r>
          </w:p>
          <w:p>
            <w:pPr>
              <w:spacing w:after="0" w:line="250"/>
            </w:pPr>
            <w:r>
              <w:rPr>
                <w:rFonts w:ascii="JetBrains Mono" w:cs="JetBrains Mono" w:eastAsia="JetBrains Mono" w:hAnsi="JetBrains Mono"/>
                <w:color w:val="E0FAF7"/>
                <w:sz w:val="16"/>
                <w:szCs w:val="16"/>
              </w:rPr>
              <w:t xml:space="preserve"> </w:t>
            </w:r>
          </w:p>
          <w:p>
            <w:pPr>
              <w:spacing w:after="0" w:line="250"/>
            </w:pPr>
            <w:r>
              <w:rPr>
                <w:rFonts w:ascii="JetBrains Mono" w:cs="JetBrains Mono" w:eastAsia="JetBrains Mono" w:hAnsi="JetBrains Mono"/>
                <w:color w:val="E0FAF7"/>
                <w:sz w:val="16"/>
                <w:szCs w:val="16"/>
              </w:rPr>
              <w:t xml:space="preserve">con &lt;- dbConnect(RPostgres::Postgres(),</w:t>
            </w:r>
          </w:p>
          <w:p>
            <w:pPr>
              <w:spacing w:after="0" w:line="250"/>
            </w:pPr>
            <w:r>
              <w:rPr>
                <w:rFonts w:ascii="JetBrains Mono" w:cs="JetBrains Mono" w:eastAsia="JetBrains Mono" w:hAnsi="JetBrains Mono"/>
                <w:color w:val="E0FAF7"/>
                <w:sz w:val="16"/>
                <w:szCs w:val="16"/>
              </w:rPr>
              <w:t xml:space="preserve">                 host = Sys.getenv("SUPABASE_HOST"), port = 5432,</w:t>
            </w:r>
          </w:p>
          <w:p>
            <w:pPr>
              <w:spacing w:after="0" w:line="250"/>
            </w:pPr>
            <w:r>
              <w:rPr>
                <w:rFonts w:ascii="JetBrains Mono" w:cs="JetBrains Mono" w:eastAsia="JetBrains Mono" w:hAnsi="JetBrains Mono"/>
                <w:color w:val="E0FAF7"/>
                <w:sz w:val="16"/>
                <w:szCs w:val="16"/>
              </w:rPr>
              <w:t xml:space="preserve">                 dbname = "postgres", user = Sys.getenv("SUPABASE_USER"),</w:t>
            </w:r>
          </w:p>
          <w:p>
            <w:pPr>
              <w:spacing w:after="0" w:line="250"/>
            </w:pPr>
            <w:r>
              <w:rPr>
                <w:rFonts w:ascii="JetBrains Mono" w:cs="JetBrains Mono" w:eastAsia="JetBrains Mono" w:hAnsi="JetBrains Mono"/>
                <w:color w:val="E0FAF7"/>
                <w:sz w:val="16"/>
                <w:szCs w:val="16"/>
              </w:rPr>
              <w:t xml:space="preserve">                 password = Sys.getenv("SUPABASE_PASSWORD"), sslmode = "require")</w:t>
            </w:r>
          </w:p>
          <w:p>
            <w:pPr>
              <w:spacing w:after="0" w:line="250"/>
            </w:pPr>
            <w:r>
              <w:rPr>
                <w:rFonts w:ascii="JetBrains Mono" w:cs="JetBrains Mono" w:eastAsia="JetBrains Mono" w:hAnsi="JetBrains Mono"/>
                <w:color w:val="E0FAF7"/>
                <w:sz w:val="16"/>
                <w:szCs w:val="16"/>
              </w:rPr>
              <w:t xml:space="preserve"> </w:t>
            </w:r>
          </w:p>
          <w:p>
            <w:pPr>
              <w:spacing w:after="0" w:line="250"/>
            </w:pPr>
            <w:r>
              <w:rPr>
                <w:rFonts w:ascii="JetBrains Mono" w:cs="JetBrains Mono" w:eastAsia="JetBrains Mono" w:hAnsi="JetBrains Mono"/>
                <w:color w:val="E0FAF7"/>
                <w:sz w:val="16"/>
                <w:szCs w:val="16"/>
              </w:rPr>
              <w:t xml:space="preserve">piezas &lt;- dbGetQuery(con, "select id, medio, titulo, temas, fuente,</w:t>
            </w:r>
          </w:p>
          <w:p>
            <w:pPr>
              <w:spacing w:after="0" w:line="250"/>
            </w:pPr>
            <w:r>
              <w:rPr>
                <w:rFonts w:ascii="JetBrains Mono" w:cs="JetBrains Mono" w:eastAsia="JetBrains Mono" w:hAnsi="JetBrains Mono"/>
                <w:color w:val="E0FAF7"/>
                <w:sz w:val="16"/>
                <w:szCs w:val="16"/>
              </w:rPr>
              <w:t xml:space="preserve">                            fecha_pub, fecha_scrap from medios.noticias")</w:t>
            </w:r>
          </w:p>
          <w:p>
            <w:pPr>
              <w:spacing w:after="0" w:line="250"/>
            </w:pPr>
            <w:r>
              <w:rPr>
                <w:rFonts w:ascii="JetBrains Mono" w:cs="JetBrains Mono" w:eastAsia="JetBrains Mono" w:hAnsi="JetBrains Mono"/>
                <w:color w:val="E0FAF7"/>
                <w:sz w:val="16"/>
                <w:szCs w:val="16"/>
              </w:rPr>
              <w:t xml:space="preserve"> </w:t>
            </w:r>
          </w:p>
          <w:p>
            <w:pPr>
              <w:spacing w:after="0" w:line="250"/>
            </w:pPr>
            <w:r>
              <w:rPr>
                <w:rFonts w:ascii="JetBrains Mono" w:cs="JetBrains Mono" w:eastAsia="JetBrains Mono" w:hAnsi="JetBrains Mono"/>
                <w:color w:val="6B8CA5"/>
                <w:sz w:val="16"/>
                <w:szCs w:val="16"/>
              </w:rPr>
              <w:t xml:space="preserve"># 1. Formato largo con peso fraccionado (1/k por pieza)</w:t>
            </w:r>
          </w:p>
          <w:p>
            <w:pPr>
              <w:spacing w:after="0" w:line="250"/>
            </w:pPr>
            <w:r>
              <w:rPr>
                <w:rFonts w:ascii="JetBrains Mono" w:cs="JetBrains Mono" w:eastAsia="JetBrains Mono" w:hAnsi="JetBrains Mono"/>
                <w:color w:val="E0FAF7"/>
                <w:sz w:val="16"/>
                <w:szCs w:val="16"/>
              </w:rPr>
              <w:t xml:space="preserve">largo &lt;- piezas |&gt;</w:t>
            </w:r>
          </w:p>
          <w:p>
            <w:pPr>
              <w:spacing w:after="0" w:line="250"/>
            </w:pPr>
            <w:r>
              <w:rPr>
                <w:rFonts w:ascii="JetBrains Mono" w:cs="JetBrains Mono" w:eastAsia="JetBrains Mono" w:hAnsi="JetBrains Mono"/>
                <w:color w:val="E0FAF7"/>
                <w:sz w:val="16"/>
                <w:szCs w:val="16"/>
              </w:rPr>
              <w:t xml:space="preserve">  mutate(k = lengths(temas)) |&gt;</w:t>
            </w:r>
          </w:p>
          <w:p>
            <w:pPr>
              <w:spacing w:after="0" w:line="250"/>
            </w:pPr>
            <w:r>
              <w:rPr>
                <w:rFonts w:ascii="JetBrains Mono" w:cs="JetBrains Mono" w:eastAsia="JetBrains Mono" w:hAnsi="JetBrains Mono"/>
                <w:color w:val="E0FAF7"/>
                <w:sz w:val="16"/>
                <w:szCs w:val="16"/>
              </w:rPr>
              <w:t xml:space="preserve">  filter(k &gt; 0) |&gt;</w:t>
            </w:r>
          </w:p>
          <w:p>
            <w:pPr>
              <w:spacing w:after="0" w:line="250"/>
            </w:pPr>
            <w:r>
              <w:rPr>
                <w:rFonts w:ascii="JetBrains Mono" w:cs="JetBrains Mono" w:eastAsia="JetBrains Mono" w:hAnsi="JetBrains Mono"/>
                <w:color w:val="E0FAF7"/>
                <w:sz w:val="16"/>
                <w:szCs w:val="16"/>
              </w:rPr>
              <w:t xml:space="preserve">  unnest_longer(temas) |&gt;</w:t>
            </w:r>
          </w:p>
          <w:p>
            <w:pPr>
              <w:spacing w:after="0" w:line="250"/>
            </w:pPr>
            <w:r>
              <w:rPr>
                <w:rFonts w:ascii="JetBrains Mono" w:cs="JetBrains Mono" w:eastAsia="JetBrains Mono" w:hAnsi="JetBrains Mono"/>
                <w:color w:val="E0FAF7"/>
                <w:sz w:val="16"/>
                <w:szCs w:val="16"/>
              </w:rPr>
              <w:t xml:space="preserve">  mutate(peso = 1 / k,</w:t>
            </w:r>
          </w:p>
          <w:p>
            <w:pPr>
              <w:spacing w:after="0" w:line="250"/>
            </w:pPr>
            <w:r>
              <w:rPr>
                <w:rFonts w:ascii="JetBrains Mono" w:cs="JetBrains Mono" w:eastAsia="JetBrains Mono" w:hAnsi="JetBrains Mono"/>
                <w:color w:val="E0FAF7"/>
                <w:sz w:val="16"/>
                <w:szCs w:val="16"/>
              </w:rPr>
              <w:t xml:space="preserve">         mes  = floor_date(as.Date(fecha_scrap), "month"))</w:t>
            </w:r>
          </w:p>
          <w:p>
            <w:pPr>
              <w:spacing w:after="0" w:line="250"/>
            </w:pPr>
            <w:r>
              <w:rPr>
                <w:rFonts w:ascii="JetBrains Mono" w:cs="JetBrains Mono" w:eastAsia="JetBrains Mono" w:hAnsi="JetBrains Mono"/>
                <w:color w:val="E0FAF7"/>
                <w:sz w:val="16"/>
                <w:szCs w:val="16"/>
              </w:rPr>
              <w:t xml:space="preserve"> </w:t>
            </w:r>
          </w:p>
          <w:p>
            <w:pPr>
              <w:spacing w:after="0" w:line="250"/>
            </w:pPr>
            <w:r>
              <w:rPr>
                <w:rFonts w:ascii="JetBrains Mono" w:cs="JetBrains Mono" w:eastAsia="JetBrains Mono" w:hAnsi="JetBrains Mono"/>
                <w:color w:val="6B8CA5"/>
                <w:sz w:val="16"/>
                <w:szCs w:val="16"/>
              </w:rPr>
              <w:t xml:space="preserve"># 2. Cuota temática por cabecera y mes</w:t>
            </w:r>
          </w:p>
          <w:p>
            <w:pPr>
              <w:spacing w:after="0" w:line="250"/>
            </w:pPr>
            <w:r>
              <w:rPr>
                <w:rFonts w:ascii="JetBrains Mono" w:cs="JetBrains Mono" w:eastAsia="JetBrains Mono" w:hAnsi="JetBrains Mono"/>
                <w:color w:val="E0FAF7"/>
                <w:sz w:val="16"/>
                <w:szCs w:val="16"/>
              </w:rPr>
              <w:t xml:space="preserve">cuotas &lt;- largo |&gt;</w:t>
            </w:r>
          </w:p>
          <w:p>
            <w:pPr>
              <w:spacing w:after="0" w:line="250"/>
            </w:pPr>
            <w:r>
              <w:rPr>
                <w:rFonts w:ascii="JetBrains Mono" w:cs="JetBrains Mono" w:eastAsia="JetBrains Mono" w:hAnsi="JetBrains Mono"/>
                <w:color w:val="E0FAF7"/>
                <w:sz w:val="16"/>
                <w:szCs w:val="16"/>
              </w:rPr>
              <w:t xml:space="preserve">  group_by(medio, mes, temas) |&gt;</w:t>
            </w:r>
          </w:p>
          <w:p>
            <w:pPr>
              <w:spacing w:after="0" w:line="250"/>
            </w:pPr>
            <w:r>
              <w:rPr>
                <w:rFonts w:ascii="JetBrains Mono" w:cs="JetBrains Mono" w:eastAsia="JetBrains Mono" w:hAnsi="JetBrains Mono"/>
                <w:color w:val="E0FAF7"/>
                <w:sz w:val="16"/>
                <w:szCs w:val="16"/>
              </w:rPr>
              <w:t xml:space="preserve">  summarise(peso = sum(peso), .groups = "drop_last") |&gt;</w:t>
            </w:r>
          </w:p>
          <w:p>
            <w:pPr>
              <w:spacing w:after="0" w:line="250"/>
            </w:pPr>
            <w:r>
              <w:rPr>
                <w:rFonts w:ascii="JetBrains Mono" w:cs="JetBrains Mono" w:eastAsia="JetBrains Mono" w:hAnsi="JetBrains Mono"/>
                <w:color w:val="E0FAF7"/>
                <w:sz w:val="16"/>
                <w:szCs w:val="16"/>
              </w:rPr>
              <w:t xml:space="preserve">  mutate(cuota = peso / sum(peso)) |&gt;</w:t>
            </w:r>
          </w:p>
          <w:p>
            <w:pPr>
              <w:spacing w:after="0" w:line="250"/>
            </w:pPr>
            <w:r>
              <w:rPr>
                <w:rFonts w:ascii="JetBrains Mono" w:cs="JetBrains Mono" w:eastAsia="JetBrains Mono" w:hAnsi="JetBrains Mono"/>
                <w:color w:val="E0FAF7"/>
                <w:sz w:val="16"/>
                <w:szCs w:val="16"/>
              </w:rPr>
              <w:t xml:space="preserve">  ungroup()</w:t>
            </w:r>
          </w:p>
          <w:p>
            <w:pPr>
              <w:spacing w:after="0" w:line="250"/>
            </w:pPr>
            <w:r>
              <w:rPr>
                <w:rFonts w:ascii="JetBrains Mono" w:cs="JetBrains Mono" w:eastAsia="JetBrains Mono" w:hAnsi="JetBrains Mono"/>
                <w:color w:val="E0FAF7"/>
                <w:sz w:val="16"/>
                <w:szCs w:val="16"/>
              </w:rPr>
              <w:t xml:space="preserve"> </w:t>
            </w:r>
          </w:p>
          <w:p>
            <w:pPr>
              <w:spacing w:after="0" w:line="250"/>
            </w:pPr>
            <w:r>
              <w:rPr>
                <w:rFonts w:ascii="JetBrains Mono" w:cs="JetBrains Mono" w:eastAsia="JetBrains Mono" w:hAnsi="JetBrains Mono"/>
                <w:color w:val="6B8CA5"/>
                <w:sz w:val="16"/>
                <w:szCs w:val="16"/>
              </w:rPr>
              <w:t xml:space="preserve"># 3. Diversidad de la agenda (entropía normalizada)</w:t>
            </w:r>
          </w:p>
          <w:p>
            <w:pPr>
              <w:spacing w:after="0" w:line="250"/>
            </w:pPr>
            <w:r>
              <w:rPr>
                <w:rFonts w:ascii="JetBrains Mono" w:cs="JetBrains Mono" w:eastAsia="JetBrains Mono" w:hAnsi="JetBrains Mono"/>
                <w:color w:val="E0FAF7"/>
                <w:sz w:val="16"/>
                <w:szCs w:val="16"/>
              </w:rPr>
              <w:t xml:space="preserve">diversidad &lt;- cuotas |&gt;</w:t>
            </w:r>
          </w:p>
          <w:p>
            <w:pPr>
              <w:spacing w:after="0" w:line="250"/>
            </w:pPr>
            <w:r>
              <w:rPr>
                <w:rFonts w:ascii="JetBrains Mono" w:cs="JetBrains Mono" w:eastAsia="JetBrains Mono" w:hAnsi="JetBrains Mono"/>
                <w:color w:val="E0FAF7"/>
                <w:sz w:val="16"/>
                <w:szCs w:val="16"/>
              </w:rPr>
              <w:t xml:space="preserve">  group_by(medio, mes) |&gt;</w:t>
            </w:r>
          </w:p>
          <w:p>
            <w:pPr>
              <w:spacing w:after="0" w:line="250"/>
            </w:pPr>
            <w:r>
              <w:rPr>
                <w:rFonts w:ascii="JetBrains Mono" w:cs="JetBrains Mono" w:eastAsia="JetBrains Mono" w:hAnsi="JetBrains Mono"/>
                <w:color w:val="E0FAF7"/>
                <w:sz w:val="16"/>
                <w:szCs w:val="16"/>
              </w:rPr>
              <w:t xml:space="preserve">  summarise(H = -sum(cuota * log(cuota), na.rm = TRUE) / log(15), .groups = "drop")</w:t>
            </w:r>
          </w:p>
          <w:p>
            <w:pPr>
              <w:spacing w:after="0" w:line="250"/>
            </w:pPr>
            <w:r>
              <w:rPr>
                <w:rFonts w:ascii="JetBrains Mono" w:cs="JetBrains Mono" w:eastAsia="JetBrains Mono" w:hAnsi="JetBrains Mono"/>
                <w:color w:val="E0FAF7"/>
                <w:sz w:val="16"/>
                <w:szCs w:val="16"/>
              </w:rPr>
              <w:t xml:space="preserve"> </w:t>
            </w:r>
          </w:p>
          <w:p>
            <w:pPr>
              <w:spacing w:after="0" w:line="250"/>
            </w:pPr>
            <w:r>
              <w:rPr>
                <w:rFonts w:ascii="JetBrains Mono" w:cs="JetBrains Mono" w:eastAsia="JetBrains Mono" w:hAnsi="JetBrains Mono"/>
                <w:color w:val="6B8CA5"/>
                <w:sz w:val="16"/>
                <w:szCs w:val="16"/>
              </w:rPr>
              <w:t xml:space="preserve"># 4. Convergencia inter-cabeceras (matriz de Spearman)</w:t>
            </w:r>
          </w:p>
          <w:p>
            <w:pPr>
              <w:spacing w:after="0" w:line="250"/>
            </w:pPr>
            <w:r>
              <w:rPr>
                <w:rFonts w:ascii="JetBrains Mono" w:cs="JetBrains Mono" w:eastAsia="JetBrains Mono" w:hAnsi="JetBrains Mono"/>
                <w:color w:val="E0FAF7"/>
                <w:sz w:val="16"/>
                <w:szCs w:val="16"/>
              </w:rPr>
              <w:t xml:space="preserve">M &lt;- cuotas |&gt;</w:t>
            </w:r>
          </w:p>
          <w:p>
            <w:pPr>
              <w:spacing w:after="0" w:line="250"/>
            </w:pPr>
            <w:r>
              <w:rPr>
                <w:rFonts w:ascii="JetBrains Mono" w:cs="JetBrains Mono" w:eastAsia="JetBrains Mono" w:hAnsi="JetBrains Mono"/>
                <w:color w:val="E0FAF7"/>
                <w:sz w:val="16"/>
                <w:szCs w:val="16"/>
              </w:rPr>
              <w:t xml:space="preserve">  filter(mes == max(mes)) |&gt;</w:t>
            </w:r>
          </w:p>
          <w:p>
            <w:pPr>
              <w:spacing w:after="0" w:line="250"/>
            </w:pPr>
            <w:r>
              <w:rPr>
                <w:rFonts w:ascii="JetBrains Mono" w:cs="JetBrains Mono" w:eastAsia="JetBrains Mono" w:hAnsi="JetBrains Mono"/>
                <w:color w:val="E0FAF7"/>
                <w:sz w:val="16"/>
                <w:szCs w:val="16"/>
              </w:rPr>
              <w:t xml:space="preserve">  select(medio, temas, cuota) |&gt;</w:t>
            </w:r>
          </w:p>
          <w:p>
            <w:pPr>
              <w:spacing w:after="0" w:line="250"/>
            </w:pPr>
            <w:r>
              <w:rPr>
                <w:rFonts w:ascii="JetBrains Mono" w:cs="JetBrains Mono" w:eastAsia="JetBrains Mono" w:hAnsi="JetBrains Mono"/>
                <w:color w:val="E0FAF7"/>
                <w:sz w:val="16"/>
                <w:szCs w:val="16"/>
              </w:rPr>
              <w:t xml:space="preserve">  pivot_wider(names_from = medio, values_from = cuota, values_fill = 0) |&gt;</w:t>
            </w:r>
          </w:p>
          <w:p>
            <w:pPr>
              <w:spacing w:after="0" w:line="250"/>
            </w:pPr>
            <w:r>
              <w:rPr>
                <w:rFonts w:ascii="JetBrains Mono" w:cs="JetBrains Mono" w:eastAsia="JetBrains Mono" w:hAnsi="JetBrains Mono"/>
                <w:color w:val="E0FAF7"/>
                <w:sz w:val="16"/>
                <w:szCs w:val="16"/>
              </w:rPr>
              <w:t xml:space="preserve">  column_to_rownames("temas") |&gt; as.matrix()</w:t>
            </w:r>
          </w:p>
          <w:p>
            <w:pPr>
              <w:spacing w:after="0" w:line="250"/>
            </w:pPr>
            <w:r>
              <w:rPr>
                <w:rFonts w:ascii="JetBrains Mono" w:cs="JetBrains Mono" w:eastAsia="JetBrains Mono" w:hAnsi="JetBrains Mono"/>
                <w:color w:val="E0FAF7"/>
                <w:sz w:val="16"/>
                <w:szCs w:val="16"/>
              </w:rPr>
              <w:t xml:space="preserve">rho &lt;- cor(M, method = "spearman")</w:t>
            </w:r>
          </w:p>
          <w:p>
            <w:pPr>
              <w:spacing w:after="0" w:line="250"/>
            </w:pPr>
            <w:r>
              <w:rPr>
                <w:rFonts w:ascii="JetBrains Mono" w:cs="JetBrains Mono" w:eastAsia="JetBrains Mono" w:hAnsi="JetBrains Mono"/>
                <w:color w:val="E0FAF7"/>
                <w:sz w:val="16"/>
                <w:szCs w:val="16"/>
              </w:rPr>
              <w:t xml:space="preserve">familias &lt;- hclust(as.dist(1 - rho), method = "average")</w:t>
            </w:r>
          </w:p>
          <w:p>
            <w:pPr>
              <w:spacing w:after="0" w:line="250"/>
            </w:pPr>
            <w:r>
              <w:rPr>
                <w:rFonts w:ascii="JetBrains Mono" w:cs="JetBrains Mono" w:eastAsia="JetBrains Mono" w:hAnsi="JetBrains Mono"/>
                <w:color w:val="E0FAF7"/>
                <w:sz w:val="16"/>
                <w:szCs w:val="16"/>
              </w:rPr>
              <w:t xml:space="preserve"> </w:t>
            </w:r>
          </w:p>
          <w:p>
            <w:pPr>
              <w:spacing w:after="0" w:line="250"/>
            </w:pPr>
            <w:r>
              <w:rPr>
                <w:rFonts w:ascii="JetBrains Mono" w:cs="JetBrains Mono" w:eastAsia="JetBrains Mono" w:hAnsi="JetBrains Mono"/>
                <w:color w:val="6B8CA5"/>
                <w:sz w:val="16"/>
                <w:szCs w:val="16"/>
              </w:rPr>
              <w:t xml:space="preserve"># 5. Distancia de cada cabecera a la agenda del sistema</w:t>
            </w:r>
          </w:p>
          <w:p>
            <w:pPr>
              <w:spacing w:after="0" w:line="250"/>
            </w:pPr>
            <w:r>
              <w:rPr>
                <w:rFonts w:ascii="JetBrains Mono" w:cs="JetBrains Mono" w:eastAsia="JetBrains Mono" w:hAnsi="JetBrains Mono"/>
                <w:color w:val="E0FAF7"/>
                <w:sz w:val="16"/>
                <w:szCs w:val="16"/>
              </w:rPr>
              <w:t xml:space="preserve">js &lt;- function(p, q) {</w:t>
            </w:r>
          </w:p>
          <w:p>
            <w:pPr>
              <w:spacing w:after="0" w:line="250"/>
            </w:pPr>
            <w:r>
              <w:rPr>
                <w:rFonts w:ascii="JetBrains Mono" w:cs="JetBrains Mono" w:eastAsia="JetBrains Mono" w:hAnsi="JetBrains Mono"/>
                <w:color w:val="E0FAF7"/>
                <w:sz w:val="16"/>
                <w:szCs w:val="16"/>
              </w:rPr>
              <w:t xml:space="preserve">  m &lt;- (p + q) / 2</w:t>
            </w:r>
          </w:p>
          <w:p>
            <w:pPr>
              <w:spacing w:after="0" w:line="250"/>
            </w:pPr>
            <w:r>
              <w:rPr>
                <w:rFonts w:ascii="JetBrains Mono" w:cs="JetBrains Mono" w:eastAsia="JetBrains Mono" w:hAnsi="JetBrains Mono"/>
                <w:color w:val="E0FAF7"/>
                <w:sz w:val="16"/>
                <w:szCs w:val="16"/>
              </w:rPr>
              <w:t xml:space="preserve">  0.5 * sum(p * log(p / m), na.rm = TRUE) + 0.5 * sum(q * log(q / m), na.rm = TRUE)</w:t>
            </w:r>
          </w:p>
          <w:p>
            <w:pPr>
              <w:spacing w:after="0" w:line="250"/>
            </w:pPr>
            <w:r>
              <w:rPr>
                <w:rFonts w:ascii="JetBrains Mono" w:cs="JetBrains Mono" w:eastAsia="JetBrains Mono" w:hAnsi="JetBrains Mono"/>
                <w:color w:val="E0FAF7"/>
                <w:sz w:val="16"/>
                <w:szCs w:val="16"/>
              </w:rPr>
              <w:t xml:space="preserve">}</w:t>
            </w:r>
          </w:p>
          <w:p>
            <w:pPr>
              <w:spacing w:after="0" w:line="250"/>
            </w:pPr>
            <w:r>
              <w:rPr>
                <w:rFonts w:ascii="JetBrains Mono" w:cs="JetBrains Mono" w:eastAsia="JetBrains Mono" w:hAnsi="JetBrains Mono"/>
                <w:color w:val="E0FAF7"/>
                <w:sz w:val="16"/>
                <w:szCs w:val="16"/>
              </w:rPr>
              <w:t xml:space="preserve">sistema  &lt;- rowMeans(M)</w:t>
            </w:r>
          </w:p>
          <w:p>
            <w:pPr>
              <w:spacing w:after="0" w:line="250"/>
            </w:pPr>
            <w:r>
              <w:rPr>
                <w:rFonts w:ascii="JetBrains Mono" w:cs="JetBrains Mono" w:eastAsia="JetBrains Mono" w:hAnsi="JetBrains Mono"/>
                <w:color w:val="E0FAF7"/>
                <w:sz w:val="16"/>
                <w:szCs w:val="16"/>
              </w:rPr>
              <w:t xml:space="preserve">distancia &lt;- apply(M, 2, js, q = sistema)</w:t>
            </w:r>
          </w:p>
        </w:tc>
      </w:tr>
    </w:tbl>
    <w:p>
      <w:pPr>
        <w:spacing w:after="200" w:before="90"/>
      </w:pPr>
      <w:r>
        <w:rPr>
          <w:rFonts w:ascii="Inter" w:cs="Inter" w:eastAsia="Inter" w:hAnsi="Inter"/>
          <w:i/>
          <w:iCs/>
          <w:color w:val="6B8CA5"/>
          <w:sz w:val="16"/>
          <w:szCs w:val="16"/>
        </w:rPr>
        <w:t xml:space="preserve">La agenda del sistema se calcula como media no ponderada de las cuotas por cabecera, no agregando piezas: agregar daría más peso a las cabeceras con cuota de raspado mayor.</w:t>
      </w:r>
    </w:p>
    <w:p>
      <w:pPr>
        <w:pStyle w:val="Heading1"/>
        <w:spacing w:after="170" w:before="460"/>
      </w:pPr>
      <w:r>
        <w:rPr>
          <w:rFonts w:ascii="Space Grotesk" w:cs="Space Grotesk" w:eastAsia="Space Grotesk" w:hAnsi="Space Grotesk"/>
          <w:b/>
          <w:bCs/>
          <w:color w:val="00C8B4"/>
          <w:sz w:val="32"/>
          <w:szCs w:val="32"/>
        </w:rPr>
        <w:t xml:space="preserve">5   </w:t>
      </w:r>
      <w:r>
        <w:rPr>
          <w:rFonts w:ascii="Space Grotesk" w:cs="Space Grotesk" w:eastAsia="Space Grotesk" w:hAnsi="Space Grotesk"/>
          <w:b/>
          <w:bCs/>
          <w:color w:val="1A2F45"/>
          <w:sz w:val="32"/>
          <w:szCs w:val="32"/>
        </w:rPr>
        <w:t xml:space="preserve">Segundo nivel: la agenda de atributos</w:t>
      </w:r>
    </w:p>
    <w:p>
      <w:pPr>
        <w:spacing w:after="140" w:before="0" w:line="288"/>
      </w:pPr>
      <w:r>
        <w:rPr>
          <w:rFonts w:ascii="Inter" w:cs="Inter" w:eastAsia="Inter" w:hAnsi="Inter"/>
          <w:color w:val="1A2F45"/>
          <w:sz w:val="21"/>
          <w:szCs w:val="21"/>
        </w:rPr>
        <w:t xml:space="preserve">El segundo nivel pregunta no qué temas reciben atención, sino con qué rasgos se construye cada tema. Es el puente entre el establecimiento de agenda y el encuadre, y es donde el observatorio está mejor equipado de lo que parece.</w:t>
      </w:r>
    </w:p>
    <w:p>
      <w:pPr>
        <w:spacing w:after="140" w:before="0" w:line="288"/>
      </w:pPr>
      <w:r>
        <w:rPr>
          <w:rFonts w:ascii="Inter" w:cs="Inter" w:eastAsia="Inter" w:hAnsi="Inter"/>
          <w:color w:val="1A2F45"/>
          <w:sz w:val="21"/>
          <w:szCs w:val="21"/>
        </w:rPr>
        <w:t xml:space="preserve">La tabla </w:t>
      </w:r>
      <w:r>
        <w:rPr>
          <w:rFonts w:ascii="JetBrains Mono" w:cs="JetBrains Mono" w:eastAsia="JetBrains Mono" w:hAnsi="JetBrains Mono"/>
          <w:color w:val="0F3460"/>
          <w:sz w:val="19"/>
          <w:szCs w:val="19"/>
        </w:rPr>
        <w:t xml:space="preserve">medios.wordcloud_terms</w:t>
      </w:r>
      <w:r>
        <w:rPr>
          <w:rFonts w:ascii="Inter" w:cs="Inter" w:eastAsia="Inter" w:hAnsi="Inter"/>
          <w:color w:val="1A2F45"/>
          <w:sz w:val="21"/>
          <w:szCs w:val="21"/>
        </w:rPr>
        <w:t xml:space="preserve"> almacena un agregado léxico ponderado con cuatro ámbitos precalculados, y uno de ellos —</w:t>
      </w:r>
      <w:r>
        <w:rPr>
          <w:rFonts w:ascii="JetBrains Mono" w:cs="JetBrains Mono" w:eastAsia="JetBrains Mono" w:hAnsi="JetBrains Mono"/>
          <w:color w:val="0F3460"/>
          <w:sz w:val="19"/>
          <w:szCs w:val="19"/>
        </w:rPr>
        <w:t xml:space="preserve">medio:X|tema:Y</w:t>
      </w:r>
      <w:r>
        <w:rPr>
          <w:rFonts w:ascii="Inter" w:cs="Inter" w:eastAsia="Inter" w:hAnsi="Inter"/>
          <w:color w:val="1A2F45"/>
          <w:sz w:val="21"/>
          <w:szCs w:val="21"/>
        </w:rPr>
        <w:t xml:space="preserve">— es exactamente el diseño que exige el análisis de atributos: permite comparar cómo dos cabeceras lexicalizan el mismo asunto. El agregado pondera además el artículo completo, no solo el titular (título ×3, entradilla ×2, cuerpo ×1), de modo que capta vocabulario que no llega a portada.</w:t>
      </w:r>
    </w:p>
    <w:p>
      <w:pPr>
        <w:pStyle w:val="Heading3"/>
        <w:spacing w:after="110" w:before="240"/>
      </w:pPr>
      <w:r>
        <w:rPr>
          <w:rFonts w:ascii="Space Grotesk" w:cs="Space Grotesk" w:eastAsia="Space Grotesk" w:hAnsi="Space Grotesk"/>
          <w:b/>
          <w:bCs/>
          <w:color w:val="1A2F45"/>
          <w:sz w:val="21"/>
          <w:szCs w:val="21"/>
        </w:rPr>
        <w:t xml:space="preserve">Indicadores</w:t>
      </w:r>
    </w:p>
    <w:p>
      <w:pPr>
        <w:pStyle w:val="ListParagraph"/>
        <w:numPr>
          <w:ilvl w:val="0"/>
          <w:numId w:val="2"/>
        </w:numPr>
        <w:spacing w:after="90" w:line="280"/>
      </w:pPr>
      <w:r>
        <w:rPr>
          <w:rFonts w:ascii="Inter" w:cs="Inter" w:eastAsia="Inter" w:hAnsi="Inter"/>
          <w:b/>
          <w:bCs/>
          <w:color w:val="1A2F45"/>
          <w:sz w:val="21"/>
          <w:szCs w:val="21"/>
        </w:rPr>
        <w:t xml:space="preserve">Solapamiento léxico</w:t>
      </w:r>
      <w:r>
        <w:rPr>
          <w:rFonts w:ascii="Inter" w:cs="Inter" w:eastAsia="Inter" w:hAnsi="Inter"/>
          <w:color w:val="1A2F45"/>
          <w:sz w:val="21"/>
          <w:szCs w:val="21"/>
        </w:rPr>
        <w:t xml:space="preserve">: índice de Jaccard sobre los N términos de mayor puntuación de dos ámbitos </w:t>
      </w:r>
      <w:r>
        <w:rPr>
          <w:rFonts w:ascii="JetBrains Mono" w:cs="JetBrains Mono" w:eastAsia="JetBrains Mono" w:hAnsi="JetBrains Mono"/>
          <w:color w:val="0F3460"/>
          <w:sz w:val="19"/>
          <w:szCs w:val="19"/>
        </w:rPr>
        <w:t xml:space="preserve">medio:X|tema:Y</w:t>
      </w:r>
      <w:r>
        <w:rPr>
          <w:rFonts w:ascii="Inter" w:cs="Inter" w:eastAsia="Inter" w:hAnsi="Inter"/>
          <w:color w:val="1A2F45"/>
          <w:sz w:val="21"/>
          <w:szCs w:val="21"/>
        </w:rPr>
        <w:t xml:space="preserve"> y </w:t>
      </w:r>
      <w:r>
        <w:rPr>
          <w:rFonts w:ascii="JetBrains Mono" w:cs="JetBrains Mono" w:eastAsia="JetBrains Mono" w:hAnsi="JetBrains Mono"/>
          <w:color w:val="0F3460"/>
          <w:sz w:val="19"/>
          <w:szCs w:val="19"/>
        </w:rPr>
        <w:t xml:space="preserve">medio:Z|tema:Y</w:t>
      </w:r>
      <w:r>
        <w:rPr>
          <w:rFonts w:ascii="Inter" w:cs="Inter" w:eastAsia="Inter" w:hAnsi="Inter"/>
          <w:color w:val="1A2F45"/>
          <w:sz w:val="21"/>
          <w:szCs w:val="21"/>
        </w:rPr>
        <w:t xml:space="preserve">. Responde a: ¿hablan de vivienda con las mismas palabras?</w:t>
      </w:r>
    </w:p>
    <w:p>
      <w:pPr>
        <w:pStyle w:val="ListParagraph"/>
        <w:numPr>
          <w:ilvl w:val="0"/>
          <w:numId w:val="2"/>
        </w:numPr>
        <w:spacing w:after="90" w:line="280"/>
      </w:pPr>
      <w:r>
        <w:rPr>
          <w:rFonts w:ascii="Inter" w:cs="Inter" w:eastAsia="Inter" w:hAnsi="Inter"/>
          <w:b/>
          <w:bCs/>
          <w:color w:val="1A2F45"/>
          <w:sz w:val="21"/>
          <w:szCs w:val="21"/>
        </w:rPr>
        <w:t xml:space="preserve">Términos distintivos</w:t>
      </w:r>
      <w:r>
        <w:rPr>
          <w:rFonts w:ascii="Inter" w:cs="Inter" w:eastAsia="Inter" w:hAnsi="Inter"/>
          <w:color w:val="1A2F45"/>
          <w:sz w:val="21"/>
          <w:szCs w:val="21"/>
        </w:rPr>
        <w:t xml:space="preserve">: los que puntúan alto en el ámbito de una cabecera dentro de un tema y bajo en el ámbito del tema completo. Es el vocabulario propio de esa cabecera para ese asunto.</w:t>
      </w:r>
    </w:p>
    <w:p>
      <w:pPr>
        <w:pStyle w:val="ListParagraph"/>
        <w:numPr>
          <w:ilvl w:val="0"/>
          <w:numId w:val="2"/>
        </w:numPr>
        <w:spacing w:after="90" w:line="280"/>
      </w:pPr>
      <w:r>
        <w:rPr>
          <w:rFonts w:ascii="Inter" w:cs="Inter" w:eastAsia="Inter" w:hAnsi="Inter"/>
          <w:b/>
          <w:bCs/>
          <w:color w:val="1A2F45"/>
          <w:sz w:val="21"/>
          <w:szCs w:val="21"/>
        </w:rPr>
        <w:t xml:space="preserve">Anclaje cualitativo</w:t>
      </w:r>
      <w:r>
        <w:rPr>
          <w:rFonts w:ascii="Inter" w:cs="Inter" w:eastAsia="Inter" w:hAnsi="Inter"/>
          <w:color w:val="1A2F45"/>
          <w:sz w:val="21"/>
          <w:szCs w:val="21"/>
        </w:rPr>
        <w:t xml:space="preserve">: la columna </w:t>
      </w:r>
      <w:r>
        <w:rPr>
          <w:rFonts w:ascii="JetBrains Mono" w:cs="JetBrains Mono" w:eastAsia="JetBrains Mono" w:hAnsi="JetBrains Mono"/>
          <w:color w:val="0F3460"/>
          <w:sz w:val="19"/>
          <w:szCs w:val="19"/>
        </w:rPr>
        <w:t xml:space="preserve">sample_titles</w:t>
      </w:r>
      <w:r>
        <w:rPr>
          <w:rFonts w:ascii="Inter" w:cs="Inter" w:eastAsia="Inter" w:hAnsi="Inter"/>
          <w:color w:val="1A2F45"/>
          <w:sz w:val="21"/>
          <w:szCs w:val="21"/>
        </w:rPr>
        <w:t xml:space="preserve"> guarda hasta tres titulares por término, lo que permite volver del dato agregado al texto concreto sin una consulta adicional.</w:t>
      </w:r>
    </w:p>
    <w:p>
      <w:pPr>
        <w:pStyle w:val="Heading3"/>
        <w:spacing w:after="110" w:before="240"/>
      </w:pPr>
      <w:r>
        <w:rPr>
          <w:rFonts w:ascii="Space Grotesk" w:cs="Space Grotesk" w:eastAsia="Space Grotesk" w:hAnsi="Space Grotesk"/>
          <w:b/>
          <w:bCs/>
          <w:color w:val="1A2F45"/>
          <w:sz w:val="21"/>
          <w:szCs w:val="21"/>
        </w:rPr>
        <w:t xml:space="preserve">Cuatro reservas</w:t>
      </w:r>
    </w:p>
    <w:p>
      <w:pPr>
        <w:spacing w:after="140" w:before="0" w:line="288"/>
      </w:pPr>
      <w:r>
        <w:rPr>
          <w:rFonts w:ascii="Inter" w:cs="Inter" w:eastAsia="Inter" w:hAnsi="Inter"/>
          <w:b/>
          <w:bCs/>
          <w:color w:val="1A2F45"/>
          <w:sz w:val="21"/>
          <w:szCs w:val="21"/>
        </w:rPr>
        <w:t xml:space="preserve">R1. El agregado no tiene dimensión temporal.</w:t>
      </w:r>
      <w:r>
        <w:rPr>
          <w:rFonts w:ascii="Inter" w:cs="Inter" w:eastAsia="Inter" w:hAnsi="Inter"/>
          <w:color w:val="1A2F45"/>
          <w:sz w:val="21"/>
          <w:szCs w:val="21"/>
        </w:rPr>
        <w:t xml:space="preserve"> El pipeline trunca la tabla y la reconstruye sobre el corpus completo en cada ejecución. La columna </w:t>
      </w:r>
      <w:r>
        <w:rPr>
          <w:rFonts w:ascii="JetBrains Mono" w:cs="JetBrains Mono" w:eastAsia="JetBrains Mono" w:hAnsi="JetBrains Mono"/>
          <w:color w:val="0F3460"/>
          <w:sz w:val="19"/>
          <w:szCs w:val="19"/>
        </w:rPr>
        <w:t xml:space="preserve">generated_at</w:t>
      </w:r>
      <w:r>
        <w:rPr>
          <w:rFonts w:ascii="Inter" w:cs="Inter" w:eastAsia="Inter" w:hAnsi="Inter"/>
          <w:color w:val="1A2F45"/>
          <w:sz w:val="21"/>
          <w:szCs w:val="21"/>
        </w:rPr>
        <w:t xml:space="preserve"> es la marca de construcción, no un periodo. No sirve, por tanto, para series temporales de atributos: mide siempre «todo el periodo acumulado». El cambio R5 del capítulo 10 lo resuelve.</w:t>
      </w:r>
    </w:p>
    <w:p>
      <w:pPr>
        <w:spacing w:after="140" w:before="0" w:line="288"/>
      </w:pPr>
      <w:r>
        <w:rPr>
          <w:rFonts w:ascii="Inter" w:cs="Inter" w:eastAsia="Inter" w:hAnsi="Inter"/>
          <w:b/>
          <w:bCs/>
          <w:color w:val="1A2F45"/>
          <w:sz w:val="21"/>
          <w:szCs w:val="21"/>
        </w:rPr>
        <w:t xml:space="preserve">R2. Las frecuencias están ponderadas.</w:t>
      </w:r>
      <w:r>
        <w:rPr>
          <w:rFonts w:ascii="Inter" w:cs="Inter" w:eastAsia="Inter" w:hAnsi="Inter"/>
          <w:color w:val="1A2F45"/>
          <w:sz w:val="21"/>
          <w:szCs w:val="21"/>
        </w:rPr>
        <w:t xml:space="preserve"> La columna </w:t>
      </w:r>
      <w:r>
        <w:rPr>
          <w:rFonts w:ascii="JetBrains Mono" w:cs="JetBrains Mono" w:eastAsia="JetBrains Mono" w:hAnsi="JetBrains Mono"/>
          <w:color w:val="0F3460"/>
          <w:sz w:val="19"/>
          <w:szCs w:val="19"/>
        </w:rPr>
        <w:t xml:space="preserve">term_freq</w:t>
      </w:r>
      <w:r>
        <w:rPr>
          <w:rFonts w:ascii="Inter" w:cs="Inter" w:eastAsia="Inter" w:hAnsi="Inter"/>
          <w:color w:val="1A2F45"/>
          <w:sz w:val="21"/>
          <w:szCs w:val="21"/>
        </w:rPr>
        <w:t xml:space="preserve"> incorpora ya el peso por campo, así que no es una frecuencia bruta. Para estadística léxica rigurosa —el log-odds con prior informativo de Monroe, Colaresi y Quinn (2008) es el estándar para identificar vocabulario distintivo— hay que recalcular desde </w:t>
      </w:r>
      <w:r>
        <w:rPr>
          <w:rFonts w:ascii="JetBrains Mono" w:cs="JetBrains Mono" w:eastAsia="JetBrains Mono" w:hAnsi="JetBrains Mono"/>
          <w:color w:val="0F3460"/>
          <w:sz w:val="19"/>
          <w:szCs w:val="19"/>
        </w:rPr>
        <w:t xml:space="preserve">texto_full</w:t>
      </w:r>
      <w:r>
        <w:rPr>
          <w:rFonts w:ascii="Inter" w:cs="Inter" w:eastAsia="Inter" w:hAnsi="Inter"/>
          <w:color w:val="1A2F45"/>
          <w:sz w:val="21"/>
          <w:szCs w:val="21"/>
        </w:rPr>
        <w:t xml:space="preserve">, no partir del agregado.</w:t>
      </w:r>
    </w:p>
    <w:p>
      <w:pPr>
        <w:spacing w:after="140" w:before="0" w:line="288"/>
      </w:pPr>
      <w:r>
        <w:rPr>
          <w:rFonts w:ascii="Inter" w:cs="Inter" w:eastAsia="Inter" w:hAnsi="Inter"/>
          <w:b/>
          <w:bCs/>
          <w:color w:val="1A2F45"/>
          <w:sz w:val="21"/>
          <w:szCs w:val="21"/>
        </w:rPr>
        <w:t xml:space="preserve">R3. Los ámbitos pequeños son ruido.</w:t>
      </w:r>
      <w:r>
        <w:rPr>
          <w:rFonts w:ascii="Inter" w:cs="Inter" w:eastAsia="Inter" w:hAnsi="Inter"/>
          <w:color w:val="1A2F45"/>
          <w:sz w:val="21"/>
          <w:szCs w:val="21"/>
        </w:rPr>
        <w:t xml:space="preserve"> El pipeline conserva 80 términos por ámbito exigiendo que aparezcan en al menos 2 documentos. Para una combinación cabecera × tema con pocas piezas, ese umbral es demasiado laxo. Usar la columna </w:t>
      </w:r>
      <w:r>
        <w:rPr>
          <w:rFonts w:ascii="JetBrains Mono" w:cs="JetBrains Mono" w:eastAsia="JetBrains Mono" w:hAnsi="JetBrains Mono"/>
          <w:color w:val="0F3460"/>
          <w:sz w:val="19"/>
          <w:szCs w:val="19"/>
        </w:rPr>
        <w:t xml:space="preserve">n_noticias</w:t>
      </w:r>
      <w:r>
        <w:rPr>
          <w:rFonts w:ascii="Inter" w:cs="Inter" w:eastAsia="Inter" w:hAnsi="Inter"/>
          <w:color w:val="1A2F45"/>
          <w:sz w:val="21"/>
          <w:szCs w:val="21"/>
        </w:rPr>
        <w:t xml:space="preserve"> como filtro y descartar los ámbitos por debajo de unas 30 piezas.</w:t>
      </w:r>
    </w:p>
    <w:p>
      <w:pPr>
        <w:spacing w:after="140" w:before="0" w:line="288"/>
      </w:pPr>
      <w:r>
        <w:rPr>
          <w:rFonts w:ascii="Inter" w:cs="Inter" w:eastAsia="Inter" w:hAnsi="Inter"/>
          <w:b/>
          <w:bCs/>
          <w:color w:val="1A2F45"/>
          <w:sz w:val="21"/>
          <w:szCs w:val="21"/>
        </w:rPr>
        <w:t xml:space="preserve">R4. La similitud léxica no es identidad de encuadre.</w:t>
      </w:r>
      <w:r>
        <w:rPr>
          <w:rFonts w:ascii="Inter" w:cs="Inter" w:eastAsia="Inter" w:hAnsi="Inter"/>
          <w:color w:val="1A2F45"/>
          <w:sz w:val="21"/>
          <w:szCs w:val="21"/>
        </w:rPr>
        <w:t xml:space="preserve"> Dos cabeceras pueden compartir vocabulario y encuadrar en sentidos opuestos: «ocupación» aparece con la misma frecuencia en un texto que la presenta como delito y en otro que la presenta como síntoma de emergencia habitacional. El segundo nivel de agenda indica </w:t>
      </w:r>
      <w:r>
        <w:rPr>
          <w:rFonts w:ascii="Inter" w:cs="Inter" w:eastAsia="Inter" w:hAnsi="Inter"/>
          <w:i/>
          <w:iCs/>
          <w:color w:val="1A2F45"/>
          <w:sz w:val="21"/>
          <w:szCs w:val="21"/>
        </w:rPr>
        <w:t xml:space="preserve">qué</w:t>
      </w:r>
      <w:r>
        <w:rPr>
          <w:rFonts w:ascii="Inter" w:cs="Inter" w:eastAsia="Inter" w:hAnsi="Inter"/>
          <w:color w:val="1A2F45"/>
          <w:sz w:val="21"/>
          <w:szCs w:val="21"/>
        </w:rPr>
        <w:t xml:space="preserve"> atributos se hacen accesibles; el encuadre exige el capítulo siguiente.</w:t>
      </w:r>
    </w:p>
    <w:p>
      <w:pPr>
        <w:pStyle w:val="Heading1"/>
        <w:spacing w:after="170" w:before="460"/>
      </w:pPr>
      <w:r>
        <w:rPr>
          <w:rFonts w:ascii="Space Grotesk" w:cs="Space Grotesk" w:eastAsia="Space Grotesk" w:hAnsi="Space Grotesk"/>
          <w:b/>
          <w:bCs/>
          <w:color w:val="00C8B4"/>
          <w:sz w:val="32"/>
          <w:szCs w:val="32"/>
        </w:rPr>
        <w:t xml:space="preserve">6   </w:t>
      </w:r>
      <w:r>
        <w:rPr>
          <w:rFonts w:ascii="Space Grotesk" w:cs="Space Grotesk" w:eastAsia="Space Grotesk" w:hAnsi="Space Grotesk"/>
          <w:b/>
          <w:bCs/>
          <w:color w:val="1A2F45"/>
          <w:sz w:val="32"/>
          <w:szCs w:val="32"/>
        </w:rPr>
        <w:t xml:space="preserve">Encuadre: protocolo en tres fases</w:t>
      </w:r>
    </w:p>
    <w:p>
      <w:pPr>
        <w:spacing w:after="140" w:before="0" w:line="288"/>
      </w:pPr>
      <w:r>
        <w:rPr>
          <w:rFonts w:ascii="Inter" w:cs="Inter" w:eastAsia="Inter" w:hAnsi="Inter"/>
          <w:color w:val="1A2F45"/>
          <w:sz w:val="21"/>
          <w:szCs w:val="21"/>
        </w:rPr>
        <w:t xml:space="preserve">Entman (1993) define el encuadre por cuatro funciones: definir un problema, diagnosticar sus causas, emitir un juicio moral y sugerir un tratamiento. Ninguna de las cuatro se deduce de un recuento de palabras. El encuadre es un constructo que exige codificación, y la codificación exige un instrumento con fiabilidad demostrada.</w:t>
      </w:r>
    </w:p>
    <w:p>
      <w:pPr>
        <w:spacing w:after="140" w:before="0" w:line="288"/>
      </w:pPr>
      <w:r>
        <w:rPr>
          <w:rFonts w:ascii="Inter" w:cs="Inter" w:eastAsia="Inter" w:hAnsi="Inter"/>
          <w:color w:val="1A2F45"/>
          <w:sz w:val="21"/>
          <w:szCs w:val="21"/>
        </w:rPr>
        <w:t xml:space="preserve">El corpus proporciona la materia prima —</w:t>
      </w:r>
      <w:r>
        <w:rPr>
          <w:rFonts w:ascii="JetBrains Mono" w:cs="JetBrains Mono" w:eastAsia="JetBrains Mono" w:hAnsi="JetBrains Mono"/>
          <w:color w:val="0F3460"/>
          <w:sz w:val="19"/>
          <w:szCs w:val="19"/>
        </w:rPr>
        <w:t xml:space="preserve">texto_full</w:t>
      </w:r>
      <w:r>
        <w:rPr>
          <w:rFonts w:ascii="Inter" w:cs="Inter" w:eastAsia="Inter" w:hAnsi="Inter"/>
          <w:color w:val="1A2F45"/>
          <w:sz w:val="21"/>
          <w:szCs w:val="21"/>
        </w:rPr>
        <w:t xml:space="preserve"> hasta 5.000 caracteres— pero no el instrumento. El protocolo siguiente lo construye en tres fases, y no debe saltarse ninguna.</w:t>
      </w:r>
    </w:p>
    <w:p>
      <w:pPr>
        <w:pStyle w:val="Heading3"/>
        <w:spacing w:after="110" w:before="240"/>
      </w:pPr>
      <w:r>
        <w:rPr>
          <w:rFonts w:ascii="Space Grotesk" w:cs="Space Grotesk" w:eastAsia="Space Grotesk" w:hAnsi="Space Grotesk"/>
          <w:b/>
          <w:bCs/>
          <w:color w:val="1A2F45"/>
          <w:sz w:val="21"/>
          <w:szCs w:val="21"/>
        </w:rPr>
        <w:t xml:space="preserve">Fase A · Inductiva: descubrimiento de marcos candidatos</w:t>
      </w:r>
    </w:p>
    <w:p>
      <w:pPr>
        <w:spacing w:after="140" w:before="0" w:line="288"/>
      </w:pPr>
      <w:r>
        <w:rPr>
          <w:rFonts w:ascii="Inter" w:cs="Inter" w:eastAsia="Inter" w:hAnsi="Inter"/>
          <w:color w:val="1A2F45"/>
          <w:sz w:val="21"/>
          <w:szCs w:val="21"/>
        </w:rPr>
        <w:t xml:space="preserve">Sobre el subconjunto de un tema, análisis de co-ocurrencia léxica o modelado de tópicos para generar hipótesis de marcos. El resultado de esta fase son candidatos, no mediciones: sirve para escribir el libro de códigos, no para publicar resultados. Confundir un tópico estadístico con un marco es el error más frecuente en la literatura reciente sobre encuadre computacional.</w:t>
      </w:r>
    </w:p>
    <w:p>
      <w:pPr>
        <w:pStyle w:val="Heading3"/>
        <w:spacing w:after="110" w:before="240"/>
      </w:pPr>
      <w:r>
        <w:rPr>
          <w:rFonts w:ascii="Space Grotesk" w:cs="Space Grotesk" w:eastAsia="Space Grotesk" w:hAnsi="Space Grotesk"/>
          <w:b/>
          <w:bCs/>
          <w:color w:val="1A2F45"/>
          <w:sz w:val="21"/>
          <w:szCs w:val="21"/>
        </w:rPr>
        <w:t xml:space="preserve">Fase B · Deductiva: libro de códigos</w:t>
      </w:r>
    </w:p>
    <w:p>
      <w:pPr>
        <w:spacing w:after="140" w:before="0" w:line="288"/>
      </w:pPr>
      <w:r>
        <w:rPr>
          <w:rFonts w:ascii="Inter" w:cs="Inter" w:eastAsia="Inter" w:hAnsi="Inter"/>
          <w:color w:val="1A2F45"/>
          <w:sz w:val="21"/>
          <w:szCs w:val="21"/>
        </w:rPr>
        <w:t xml:space="preserve">Se recomienda una estructura de dos capas. Como capa genérica, los cinco marcos de Semetko y Valkenburg (2000) —conflicto, interés humano, consecuencias económicas, moralidad y atribución de responsabilidad—, operacionalizados como veinte preguntas dicotómicas. Como capa específica del asunto, las cuatro funciones de Entman aplicadas al tema concreto, derivadas de la fase A.</w:t>
      </w:r>
    </w:p>
    <w:p>
      <w:pPr>
        <w:spacing w:after="140" w:before="0" w:line="288"/>
      </w:pPr>
      <w:r>
        <w:rPr>
          <w:rFonts w:ascii="Inter" w:cs="Inter" w:eastAsia="Inter" w:hAnsi="Inter"/>
          <w:color w:val="1A2F45"/>
          <w:sz w:val="21"/>
          <w:szCs w:val="21"/>
        </w:rPr>
        <w:t xml:space="preserve">Esta arquitectura permite comparar entre temas (con la capa genérica, que es transversal) sin renunciar a la especificidad (con la capa propia de cada asunto).</w:t>
      </w:r>
    </w:p>
    <w:p>
      <w:pPr>
        <w:pStyle w:val="Heading3"/>
        <w:spacing w:after="110" w:before="240"/>
      </w:pPr>
      <w:r>
        <w:rPr>
          <w:rFonts w:ascii="Space Grotesk" w:cs="Space Grotesk" w:eastAsia="Space Grotesk" w:hAnsi="Space Grotesk"/>
          <w:b/>
          <w:bCs/>
          <w:color w:val="1A2F45"/>
          <w:sz w:val="21"/>
          <w:szCs w:val="21"/>
        </w:rPr>
        <w:t xml:space="preserve">Fase C · Fiabilidad y medición</w:t>
      </w:r>
    </w:p>
    <w:p>
      <w:pPr>
        <w:spacing w:after="140" w:before="0" w:line="288"/>
      </w:pPr>
      <w:r>
        <w:rPr>
          <w:rFonts w:ascii="Inter" w:cs="Inter" w:eastAsia="Inter" w:hAnsi="Inter"/>
          <w:color w:val="1A2F45"/>
          <w:sz w:val="21"/>
          <w:szCs w:val="21"/>
        </w:rPr>
        <w:t xml:space="preserve">Doble codificación de una submuestra aleatoria —como mínimo un 10 % del total o 100 unidades, lo que sea mayor— y cálculo de la α de Krippendorff. El umbral convencional es α ≥ 0,80; entre 0,667 y 0,80 los resultados solo admiten lectura exploratoria. Por debajo, hay que reescribir el libro de códigos, no publicar los datos.</w:t>
      </w:r>
    </w:p>
    <w:p>
      <w:pPr>
        <w:spacing w:after="140" w:before="0" w:line="288"/>
      </w:pPr>
      <w:r>
        <w:rPr>
          <w:rFonts w:ascii="Inter" w:cs="Inter" w:eastAsia="Inter" w:hAnsi="Inter"/>
          <w:color w:val="1A2F45"/>
          <w:sz w:val="21"/>
          <w:szCs w:val="21"/>
        </w:rPr>
        <w:t xml:space="preserve">Solo tras superar el umbral cabe escalar: codificación manual del total, o entrenamiento de un clasificador validado contra el patrón de referencia codificado a mano. En ese segundo caso, la métrica que se reporta es el acuerdo del clasificador con los codificadores humanos, no su exactitud interna.</w:t>
      </w:r>
    </w:p>
    <w:tbl>
      <w:tblPr>
        <w:tblW w:type="dxa" w:w="9020"/>
        <w:tblBorders>
          <w:top w:val="none" w:color="FFFFFF" w:sz="0"/>
          <w:left w:val="single" w:color="D4940A" w:sz="24"/>
          <w:bottom w:val="none" w:color="FFFFFF" w:sz="0"/>
          <w:right w:val="none" w:color="FFFFFF" w:sz="0"/>
          <w:insideH w:val="none" w:color="FFFFFF" w:sz="0"/>
          <w:insideV w:val="none" w:color="FFFFFF" w:sz="0"/>
        </w:tblBorders>
      </w:tblPr>
      <w:tblGrid>
        <w:gridCol w:w="9020"/>
      </w:tblGrid>
      <w:tr>
        <w:tc>
          <w:tcPr>
            <w:tcW w:type="dxa" w:w="9020"/>
            <w:shd w:fill="F5F8FA" w:color="auto" w:val="clear"/>
            <w:tcMar>
              <w:top w:type="dxa" w:w="200"/>
              <w:left w:type="dxa" w:w="260"/>
              <w:bottom w:type="dxa" w:w="200"/>
              <w:right w:type="dxa" w:w="240"/>
            </w:tcMar>
          </w:tcPr>
          <w:p>
            <w:pPr>
              <w:spacing w:after="110"/>
            </w:pPr>
            <w:r>
              <w:rPr>
                <w:rFonts w:ascii="Space Grotesk" w:cs="Space Grotesk" w:eastAsia="Space Grotesk" w:hAnsi="Space Grotesk"/>
                <w:b/>
                <w:bCs/>
                <w:caps/>
                <w:color w:val="D4940A"/>
                <w:spacing w:val="24"/>
                <w:sz w:val="17"/>
                <w:szCs w:val="17"/>
              </w:rPr>
              <w:t xml:space="preserve">Restricciones del dato que condicionan el protocolo</w:t>
            </w:r>
          </w:p>
          <w:p>
            <w:pPr>
              <w:pStyle w:val="ListParagraph"/>
              <w:numPr>
                <w:ilvl w:val="0"/>
                <w:numId w:val="2"/>
              </w:numPr>
              <w:spacing w:after="90" w:line="280"/>
            </w:pPr>
            <w:r>
              <w:rPr>
                <w:rFonts w:ascii="Inter" w:cs="Inter" w:eastAsia="Inter" w:hAnsi="Inter"/>
                <w:color w:val="1A2F45"/>
                <w:sz w:val="21"/>
                <w:szCs w:val="21"/>
              </w:rPr>
              <w:t xml:space="preserve">El truncamiento a 5.000 caracteres cubre la mayoría de las piezas de prensa canaria, pero mutila los reportajes largos. Hay que medir qué proporción del corpus llega al límite antes de decidir si afecta.</w:t>
            </w:r>
          </w:p>
          <w:p>
            <w:pPr>
              <w:pStyle w:val="ListParagraph"/>
              <w:numPr>
                <w:ilvl w:val="0"/>
                <w:numId w:val="2"/>
              </w:numPr>
              <w:spacing w:after="90" w:line="280"/>
            </w:pPr>
            <w:r>
              <w:rPr>
                <w:rFonts w:ascii="Inter" w:cs="Inter" w:eastAsia="Inter" w:hAnsi="Inter"/>
                <w:color w:val="1A2F45"/>
                <w:sz w:val="21"/>
                <w:szCs w:val="21"/>
              </w:rPr>
              <w:t xml:space="preserve">Alrededor de una quinta parte de los textos se almacena con entidades HTML sin decodificar. El pipeline de la nube de palabras las decodifica al vuelo, pero la columna almacenada las conserva: cualquier codificación automática debe aplicar </w:t>
            </w:r>
            <w:r>
              <w:rPr>
                <w:rFonts w:ascii="JetBrains Mono" w:cs="JetBrains Mono" w:eastAsia="JetBrains Mono" w:hAnsi="JetBrains Mono"/>
                <w:color w:val="0F3460"/>
                <w:sz w:val="19"/>
                <w:szCs w:val="19"/>
              </w:rPr>
              <w:t xml:space="preserve">unescape</w:t>
            </w:r>
            <w:r>
              <w:rPr>
                <w:rFonts w:ascii="Inter" w:cs="Inter" w:eastAsia="Inter" w:hAnsi="Inter"/>
                <w:color w:val="1A2F45"/>
                <w:sz w:val="21"/>
                <w:szCs w:val="21"/>
              </w:rPr>
              <w:t xml:space="preserve"> antes de procesar.</w:t>
            </w:r>
          </w:p>
          <w:p>
            <w:pPr>
              <w:pStyle w:val="ListParagraph"/>
              <w:numPr>
                <w:ilvl w:val="0"/>
                <w:numId w:val="2"/>
              </w:numPr>
              <w:spacing w:after="90" w:line="280"/>
            </w:pPr>
            <w:r>
              <w:rPr>
                <w:rFonts w:ascii="Inter" w:cs="Inter" w:eastAsia="Inter" w:hAnsi="Inter"/>
                <w:color w:val="1A2F45"/>
                <w:sz w:val="21"/>
                <w:szCs w:val="21"/>
              </w:rPr>
              <w:t xml:space="preserve">La cobertura de </w:t>
            </w:r>
            <w:r>
              <w:rPr>
                <w:rFonts w:ascii="JetBrains Mono" w:cs="JetBrains Mono" w:eastAsia="JetBrains Mono" w:hAnsi="JetBrains Mono"/>
                <w:color w:val="0F3460"/>
                <w:sz w:val="19"/>
                <w:szCs w:val="19"/>
              </w:rPr>
              <w:t xml:space="preserve">texto_full</w:t>
            </w:r>
            <w:r>
              <w:rPr>
                <w:rFonts w:ascii="Inter" w:cs="Inter" w:eastAsia="Inter" w:hAnsi="Inter"/>
                <w:color w:val="1A2F45"/>
                <w:sz w:val="21"/>
                <w:szCs w:val="21"/>
              </w:rPr>
              <w:t xml:space="preserve"> es parcial: la extracción se intenta siempre, pero puede fallar. La consulta de auditoría del apartado 4.3 devuelve el porcentaje real por cabecera. Si la cobertura es desigual entre cabeceras, la comparación de encuadres queda confundida con la calidad de extracción.</w:t>
            </w:r>
          </w:p>
        </w:tc>
      </w:tr>
    </w:tbl>
    <w:p>
      <w:pPr>
        <w:pStyle w:val="Heading1"/>
        <w:spacing w:after="170" w:before="460"/>
      </w:pPr>
      <w:r>
        <w:rPr>
          <w:rFonts w:ascii="Space Grotesk" w:cs="Space Grotesk" w:eastAsia="Space Grotesk" w:hAnsi="Space Grotesk"/>
          <w:b/>
          <w:bCs/>
          <w:color w:val="00C8B4"/>
          <w:sz w:val="32"/>
          <w:szCs w:val="32"/>
        </w:rPr>
        <w:t xml:space="preserve">7   </w:t>
      </w:r>
      <w:r>
        <w:rPr>
          <w:rFonts w:ascii="Space Grotesk" w:cs="Space Grotesk" w:eastAsia="Space Grotesk" w:hAnsi="Space Grotesk"/>
          <w:b/>
          <w:bCs/>
          <w:color w:val="1A2F45"/>
          <w:sz w:val="32"/>
          <w:szCs w:val="32"/>
        </w:rPr>
        <w:t xml:space="preserve">Priming: qué falta para poder medirlo</w:t>
      </w:r>
    </w:p>
    <w:p>
      <w:pPr>
        <w:spacing w:after="140" w:before="0" w:line="288"/>
      </w:pPr>
      <w:r>
        <w:rPr>
          <w:rFonts w:ascii="Inter" w:cs="Inter" w:eastAsia="Inter" w:hAnsi="Inter"/>
          <w:color w:val="1A2F45"/>
          <w:sz w:val="21"/>
          <w:szCs w:val="21"/>
        </w:rPr>
        <w:t xml:space="preserve">Conviene empezar por una distinción que la literatura ha tardado en fijar. Siguiendo a Scheufele y Tewksbury (2007), el establecimiento de agenda y el </w:t>
      </w:r>
      <w:r>
        <w:rPr>
          <w:rFonts w:ascii="Inter" w:cs="Inter" w:eastAsia="Inter" w:hAnsi="Inter"/>
          <w:i/>
          <w:iCs/>
          <w:color w:val="1A2F45"/>
          <w:sz w:val="21"/>
          <w:szCs w:val="21"/>
        </w:rPr>
        <w:t xml:space="preserve">priming</w:t>
      </w:r>
      <w:r>
        <w:rPr>
          <w:rFonts w:ascii="Inter" w:cs="Inter" w:eastAsia="Inter" w:hAnsi="Inter"/>
          <w:color w:val="1A2F45"/>
          <w:sz w:val="21"/>
          <w:szCs w:val="21"/>
        </w:rPr>
        <w:t xml:space="preserve"> operan por accesibilidad —qué asuntos vienen antes a la mente—, mientras que el encuadre opera por aplicabilidad —qué consideraciones se juzgan pertinentes para interpretar un asunto—. No son tres grados de lo mismo: son dos mecanismos psicológicos distintos.</w:t>
      </w:r>
    </w:p>
    <w:p>
      <w:pPr>
        <w:spacing w:after="140" w:before="0" w:line="288"/>
      </w:pPr>
      <w:r>
        <w:rPr>
          <w:rFonts w:ascii="Inter" w:cs="Inter" w:eastAsia="Inter" w:hAnsi="Inter"/>
          <w:color w:val="1A2F45"/>
          <w:sz w:val="21"/>
          <w:szCs w:val="21"/>
        </w:rPr>
        <w:t xml:space="preserve">El </w:t>
      </w:r>
      <w:r>
        <w:rPr>
          <w:rFonts w:ascii="Inter" w:cs="Inter" w:eastAsia="Inter" w:hAnsi="Inter"/>
          <w:i/>
          <w:iCs/>
          <w:color w:val="1A2F45"/>
          <w:sz w:val="21"/>
          <w:szCs w:val="21"/>
        </w:rPr>
        <w:t xml:space="preserve">priming</w:t>
      </w:r>
      <w:r>
        <w:rPr>
          <w:rFonts w:ascii="Inter" w:cs="Inter" w:eastAsia="Inter" w:hAnsi="Inter"/>
          <w:color w:val="1A2F45"/>
          <w:sz w:val="21"/>
          <w:szCs w:val="21"/>
        </w:rPr>
        <w:t xml:space="preserve"> es, además, un constructo de efectos: afirma que la saliencia mediática de un asunto altera el peso que ese asunto tiene en la evaluación que la ciudadanía hace de los actores políticos (Iyengar y Kinder, 1987). Medirlo exige, por definición, datos de opinión pública. </w:t>
      </w:r>
      <w:r>
        <w:rPr>
          <w:rFonts w:ascii="Inter" w:cs="Inter" w:eastAsia="Inter" w:hAnsi="Inter"/>
          <w:b/>
          <w:bCs/>
          <w:color w:val="1A2F45"/>
          <w:sz w:val="21"/>
          <w:szCs w:val="21"/>
        </w:rPr>
        <w:t xml:space="preserve">Ningún análisis de contenido, por sofisticado que sea, puede establecer un efecto de priming por sí solo.</w:t>
      </w:r>
    </w:p>
    <w:p>
      <w:pPr>
        <w:spacing w:after="140" w:before="0" w:line="288"/>
      </w:pPr>
      <w:r>
        <w:rPr>
          <w:rFonts w:ascii="Inter" w:cs="Inter" w:eastAsia="Inter" w:hAnsi="Inter"/>
          <w:color w:val="1A2F45"/>
          <w:sz w:val="21"/>
          <w:szCs w:val="21"/>
        </w:rPr>
        <w:t xml:space="preserve">Lo que el observatorio aporta es la variable independiente: una serie de saliencia temática por cabecera y periodo. Para cerrar el diseño hacen falta dos piezas más.</w:t>
      </w:r>
    </w:p>
    <w:p>
      <w:pPr>
        <w:spacing w:after="60" w:before="330"/>
      </w:pPr>
      <w:r>
        <w:rPr>
          <w:rFonts w:ascii="Space Grotesk" w:cs="Space Grotesk" w:eastAsia="Space Grotesk" w:hAnsi="Space Grotesk"/>
          <w:b/>
          <w:bCs/>
          <w:caps/>
          <w:color w:val="00C8B4"/>
          <w:spacing w:val="20"/>
          <w:sz w:val="17"/>
          <w:szCs w:val="17"/>
        </w:rPr>
        <w:t xml:space="preserve">Tabla 4.  </w:t>
      </w:r>
      <w:r>
        <w:rPr>
          <w:rFonts w:ascii="Space Grotesk" w:cs="Space Grotesk" w:eastAsia="Space Grotesk" w:hAnsi="Space Grotesk"/>
          <w:b/>
          <w:bCs/>
          <w:color w:val="1A2F45"/>
          <w:sz w:val="19"/>
          <w:szCs w:val="19"/>
        </w:rPr>
        <w:t xml:space="preserve">Requisitos para un diseño de priming</w:t>
      </w:r>
    </w:p>
    <w:tbl>
      <w:tblPr>
        <w:tblW w:type="dxa" w:w="9020"/>
        <w:tblBorders>
          <w:top w:val="single" w:color="E4EDF5" w:sz="2"/>
          <w:left w:val="none" w:color="FFFFFF" w:sz="0"/>
          <w:bottom w:val="single" w:color="E4EDF5" w:sz="2"/>
          <w:right w:val="none" w:color="FFFFFF" w:sz="0"/>
          <w:insideH w:val="single" w:color="E4EDF5" w:sz="2"/>
          <w:insideV w:val="none" w:color="FFFFFF" w:sz="0"/>
        </w:tblBorders>
      </w:tblPr>
      <w:tblGrid>
        <w:gridCol w:w="2100"/>
        <w:gridCol w:w="3260"/>
        <w:gridCol w:w="3660"/>
      </w:tblGrid>
      <w:tr>
        <w:trPr>
          <w:tblHeader/>
        </w:trPr>
        <w:tc>
          <w:tcPr>
            <w:tcW w:type="dxa" w:w="210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Pieza</w:t>
            </w:r>
          </w:p>
        </w:tc>
        <w:tc>
          <w:tcPr>
            <w:tcW w:type="dxa" w:w="326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Fuente candidata</w:t>
            </w:r>
          </w:p>
        </w:tc>
        <w:tc>
          <w:tcPr>
            <w:tcW w:type="dxa" w:w="366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Advertencia</w:t>
            </w:r>
          </w:p>
        </w:tc>
      </w:tr>
      <w:tr>
        <w:tc>
          <w:tcPr>
            <w:tcW w:type="dxa" w:w="21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Saliencia mediática</w:t>
            </w:r>
          </w:p>
        </w:tc>
        <w:tc>
          <w:tcPr>
            <w:tcW w:type="dxa" w:w="3260"/>
            <w:shd w:fill="FFFFFF" w:color="auto" w:val="clear"/>
            <w:tcMar>
              <w:top w:type="dxa" w:w="110"/>
              <w:left w:type="dxa" w:w="130"/>
              <w:bottom w:type="dxa" w:w="110"/>
              <w:right w:type="dxa" w:w="130"/>
            </w:tcMar>
          </w:tcPr>
          <w:p>
            <w:pPr>
              <w:spacing w:after="0" w:before="0" w:line="250"/>
            </w:pPr>
            <w:r>
              <w:rPr>
                <w:rFonts w:ascii="Inter" w:cs="Inter" w:eastAsia="Inter" w:hAnsi="Inter"/>
                <w:b/>
                <w:bCs/>
                <w:color w:val="009E8E"/>
                <w:sz w:val="18"/>
                <w:szCs w:val="18"/>
              </w:rPr>
              <w:t xml:space="preserve">Este observatorio (capítulo 4)</w:t>
            </w:r>
          </w:p>
        </w:tc>
        <w:tc>
          <w:tcPr>
            <w:tcW w:type="dxa" w:w="366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Disponible tras el cambio R1. Serie mensual recomendada.</w:t>
            </w:r>
          </w:p>
        </w:tc>
      </w:tr>
      <w:tr>
        <w:tc>
          <w:tcPr>
            <w:tcW w:type="dxa" w:w="210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Saliencia pública</w:t>
            </w:r>
          </w:p>
        </w:tc>
        <w:tc>
          <w:tcPr>
            <w:tcW w:type="dxa" w:w="326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Barómetros del CIS: pregunta por los principales problemas</w:t>
            </w:r>
          </w:p>
        </w:tc>
        <w:tc>
          <w:tcPr>
            <w:tcW w:type="dxa" w:w="366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La submuestra canaria de un barómetro estatal ronda el centenar de casos. Error muestral alto: agregar por trimestre.</w:t>
            </w:r>
          </w:p>
        </w:tc>
      </w:tr>
      <w:tr>
        <w:tc>
          <w:tcPr>
            <w:tcW w:type="dxa" w:w="21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Criterios de evaluación</w:t>
            </w:r>
          </w:p>
        </w:tc>
        <w:tc>
          <w:tcPr>
            <w:tcW w:type="dxa" w:w="326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Estudios autonómicos del CIS y encuestas propias</w:t>
            </w:r>
          </w:p>
        </w:tc>
        <w:tc>
          <w:tcPr>
            <w:tcW w:type="dxa" w:w="366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Requiere ítems que midan a la vez actitud sobre el asunto y evaluación del gobierno. Su disponibilidad es irregular.</w:t>
            </w:r>
          </w:p>
        </w:tc>
      </w:tr>
    </w:tbl>
    <w:p>
      <w:pPr>
        <w:spacing w:after="200" w:before="90"/>
      </w:pPr>
      <w:r>
        <w:rPr>
          <w:rFonts w:ascii="Inter" w:cs="Inter" w:eastAsia="Inter" w:hAnsi="Inter"/>
          <w:i/>
          <w:iCs/>
          <w:color w:val="6B8CA5"/>
          <w:sz w:val="16"/>
          <w:szCs w:val="16"/>
        </w:rPr>
        <w:t xml:space="preserve">Antes de comprometer recursos conviene verificar la disponibilidad y periodicidad reales de las series citadas para el ámbito canario.</w:t>
      </w:r>
    </w:p>
    <w:p>
      <w:pPr>
        <w:spacing w:after="140" w:before="0" w:line="288"/>
      </w:pPr>
      <w:r>
        <w:rPr>
          <w:rFonts w:ascii="Inter" w:cs="Inter" w:eastAsia="Inter" w:hAnsi="Inter"/>
          <w:color w:val="1A2F45"/>
          <w:sz w:val="21"/>
          <w:szCs w:val="21"/>
        </w:rPr>
        <w:t xml:space="preserve">El diseño de análisis, una vez reunidas las tres piezas, es un modelo de retardos distribuidos o una correlación cruzada desfasada: saliencia mediática en t−1…t−k frente a saliencia pública en t.</w:t>
      </w:r>
    </w:p>
    <w:tbl>
      <w:tblPr>
        <w:tblW w:type="dxa" w:w="9020"/>
        <w:tblBorders>
          <w:top w:val="none" w:color="FFFFFF" w:sz="0"/>
          <w:left w:val="single" w:color="00C8B4" w:sz="24"/>
          <w:bottom w:val="none" w:color="FFFFFF" w:sz="0"/>
          <w:right w:val="none" w:color="FFFFFF" w:sz="0"/>
          <w:insideH w:val="none" w:color="FFFFFF" w:sz="0"/>
          <w:insideV w:val="none" w:color="FFFFFF" w:sz="0"/>
        </w:tblBorders>
      </w:tblPr>
      <w:tblGrid>
        <w:gridCol w:w="9020"/>
      </w:tblGrid>
      <w:tr>
        <w:tc>
          <w:tcPr>
            <w:tcW w:type="dxa" w:w="9020"/>
            <w:shd w:fill="F5F8FA" w:color="auto" w:val="clear"/>
            <w:tcMar>
              <w:top w:type="dxa" w:w="200"/>
              <w:left w:type="dxa" w:w="260"/>
              <w:bottom w:type="dxa" w:w="200"/>
              <w:right w:type="dxa" w:w="240"/>
            </w:tcMar>
          </w:tcPr>
          <w:p>
            <w:pPr>
              <w:spacing w:after="110"/>
            </w:pPr>
            <w:r>
              <w:rPr>
                <w:rFonts w:ascii="Space Grotesk" w:cs="Space Grotesk" w:eastAsia="Space Grotesk" w:hAnsi="Space Grotesk"/>
                <w:b/>
                <w:bCs/>
                <w:caps/>
                <w:color w:val="00C8B4"/>
                <w:spacing w:val="24"/>
                <w:sz w:val="17"/>
                <w:szCs w:val="17"/>
              </w:rPr>
              <w:t xml:space="preserve">Versión mínima viable</w:t>
            </w:r>
          </w:p>
          <w:p>
            <w:pPr>
              <w:spacing w:after="0" w:before="0" w:line="288"/>
            </w:pPr>
            <w:r>
              <w:rPr>
                <w:rFonts w:ascii="Inter" w:cs="Inter" w:eastAsia="Inter" w:hAnsi="Inter"/>
                <w:color w:val="1A2F45"/>
                <w:sz w:val="21"/>
                <w:szCs w:val="21"/>
              </w:rPr>
              <w:t xml:space="preserve">Sin la tercera pieza no hay priming, pero sí hay algo publicable y valioso: el primer eslabón de la cadena, es decir, el establecimiento de agenda a nivel del público —la correlación entre la saliencia mediática y la jerarquía de problemas que declara la ciudadanía canaria—. Es el diseño original de McCombs y Shaw, es replicable con dos de las tres piezas, y es una contribución legítima. Conviene nombrarlo por lo que es y no venderlo como priming.</w:t>
            </w:r>
          </w:p>
        </w:tc>
      </w:tr>
    </w:tbl>
    <w:p>
      <w:pPr>
        <w:pStyle w:val="Heading1"/>
        <w:spacing w:after="170" w:before="460"/>
      </w:pPr>
      <w:r>
        <w:rPr>
          <w:rFonts w:ascii="Space Grotesk" w:cs="Space Grotesk" w:eastAsia="Space Grotesk" w:hAnsi="Space Grotesk"/>
          <w:b/>
          <w:bCs/>
          <w:color w:val="00C8B4"/>
          <w:sz w:val="32"/>
          <w:szCs w:val="32"/>
        </w:rPr>
        <w:t xml:space="preserve">8   </w:t>
      </w:r>
      <w:r>
        <w:rPr>
          <w:rFonts w:ascii="Space Grotesk" w:cs="Space Grotesk" w:eastAsia="Space Grotesk" w:hAnsi="Space Grotesk"/>
          <w:b/>
          <w:bCs/>
          <w:color w:val="1A2F45"/>
          <w:sz w:val="32"/>
          <w:szCs w:val="32"/>
        </w:rPr>
        <w:t xml:space="preserve">Quién habla primero: los cuatro bloqueos</w:t>
      </w:r>
    </w:p>
    <w:p>
      <w:pPr>
        <w:spacing w:after="140" w:before="0" w:line="288"/>
      </w:pPr>
      <w:r>
        <w:rPr>
          <w:rFonts w:ascii="Inter" w:cs="Inter" w:eastAsia="Inter" w:hAnsi="Inter"/>
          <w:color w:val="1A2F45"/>
          <w:sz w:val="21"/>
          <w:szCs w:val="21"/>
        </w:rPr>
        <w:t xml:space="preserve">Es la pregunta que más interés despierta y la única que hoy no tiene respuesta posible con estos datos. Los motivos son cuatro, independientes entre sí, y hay que levantarlos todos.</w:t>
      </w:r>
    </w:p>
    <w:p>
      <w:pPr>
        <w:pStyle w:val="Heading3"/>
        <w:spacing w:after="110" w:before="240"/>
      </w:pPr>
      <w:r>
        <w:rPr>
          <w:rFonts w:ascii="Space Grotesk" w:cs="Space Grotesk" w:eastAsia="Space Grotesk" w:hAnsi="Space Grotesk"/>
          <w:b/>
          <w:bCs/>
          <w:color w:val="1A2F45"/>
          <w:sz w:val="21"/>
          <w:szCs w:val="21"/>
        </w:rPr>
        <w:t xml:space="preserve">Bloqueo 1 · La marca temporal es sintética en la mayoría de las piezas</w:t>
      </w:r>
    </w:p>
    <w:p>
      <w:pPr>
        <w:spacing w:after="140" w:before="0" w:line="288"/>
      </w:pPr>
      <w:r>
        <w:rPr>
          <w:rFonts w:ascii="Inter" w:cs="Inter" w:eastAsia="Inter" w:hAnsi="Inter"/>
          <w:color w:val="1A2F45"/>
          <w:sz w:val="21"/>
          <w:szCs w:val="21"/>
        </w:rPr>
        <w:t xml:space="preserve">Solo las piezas que entran por feed llevan una fecha de publicación real. Las que entran por portada reciben </w:t>
      </w:r>
      <w:r>
        <w:rPr>
          <w:rFonts w:ascii="JetBrains Mono" w:cs="JetBrains Mono" w:eastAsia="JetBrains Mono" w:hAnsi="JetBrains Mono"/>
          <w:color w:val="0F3460"/>
          <w:sz w:val="19"/>
          <w:szCs w:val="19"/>
        </w:rPr>
        <w:t xml:space="preserve">datetime.now()</w:t>
      </w:r>
      <w:r>
        <w:rPr>
          <w:rFonts w:ascii="Inter" w:cs="Inter" w:eastAsia="Inter" w:hAnsi="Inter"/>
          <w:color w:val="1A2F45"/>
          <w:sz w:val="21"/>
          <w:szCs w:val="21"/>
        </w:rPr>
        <w:t xml:space="preserve"> en el momento del raspado. Y hay un matiz aprovechable: la vía JSON-LD sí lee </w:t>
      </w:r>
      <w:r>
        <w:rPr>
          <w:rFonts w:ascii="JetBrains Mono" w:cs="JetBrains Mono" w:eastAsia="JetBrains Mono" w:hAnsi="JetBrains Mono"/>
          <w:color w:val="0F3460"/>
          <w:sz w:val="19"/>
          <w:szCs w:val="19"/>
        </w:rPr>
        <w:t xml:space="preserve">datePublished</w:t>
      </w:r>
      <w:r>
        <w:rPr>
          <w:rFonts w:ascii="Inter" w:cs="Inter" w:eastAsia="Inter" w:hAnsi="Inter"/>
          <w:color w:val="1A2F45"/>
          <w:sz w:val="21"/>
          <w:szCs w:val="21"/>
        </w:rPr>
        <w:t xml:space="preserve"> cuando el medio lo publica, de modo que una parte de las piezas de portada sí tiene fecha real. La procedencia queda registrada en </w:t>
      </w:r>
      <w:r>
        <w:rPr>
          <w:rFonts w:ascii="JetBrains Mono" w:cs="JetBrains Mono" w:eastAsia="JetBrains Mono" w:hAnsi="JetBrains Mono"/>
          <w:color w:val="0F3460"/>
          <w:sz w:val="19"/>
          <w:szCs w:val="19"/>
        </w:rPr>
        <w:t xml:space="preserve">raw_json</w:t>
      </w:r>
      <w:r>
        <w:rPr>
          <w:rFonts w:ascii="Inter" w:cs="Inter" w:eastAsia="Inter" w:hAnsi="Inter"/>
          <w:color w:val="1A2F45"/>
          <w:sz w:val="21"/>
          <w:szCs w:val="21"/>
        </w:rPr>
        <w:t xml:space="preserve"> y permite discriminar hoy mismo:</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c>
          <w:tcPr>
            <w:tcW w:type="dxa" w:w="9020"/>
            <w:shd w:fill="0D1B2A" w:color="auto" w:val="clear"/>
            <w:tcMar>
              <w:top w:type="dxa" w:w="180"/>
              <w:left w:type="dxa" w:w="220"/>
              <w:bottom w:type="dxa" w:w="180"/>
              <w:right w:type="dxa" w:w="200"/>
            </w:tcMar>
          </w:tcPr>
          <w:p>
            <w:pPr>
              <w:spacing w:after="0" w:line="250"/>
            </w:pPr>
            <w:r>
              <w:rPr>
                <w:rFonts w:ascii="JetBrains Mono" w:cs="JetBrains Mono" w:eastAsia="JetBrains Mono" w:hAnsi="JetBrains Mono"/>
                <w:color w:val="6B8CA5"/>
                <w:sz w:val="16"/>
                <w:szCs w:val="16"/>
              </w:rPr>
              <w:t xml:space="preserve">-- Clasificación de la fiabilidad de la fecha de publicación</w:t>
            </w:r>
          </w:p>
          <w:p>
            <w:pPr>
              <w:spacing w:after="0" w:line="250"/>
            </w:pPr>
            <w:r>
              <w:rPr>
                <w:rFonts w:ascii="JetBrains Mono" w:cs="JetBrains Mono" w:eastAsia="JetBrains Mono" w:hAnsi="JetBrains Mono"/>
                <w:color w:val="E0FAF7"/>
                <w:sz w:val="16"/>
                <w:szCs w:val="16"/>
              </w:rPr>
              <w:t xml:space="preserve">select</w:t>
            </w:r>
          </w:p>
          <w:p>
            <w:pPr>
              <w:spacing w:after="0" w:line="250"/>
            </w:pPr>
            <w:r>
              <w:rPr>
                <w:rFonts w:ascii="JetBrains Mono" w:cs="JetBrains Mono" w:eastAsia="JetBrains Mono" w:hAnsi="JetBrains Mono"/>
                <w:color w:val="E0FAF7"/>
                <w:sz w:val="16"/>
                <w:szCs w:val="16"/>
              </w:rPr>
              <w:t xml:space="preserve">  case</w:t>
            </w:r>
          </w:p>
          <w:p>
            <w:pPr>
              <w:spacing w:after="0" w:line="250"/>
            </w:pPr>
            <w:r>
              <w:rPr>
                <w:rFonts w:ascii="JetBrains Mono" w:cs="JetBrains Mono" w:eastAsia="JetBrains Mono" w:hAnsi="JetBrains Mono"/>
                <w:color w:val="E0FAF7"/>
                <w:sz w:val="16"/>
                <w:szCs w:val="16"/>
              </w:rPr>
              <w:t xml:space="preserve">    when fuente = 'rss'                        then 'fecha del feed'</w:t>
            </w:r>
          </w:p>
          <w:p>
            <w:pPr>
              <w:spacing w:after="0" w:line="250"/>
            </w:pPr>
            <w:r>
              <w:rPr>
                <w:rFonts w:ascii="JetBrains Mono" w:cs="JetBrains Mono" w:eastAsia="JetBrains Mono" w:hAnsi="JetBrains Mono"/>
                <w:color w:val="E0FAF7"/>
                <w:sz w:val="16"/>
                <w:szCs w:val="16"/>
              </w:rPr>
              <w:t xml:space="preserve">    when raw_json-&gt;&gt;'tipo' = 'NewsArticle'     then 'JSON-LD, posible fecha real'</w:t>
            </w:r>
          </w:p>
          <w:p>
            <w:pPr>
              <w:spacing w:after="0" w:line="250"/>
            </w:pPr>
            <w:r>
              <w:rPr>
                <w:rFonts w:ascii="JetBrains Mono" w:cs="JetBrains Mono" w:eastAsia="JetBrains Mono" w:hAnsi="JetBrains Mono"/>
                <w:color w:val="E0FAF7"/>
                <w:sz w:val="16"/>
                <w:szCs w:val="16"/>
              </w:rPr>
              <w:t xml:space="preserve">    else                                            'sintetica: hora de raspado'</w:t>
            </w:r>
          </w:p>
          <w:p>
            <w:pPr>
              <w:spacing w:after="0" w:line="250"/>
            </w:pPr>
            <w:r>
              <w:rPr>
                <w:rFonts w:ascii="JetBrains Mono" w:cs="JetBrains Mono" w:eastAsia="JetBrains Mono" w:hAnsi="JetBrains Mono"/>
                <w:color w:val="E0FAF7"/>
                <w:sz w:val="16"/>
                <w:szCs w:val="16"/>
              </w:rPr>
              <w:t xml:space="preserve">  end as fiabilidad,</w:t>
            </w:r>
          </w:p>
          <w:p>
            <w:pPr>
              <w:spacing w:after="0" w:line="250"/>
            </w:pPr>
            <w:r>
              <w:rPr>
                <w:rFonts w:ascii="JetBrains Mono" w:cs="JetBrains Mono" w:eastAsia="JetBrains Mono" w:hAnsi="JetBrains Mono"/>
                <w:color w:val="E0FAF7"/>
                <w:sz w:val="16"/>
                <w:szCs w:val="16"/>
              </w:rPr>
              <w:t xml:space="preserve">  count(*) as piezas</w:t>
            </w:r>
          </w:p>
          <w:p>
            <w:pPr>
              <w:spacing w:after="0" w:line="250"/>
            </w:pPr>
            <w:r>
              <w:rPr>
                <w:rFonts w:ascii="JetBrains Mono" w:cs="JetBrains Mono" w:eastAsia="JetBrains Mono" w:hAnsi="JetBrains Mono"/>
                <w:color w:val="E0FAF7"/>
                <w:sz w:val="16"/>
                <w:szCs w:val="16"/>
              </w:rPr>
              <w:t xml:space="preserve">from medios.noticias</w:t>
            </w:r>
          </w:p>
          <w:p>
            <w:pPr>
              <w:spacing w:after="0" w:line="250"/>
            </w:pPr>
            <w:r>
              <w:rPr>
                <w:rFonts w:ascii="JetBrains Mono" w:cs="JetBrains Mono" w:eastAsia="JetBrains Mono" w:hAnsi="JetBrains Mono"/>
                <w:color w:val="E0FAF7"/>
                <w:sz w:val="16"/>
                <w:szCs w:val="16"/>
              </w:rPr>
              <w:t xml:space="preserve">group by 1 order by 2 desc;</w:t>
            </w:r>
          </w:p>
        </w:tc>
      </w:tr>
    </w:tbl>
    <w:p>
      <w:pPr>
        <w:spacing w:after="200"/>
      </w:pPr>
    </w:p>
    <w:p>
      <w:pPr>
        <w:spacing w:after="140" w:before="0" w:line="288"/>
      </w:pPr>
      <w:r>
        <w:rPr>
          <w:rFonts w:ascii="Inter" w:cs="Inter" w:eastAsia="Inter" w:hAnsi="Inter"/>
          <w:color w:val="1A2F45"/>
          <w:sz w:val="21"/>
          <w:szCs w:val="21"/>
        </w:rPr>
        <w:t xml:space="preserve">Solo 6 de las 14 cabeceras tienen feed: Canarias7, Diario de Avisos, Gomera Verde, Lancelot Digital, El Hierro Hoy y La Voz de Fuerteventura. </w:t>
      </w:r>
      <w:r>
        <w:rPr>
          <w:rFonts w:ascii="Inter" w:cs="Inter" w:eastAsia="Inter" w:hAnsi="Inter"/>
          <w:b/>
          <w:bCs/>
          <w:color w:val="1A2F45"/>
          <w:sz w:val="21"/>
          <w:szCs w:val="21"/>
        </w:rPr>
        <w:t xml:space="preserve">Los tres diarios de mayor difusión del archipiélago —La Provincia, El Día y La Opinión— y Canarias Ahora están todos fuera de esa lista</w:t>
      </w:r>
      <w:r>
        <w:rPr>
          <w:rFonts w:ascii="Inter" w:cs="Inter" w:eastAsia="Inter" w:hAnsi="Inter"/>
          <w:color w:val="1A2F45"/>
          <w:sz w:val="21"/>
          <w:szCs w:val="21"/>
        </w:rPr>
        <w:t xml:space="preserve">. Es decir: las cabeceras con más capacidad de marcar la agenda son precisamente las que carecen de marca temporal fiable.</w:t>
      </w:r>
    </w:p>
    <w:p>
      <w:pPr>
        <w:pStyle w:val="Heading3"/>
        <w:spacing w:after="110" w:before="240"/>
      </w:pPr>
      <w:r>
        <w:rPr>
          <w:rFonts w:ascii="Space Grotesk" w:cs="Space Grotesk" w:eastAsia="Space Grotesk" w:hAnsi="Space Grotesk"/>
          <w:b/>
          <w:bCs/>
          <w:color w:val="1A2F45"/>
          <w:sz w:val="21"/>
          <w:szCs w:val="21"/>
        </w:rPr>
        <w:t xml:space="preserve">Bloqueo 2 · fecha_scrap codifica el orden del raspador, no el de publicación</w:t>
      </w:r>
    </w:p>
    <w:tbl>
      <w:tblPr>
        <w:tblW w:type="dxa" w:w="9020"/>
        <w:tblBorders>
          <w:top w:val="none" w:color="FFFFFF" w:sz="0"/>
          <w:left w:val="single" w:color="FF4757" w:sz="24"/>
          <w:bottom w:val="none" w:color="FFFFFF" w:sz="0"/>
          <w:right w:val="none" w:color="FFFFFF" w:sz="0"/>
          <w:insideH w:val="none" w:color="FFFFFF" w:sz="0"/>
          <w:insideV w:val="none" w:color="FFFFFF" w:sz="0"/>
        </w:tblBorders>
      </w:tblPr>
      <w:tblGrid>
        <w:gridCol w:w="9020"/>
      </w:tblGrid>
      <w:tr>
        <w:tc>
          <w:tcPr>
            <w:tcW w:type="dxa" w:w="9020"/>
            <w:shd w:fill="F5F8FA" w:color="auto" w:val="clear"/>
            <w:tcMar>
              <w:top w:type="dxa" w:w="200"/>
              <w:left w:type="dxa" w:w="260"/>
              <w:bottom w:type="dxa" w:w="200"/>
              <w:right w:type="dxa" w:w="240"/>
            </w:tcMar>
          </w:tcPr>
          <w:p>
            <w:pPr>
              <w:spacing w:after="110"/>
            </w:pPr>
            <w:r>
              <w:rPr>
                <w:rFonts w:ascii="Space Grotesk" w:cs="Space Grotesk" w:eastAsia="Space Grotesk" w:hAnsi="Space Grotesk"/>
                <w:b/>
                <w:bCs/>
                <w:caps/>
                <w:color w:val="FF4757"/>
                <w:spacing w:val="24"/>
                <w:sz w:val="17"/>
                <w:szCs w:val="17"/>
              </w:rPr>
              <w:t xml:space="preserve">Advertencia crítica</w:t>
            </w:r>
          </w:p>
          <w:p>
            <w:pPr>
              <w:spacing w:after="140" w:before="0" w:line="288"/>
            </w:pPr>
            <w:r>
              <w:rPr>
                <w:rFonts w:ascii="Inter" w:cs="Inter" w:eastAsia="Inter" w:hAnsi="Inter"/>
                <w:color w:val="1A2F45"/>
                <w:sz w:val="21"/>
                <w:szCs w:val="21"/>
              </w:rPr>
              <w:t xml:space="preserve">Las cabeceras se recorren secuencialmente en una sola ejecución, en el orden fijo del diccionario de configuración: Canarias7 siempre primero, La Voz de Fuerteventura siempre última. Como </w:t>
            </w:r>
            <w:r>
              <w:rPr>
                <w:rFonts w:ascii="JetBrains Mono" w:cs="JetBrains Mono" w:eastAsia="JetBrains Mono" w:hAnsi="JetBrains Mono"/>
                <w:color w:val="0F3460"/>
                <w:sz w:val="19"/>
                <w:szCs w:val="19"/>
              </w:rPr>
              <w:t xml:space="preserve">fecha_scrap</w:t>
            </w:r>
            <w:r>
              <w:rPr>
                <w:rFonts w:ascii="Inter" w:cs="Inter" w:eastAsia="Inter" w:hAnsi="Inter"/>
                <w:color w:val="1A2F45"/>
                <w:sz w:val="21"/>
                <w:szCs w:val="21"/>
              </w:rPr>
              <w:t xml:space="preserve"> se asigna en el momento de la inserción, cualquier análisis de liderazgo temporal construido sobre esa columna «descubrirá» que Canarias7 marca la agenda.</w:t>
            </w:r>
          </w:p>
          <w:p>
            <w:pPr>
              <w:spacing w:after="0" w:before="0" w:line="288"/>
            </w:pPr>
            <w:r>
              <w:rPr>
                <w:rFonts w:ascii="Inter" w:cs="Inter" w:eastAsia="Inter" w:hAnsi="Inter"/>
                <w:b/>
                <w:bCs/>
                <w:color w:val="1A2F45"/>
                <w:sz w:val="21"/>
                <w:szCs w:val="21"/>
              </w:rPr>
              <w:t xml:space="preserve">Sería un artefacto del orden de un diccionario de Python, no un hallazgo sobre el periodismo canario. Es el error más fácil de cometer con estos datos y el más difícil de detectar una vez publicado.</w:t>
            </w:r>
          </w:p>
        </w:tc>
      </w:tr>
    </w:tbl>
    <w:p>
      <w:pPr>
        <w:pStyle w:val="Heading3"/>
        <w:spacing w:after="110" w:before="240"/>
      </w:pPr>
      <w:r>
        <w:rPr>
          <w:rFonts w:ascii="Space Grotesk" w:cs="Space Grotesk" w:eastAsia="Space Grotesk" w:hAnsi="Space Grotesk"/>
          <w:b/>
          <w:bCs/>
          <w:color w:val="1A2F45"/>
          <w:sz w:val="21"/>
          <w:szCs w:val="21"/>
        </w:rPr>
        <w:t xml:space="preserve">Bloqueo 3 · No hay resolución intradiaria</w:t>
      </w:r>
    </w:p>
    <w:p>
      <w:pPr>
        <w:spacing w:after="140" w:before="0" w:line="288"/>
      </w:pPr>
      <w:r>
        <w:rPr>
          <w:rFonts w:ascii="Inter" w:cs="Inter" w:eastAsia="Inter" w:hAnsi="Inter"/>
          <w:color w:val="1A2F45"/>
          <w:sz w:val="21"/>
          <w:szCs w:val="21"/>
        </w:rPr>
        <w:t xml:space="preserve">Una observación diaria no permite ordenar acontecimientos dentro del ciclo informativo. Aunque las marcas temporales fueran perfectas, el instrumento solo distinguiría precedencias de más de veinticuatro horas, que en el ciclo actual son la excepción.</w:t>
      </w:r>
    </w:p>
    <w:p>
      <w:pPr>
        <w:pStyle w:val="Heading3"/>
        <w:spacing w:after="110" w:before="240"/>
      </w:pPr>
      <w:r>
        <w:rPr>
          <w:rFonts w:ascii="Space Grotesk" w:cs="Space Grotesk" w:eastAsia="Space Grotesk" w:hAnsi="Space Grotesk"/>
          <w:b/>
          <w:bCs/>
          <w:color w:val="1A2F45"/>
          <w:sz w:val="21"/>
          <w:szCs w:val="21"/>
        </w:rPr>
        <w:t xml:space="preserve">Bloqueo 4 · «Misma historia» no es «mismo tema»</w:t>
      </w:r>
    </w:p>
    <w:p>
      <w:pPr>
        <w:spacing w:after="140" w:before="0" w:line="288"/>
      </w:pPr>
      <w:r>
        <w:rPr>
          <w:rFonts w:ascii="Inter" w:cs="Inter" w:eastAsia="Inter" w:hAnsi="Inter"/>
          <w:color w:val="1A2F45"/>
          <w:sz w:val="21"/>
          <w:szCs w:val="21"/>
        </w:rPr>
        <w:t xml:space="preserve">Quince temas son una rejilla demasiado gruesa para identificar un acontecimiento. Dos piezas sobre vivienda pueden referirse a hechos sin relación. Establecer precedencia exige agrupar a nivel de historia: similitud del coseno sobre TF-IDF de titular y entradilla, o incrustaciones de frase, con un umbral calibrado a mano y una ventana temporal de agrupamiento.</w:t>
      </w:r>
    </w:p>
    <w:p>
      <w:pPr>
        <w:pStyle w:val="Heading3"/>
        <w:spacing w:after="110" w:before="240"/>
      </w:pPr>
      <w:r>
        <w:rPr>
          <w:rFonts w:ascii="Space Grotesk" w:cs="Space Grotesk" w:eastAsia="Space Grotesk" w:hAnsi="Space Grotesk"/>
          <w:b/>
          <w:bCs/>
          <w:color w:val="1A2F45"/>
          <w:sz w:val="21"/>
          <w:szCs w:val="21"/>
        </w:rPr>
        <w:t xml:space="preserve">Lo que sí se puede hacer hoy</w:t>
      </w:r>
    </w:p>
    <w:p>
      <w:pPr>
        <w:spacing w:after="140" w:before="0" w:line="288"/>
      </w:pPr>
      <w:r>
        <w:rPr>
          <w:rFonts w:ascii="Inter" w:cs="Inter" w:eastAsia="Inter" w:hAnsi="Inter"/>
          <w:color w:val="1A2F45"/>
          <w:sz w:val="21"/>
          <w:szCs w:val="21"/>
        </w:rPr>
        <w:t xml:space="preserve">Un análisis de agenda inter-medios a escala semanal sobre la subserie de feed —las 6 cabeceras con fecha fiable—, mediante correlación cruzada desfasada entre sus cuotas temáticas. Es un diseño legítimo y publicable, siempre que se declare que el universo son seis cabeceras que excluyen a los tres diarios de mayor difusión, y que la unidad de precedencia es el tema semanal y no la historia.</w:t>
      </w:r>
    </w:p>
    <w:p>
      <w:pPr>
        <w:pStyle w:val="Heading1"/>
        <w:spacing w:after="170" w:before="460"/>
      </w:pPr>
      <w:r>
        <w:rPr>
          <w:rFonts w:ascii="Space Grotesk" w:cs="Space Grotesk" w:eastAsia="Space Grotesk" w:hAnsi="Space Grotesk"/>
          <w:b/>
          <w:bCs/>
          <w:color w:val="00C8B4"/>
          <w:sz w:val="32"/>
          <w:szCs w:val="32"/>
        </w:rPr>
        <w:t xml:space="preserve">9   </w:t>
      </w:r>
      <w:r>
        <w:rPr>
          <w:rFonts w:ascii="Space Grotesk" w:cs="Space Grotesk" w:eastAsia="Space Grotesk" w:hAnsi="Space Grotesk"/>
          <w:b/>
          <w:bCs/>
          <w:color w:val="1A2F45"/>
          <w:sz w:val="32"/>
          <w:szCs w:val="32"/>
        </w:rPr>
        <w:t xml:space="preserve">Amenazas a la validez</w:t>
      </w:r>
    </w:p>
    <w:p>
      <w:pPr>
        <w:spacing w:after="140" w:before="0" w:line="288"/>
      </w:pPr>
      <w:r>
        <w:rPr>
          <w:rFonts w:ascii="Inter" w:cs="Inter" w:eastAsia="Inter" w:hAnsi="Inter"/>
          <w:color w:val="1A2F45"/>
          <w:sz w:val="21"/>
          <w:szCs w:val="21"/>
        </w:rPr>
        <w:t xml:space="preserve">Inventario ordenado por gravedad. Las tres primeras afectan a cualquier resultado que se publique con este corpus y deben declararse en la ficha técnica aunque se hayan corregido.</w:t>
      </w:r>
    </w:p>
    <w:p>
      <w:pPr>
        <w:spacing w:after="60" w:before="330"/>
      </w:pPr>
      <w:r>
        <w:rPr>
          <w:rFonts w:ascii="Space Grotesk" w:cs="Space Grotesk" w:eastAsia="Space Grotesk" w:hAnsi="Space Grotesk"/>
          <w:b/>
          <w:bCs/>
          <w:caps/>
          <w:color w:val="00C8B4"/>
          <w:spacing w:val="20"/>
          <w:sz w:val="17"/>
          <w:szCs w:val="17"/>
        </w:rPr>
        <w:t xml:space="preserve">Tabla 5.  </w:t>
      </w:r>
      <w:r>
        <w:rPr>
          <w:rFonts w:ascii="Space Grotesk" w:cs="Space Grotesk" w:eastAsia="Space Grotesk" w:hAnsi="Space Grotesk"/>
          <w:b/>
          <w:bCs/>
          <w:color w:val="1A2F45"/>
          <w:sz w:val="19"/>
          <w:szCs w:val="19"/>
        </w:rPr>
        <w:t xml:space="preserve">Amenazas a la validez, por gravedad</w:t>
      </w:r>
    </w:p>
    <w:tbl>
      <w:tblPr>
        <w:tblW w:type="dxa" w:w="9020"/>
        <w:tblBorders>
          <w:top w:val="single" w:color="E4EDF5" w:sz="2"/>
          <w:left w:val="none" w:color="FFFFFF" w:sz="0"/>
          <w:bottom w:val="single" w:color="E4EDF5" w:sz="2"/>
          <w:right w:val="none" w:color="FFFFFF" w:sz="0"/>
          <w:insideH w:val="single" w:color="E4EDF5" w:sz="2"/>
          <w:insideV w:val="none" w:color="FFFFFF" w:sz="0"/>
        </w:tblBorders>
      </w:tblPr>
      <w:tblGrid>
        <w:gridCol w:w="520"/>
        <w:gridCol w:w="2700"/>
        <w:gridCol w:w="3800"/>
        <w:gridCol w:w="2000"/>
      </w:tblGrid>
      <w:tr>
        <w:trPr>
          <w:tblHeader/>
        </w:trPr>
        <w:tc>
          <w:tcPr>
            <w:tcW w:type="dxa" w:w="52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w:t>
            </w:r>
          </w:p>
        </w:tc>
        <w:tc>
          <w:tcPr>
            <w:tcW w:type="dxa" w:w="270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Amenaza</w:t>
            </w:r>
          </w:p>
        </w:tc>
        <w:tc>
          <w:tcPr>
            <w:tcW w:type="dxa" w:w="380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Efecto sobre la inferencia</w:t>
            </w:r>
          </w:p>
        </w:tc>
        <w:tc>
          <w:tcPr>
            <w:tcW w:type="dxa" w:w="200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Gravedad</w:t>
            </w:r>
          </w:p>
        </w:tc>
      </w:tr>
      <w:tr>
        <w:tc>
          <w:tcPr>
            <w:tcW w:type="dxa" w:w="52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A1</w:t>
            </w:r>
          </w:p>
        </w:tc>
        <w:tc>
          <w:tcPr>
            <w:tcW w:type="dxa" w:w="27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Ausencia de denominador: las piezas sin tema se eliminan en la ingesta</w:t>
            </w:r>
          </w:p>
        </w:tc>
        <w:tc>
          <w:tcPr>
            <w:tcW w:type="dxa" w:w="38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Impide toda medida de saliencia relativa a la producción de la cabecera. Las cuotas miden la agenda de ODESOCAN, no la del medio.</w:t>
            </w:r>
          </w:p>
        </w:tc>
        <w:tc>
          <w:tcPr>
            <w:tcW w:type="dxa" w:w="2000"/>
            <w:shd w:fill="FFFFFF" w:color="auto" w:val="clear"/>
            <w:tcMar>
              <w:top w:type="dxa" w:w="110"/>
              <w:left w:type="dxa" w:w="130"/>
              <w:bottom w:type="dxa" w:w="110"/>
              <w:right w:type="dxa" w:w="130"/>
            </w:tcMar>
          </w:tcPr>
          <w:p>
            <w:pPr>
              <w:spacing w:after="0" w:before="0" w:line="250"/>
            </w:pPr>
            <w:r>
              <w:rPr>
                <w:rFonts w:ascii="Inter" w:cs="Inter" w:eastAsia="Inter" w:hAnsi="Inter"/>
                <w:b/>
                <w:bCs/>
                <w:color w:val="FF4757"/>
                <w:sz w:val="18"/>
                <w:szCs w:val="18"/>
              </w:rPr>
              <w:t xml:space="preserve">Crítica</w:t>
            </w:r>
          </w:p>
        </w:tc>
      </w:tr>
      <w:tr>
        <w:tc>
          <w:tcPr>
            <w:tcW w:type="dxa" w:w="52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A2</w:t>
            </w:r>
          </w:p>
        </w:tc>
        <w:tc>
          <w:tcPr>
            <w:tcW w:type="dxa" w:w="270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Deriva del instrumento: las piezas se clasifican una sola vez y nunca se reetiquetan, mientras el diccionario de temas evoluciona</w:t>
            </w:r>
          </w:p>
        </w:tc>
        <w:tc>
          <w:tcPr>
            <w:tcW w:type="dxa" w:w="380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Una serie temporal confunde el cambio real de agenda con el cambio del clasificador. Invalida toda comparación longitudinal.</w:t>
            </w:r>
          </w:p>
        </w:tc>
        <w:tc>
          <w:tcPr>
            <w:tcW w:type="dxa" w:w="2000"/>
            <w:shd w:fill="F5F8FA" w:color="auto" w:val="clear"/>
            <w:tcMar>
              <w:top w:type="dxa" w:w="110"/>
              <w:left w:type="dxa" w:w="130"/>
              <w:bottom w:type="dxa" w:w="110"/>
              <w:right w:type="dxa" w:w="130"/>
            </w:tcMar>
          </w:tcPr>
          <w:p>
            <w:pPr>
              <w:spacing w:after="0" w:before="0" w:line="250"/>
            </w:pPr>
            <w:r>
              <w:rPr>
                <w:rFonts w:ascii="Inter" w:cs="Inter" w:eastAsia="Inter" w:hAnsi="Inter"/>
                <w:b/>
                <w:bCs/>
                <w:color w:val="FF4757"/>
                <w:sz w:val="18"/>
                <w:szCs w:val="18"/>
              </w:rPr>
              <w:t xml:space="preserve">Crítica</w:t>
            </w:r>
          </w:p>
        </w:tc>
      </w:tr>
      <w:tr>
        <w:tc>
          <w:tcPr>
            <w:tcW w:type="dxa" w:w="52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A3</w:t>
            </w:r>
          </w:p>
        </w:tc>
        <w:tc>
          <w:tcPr>
            <w:tcW w:type="dxa" w:w="27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Marca temporal sintética en las piezas de portada; fecha_scrap refleja el orden del raspador</w:t>
            </w:r>
          </w:p>
        </w:tc>
        <w:tc>
          <w:tcPr>
            <w:tcW w:type="dxa" w:w="38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Invalida cualquier análisis de precedencia. Puede producir hallazgos falsos con apariencia sólida.</w:t>
            </w:r>
          </w:p>
        </w:tc>
        <w:tc>
          <w:tcPr>
            <w:tcW w:type="dxa" w:w="2000"/>
            <w:shd w:fill="FFFFFF" w:color="auto" w:val="clear"/>
            <w:tcMar>
              <w:top w:type="dxa" w:w="110"/>
              <w:left w:type="dxa" w:w="130"/>
              <w:bottom w:type="dxa" w:w="110"/>
              <w:right w:type="dxa" w:w="130"/>
            </w:tcMar>
          </w:tcPr>
          <w:p>
            <w:pPr>
              <w:spacing w:after="0" w:before="0" w:line="250"/>
            </w:pPr>
            <w:r>
              <w:rPr>
                <w:rFonts w:ascii="Inter" w:cs="Inter" w:eastAsia="Inter" w:hAnsi="Inter"/>
                <w:b/>
                <w:bCs/>
                <w:color w:val="FF4757"/>
                <w:sz w:val="18"/>
                <w:szCs w:val="18"/>
              </w:rPr>
              <w:t xml:space="preserve">Crítica</w:t>
            </w:r>
          </w:p>
        </w:tc>
      </w:tr>
      <w:tr>
        <w:tc>
          <w:tcPr>
            <w:tcW w:type="dxa" w:w="52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A4</w:t>
            </w:r>
          </w:p>
        </w:tc>
        <w:tc>
          <w:tcPr>
            <w:tcW w:type="dxa" w:w="270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Cuota de raspado desigual entre cabeceras (20–30)</w:t>
            </w:r>
          </w:p>
        </w:tc>
        <w:tc>
          <w:tcPr>
            <w:tcW w:type="dxa" w:w="380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Los volúmenes brutos no son comparables entre medios. Solo lo son las cuotas internas.</w:t>
            </w:r>
          </w:p>
        </w:tc>
        <w:tc>
          <w:tcPr>
            <w:tcW w:type="dxa" w:w="2000"/>
            <w:shd w:fill="F5F8FA" w:color="auto" w:val="clear"/>
            <w:tcMar>
              <w:top w:type="dxa" w:w="110"/>
              <w:left w:type="dxa" w:w="130"/>
              <w:bottom w:type="dxa" w:w="110"/>
              <w:right w:type="dxa" w:w="130"/>
            </w:tcMar>
          </w:tcPr>
          <w:p>
            <w:pPr>
              <w:spacing w:after="0" w:before="0" w:line="250"/>
            </w:pPr>
            <w:r>
              <w:rPr>
                <w:rFonts w:ascii="Inter" w:cs="Inter" w:eastAsia="Inter" w:hAnsi="Inter"/>
                <w:b/>
                <w:bCs/>
                <w:color w:val="D4940A"/>
                <w:sz w:val="18"/>
                <w:szCs w:val="18"/>
              </w:rPr>
              <w:t xml:space="preserve">Alta</w:t>
            </w:r>
          </w:p>
        </w:tc>
      </w:tr>
      <w:tr>
        <w:tc>
          <w:tcPr>
            <w:tcW w:type="dxa" w:w="52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A5</w:t>
            </w:r>
          </w:p>
        </w:tc>
        <w:tc>
          <w:tcPr>
            <w:tcW w:type="dxa" w:w="27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Dos cabeceras con cero piezas históricas</w:t>
            </w:r>
          </w:p>
        </w:tc>
        <w:tc>
          <w:tcPr>
            <w:tcW w:type="dxa" w:w="38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El universo efectivo es 12, no 14. Declararlo o retirarlas de la configuración.</w:t>
            </w:r>
          </w:p>
        </w:tc>
        <w:tc>
          <w:tcPr>
            <w:tcW w:type="dxa" w:w="2000"/>
            <w:shd w:fill="FFFFFF" w:color="auto" w:val="clear"/>
            <w:tcMar>
              <w:top w:type="dxa" w:w="110"/>
              <w:left w:type="dxa" w:w="130"/>
              <w:bottom w:type="dxa" w:w="110"/>
              <w:right w:type="dxa" w:w="130"/>
            </w:tcMar>
          </w:tcPr>
          <w:p>
            <w:pPr>
              <w:spacing w:after="0" w:before="0" w:line="250"/>
            </w:pPr>
            <w:r>
              <w:rPr>
                <w:rFonts w:ascii="Inter" w:cs="Inter" w:eastAsia="Inter" w:hAnsi="Inter"/>
                <w:b/>
                <w:bCs/>
                <w:color w:val="D4940A"/>
                <w:sz w:val="18"/>
                <w:szCs w:val="18"/>
              </w:rPr>
              <w:t xml:space="preserve">Media</w:t>
            </w:r>
          </w:p>
        </w:tc>
      </w:tr>
      <w:tr>
        <w:tc>
          <w:tcPr>
            <w:tcW w:type="dxa" w:w="52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A6</w:t>
            </w:r>
          </w:p>
        </w:tc>
        <w:tc>
          <w:tcPr>
            <w:tcW w:type="dxa" w:w="270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Muestra de prominencia: una observación diaria de la parte superior de la portada</w:t>
            </w:r>
          </w:p>
        </w:tc>
        <w:tc>
          <w:tcPr>
            <w:tcW w:type="dxa" w:w="380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Sesgo sistemático a favor de las historias persistentes. Atenúa la rotación real del ciclo.</w:t>
            </w:r>
          </w:p>
        </w:tc>
        <w:tc>
          <w:tcPr>
            <w:tcW w:type="dxa" w:w="2000"/>
            <w:shd w:fill="F5F8FA" w:color="auto" w:val="clear"/>
            <w:tcMar>
              <w:top w:type="dxa" w:w="110"/>
              <w:left w:type="dxa" w:w="130"/>
              <w:bottom w:type="dxa" w:w="110"/>
              <w:right w:type="dxa" w:w="130"/>
            </w:tcMar>
          </w:tcPr>
          <w:p>
            <w:pPr>
              <w:spacing w:after="0" w:before="0" w:line="250"/>
            </w:pPr>
            <w:r>
              <w:rPr>
                <w:rFonts w:ascii="Inter" w:cs="Inter" w:eastAsia="Inter" w:hAnsi="Inter"/>
                <w:b/>
                <w:bCs/>
                <w:color w:val="D4940A"/>
                <w:sz w:val="18"/>
                <w:szCs w:val="18"/>
              </w:rPr>
              <w:t xml:space="preserve">Media</w:t>
            </w:r>
          </w:p>
        </w:tc>
      </w:tr>
      <w:tr>
        <w:tc>
          <w:tcPr>
            <w:tcW w:type="dxa" w:w="52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A7</w:t>
            </w:r>
          </w:p>
        </w:tc>
        <w:tc>
          <w:tcPr>
            <w:tcW w:type="dxa" w:w="27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Cobertura parcial y truncada de texto_full</w:t>
            </w:r>
          </w:p>
        </w:tc>
        <w:tc>
          <w:tcPr>
            <w:tcW w:type="dxa" w:w="38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Condiciona el análisis de encuadre. Medir la cobertura por cabecera antes de comparar.</w:t>
            </w:r>
          </w:p>
        </w:tc>
        <w:tc>
          <w:tcPr>
            <w:tcW w:type="dxa" w:w="2000"/>
            <w:shd w:fill="FFFFFF" w:color="auto" w:val="clear"/>
            <w:tcMar>
              <w:top w:type="dxa" w:w="110"/>
              <w:left w:type="dxa" w:w="130"/>
              <w:bottom w:type="dxa" w:w="110"/>
              <w:right w:type="dxa" w:w="130"/>
            </w:tcMar>
          </w:tcPr>
          <w:p>
            <w:pPr>
              <w:spacing w:after="0" w:before="0" w:line="250"/>
            </w:pPr>
            <w:r>
              <w:rPr>
                <w:rFonts w:ascii="Inter" w:cs="Inter" w:eastAsia="Inter" w:hAnsi="Inter"/>
                <w:b/>
                <w:bCs/>
                <w:color w:val="D4940A"/>
                <w:sz w:val="18"/>
                <w:szCs w:val="18"/>
              </w:rPr>
              <w:t xml:space="preserve">Media</w:t>
            </w:r>
          </w:p>
        </w:tc>
      </w:tr>
      <w:tr>
        <w:tc>
          <w:tcPr>
            <w:tcW w:type="dxa" w:w="52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A8</w:t>
            </w:r>
          </w:p>
        </w:tc>
        <w:tc>
          <w:tcPr>
            <w:tcW w:type="dxa" w:w="270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robots.txt desactivado en la configuración del raspador</w:t>
            </w:r>
          </w:p>
        </w:tc>
        <w:tc>
          <w:tcPr>
            <w:tcW w:type="dxa" w:w="380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No afecta a la validez estadística, pero sí a la publicabilidad: exige una declaración ética y jurídica explícita.</w:t>
            </w:r>
          </w:p>
        </w:tc>
        <w:tc>
          <w:tcPr>
            <w:tcW w:type="dxa" w:w="2000"/>
            <w:shd w:fill="F5F8FA" w:color="auto" w:val="clear"/>
            <w:tcMar>
              <w:top w:type="dxa" w:w="110"/>
              <w:left w:type="dxa" w:w="130"/>
              <w:bottom w:type="dxa" w:w="110"/>
              <w:right w:type="dxa" w:w="130"/>
            </w:tcMar>
          </w:tcPr>
          <w:p>
            <w:pPr>
              <w:spacing w:after="0" w:before="0" w:line="250"/>
            </w:pPr>
            <w:r>
              <w:rPr>
                <w:rFonts w:ascii="Inter" w:cs="Inter" w:eastAsia="Inter" w:hAnsi="Inter"/>
                <w:b/>
                <w:bCs/>
                <w:color w:val="6B8CA5"/>
                <w:sz w:val="18"/>
                <w:szCs w:val="18"/>
              </w:rPr>
              <w:t xml:space="preserve">Procedimental</w:t>
            </w:r>
          </w:p>
        </w:tc>
      </w:tr>
    </w:tbl>
    <w:p>
      <w:pPr>
        <w:spacing w:after="200"/>
      </w:pPr>
    </w:p>
    <w:p>
      <w:pPr>
        <w:spacing w:after="140" w:before="0" w:line="288"/>
      </w:pPr>
      <w:r>
        <w:rPr>
          <w:rFonts w:ascii="Inter" w:cs="Inter" w:eastAsia="Inter" w:hAnsi="Inter"/>
          <w:color w:val="1A2F45"/>
          <w:sz w:val="21"/>
          <w:szCs w:val="21"/>
        </w:rPr>
        <w:t xml:space="preserve">Sobre A8 conviene ser explícito. La configuración desactiva el respeto a </w:t>
      </w:r>
      <w:r>
        <w:rPr>
          <w:rFonts w:ascii="JetBrains Mono" w:cs="JetBrains Mono" w:eastAsia="JetBrains Mono" w:hAnsi="JetBrains Mono"/>
          <w:color w:val="0F3460"/>
          <w:sz w:val="19"/>
          <w:szCs w:val="19"/>
        </w:rPr>
        <w:t xml:space="preserve">robots.txt</w:t>
      </w:r>
      <w:r>
        <w:rPr>
          <w:rFonts w:ascii="Inter" w:cs="Inter" w:eastAsia="Inter" w:hAnsi="Inter"/>
          <w:color w:val="1A2F45"/>
          <w:sz w:val="21"/>
          <w:szCs w:val="21"/>
        </w:rPr>
        <w:t xml:space="preserve"> con una justificación razonada —monitoreo académico, una ejecución diaria, menos tráfico que un lector humano— y mantiene pausas de cortesía deliberadas entre peticiones. Es una posición defendible, pero cualquier publicación derivada debería incluir una nota que declare la finalidad investigadora, la excepción de minería de textos y datos aplicable, el volumen real de peticiones y el hecho de que solo se almacenan titulares, entradillas y extractos, no reproducciones íntegras destinadas a difusión.</w:t>
      </w:r>
    </w:p>
    <w:p>
      <w:pPr>
        <w:pStyle w:val="Heading1"/>
        <w:spacing w:after="170" w:before="460"/>
      </w:pPr>
      <w:r>
        <w:rPr>
          <w:rFonts w:ascii="Space Grotesk" w:cs="Space Grotesk" w:eastAsia="Space Grotesk" w:hAnsi="Space Grotesk"/>
          <w:b/>
          <w:bCs/>
          <w:color w:val="00C8B4"/>
          <w:sz w:val="32"/>
          <w:szCs w:val="32"/>
        </w:rPr>
        <w:t xml:space="preserve">10   </w:t>
      </w:r>
      <w:r>
        <w:rPr>
          <w:rFonts w:ascii="Space Grotesk" w:cs="Space Grotesk" w:eastAsia="Space Grotesk" w:hAnsi="Space Grotesk"/>
          <w:b/>
          <w:bCs/>
          <w:color w:val="1A2F45"/>
          <w:sz w:val="32"/>
          <w:szCs w:val="32"/>
        </w:rPr>
        <w:t xml:space="preserve">Hoja de ruta técnica</w:t>
      </w:r>
    </w:p>
    <w:p>
      <w:pPr>
        <w:spacing w:after="140" w:before="0" w:line="288"/>
      </w:pPr>
      <w:r>
        <w:rPr>
          <w:rFonts w:ascii="Inter" w:cs="Inter" w:eastAsia="Inter" w:hAnsi="Inter"/>
          <w:color w:val="1A2F45"/>
          <w:sz w:val="21"/>
          <w:szCs w:val="21"/>
        </w:rPr>
        <w:t xml:space="preserve">Cinco cambios en la infraestructura, ordenados por la razón entre lo que desbloquean y lo que cuestan. Los tres primeros son baratos y levantan las tres amenazas críticas.</w:t>
      </w:r>
    </w:p>
    <w:p>
      <w:pPr>
        <w:spacing w:after="60" w:before="330"/>
      </w:pPr>
      <w:r>
        <w:rPr>
          <w:rFonts w:ascii="Space Grotesk" w:cs="Space Grotesk" w:eastAsia="Space Grotesk" w:hAnsi="Space Grotesk"/>
          <w:b/>
          <w:bCs/>
          <w:caps/>
          <w:color w:val="00C8B4"/>
          <w:spacing w:val="20"/>
          <w:sz w:val="17"/>
          <w:szCs w:val="17"/>
        </w:rPr>
        <w:t xml:space="preserve">Tabla 6.  </w:t>
      </w:r>
      <w:r>
        <w:rPr>
          <w:rFonts w:ascii="Space Grotesk" w:cs="Space Grotesk" w:eastAsia="Space Grotesk" w:hAnsi="Space Grotesk"/>
          <w:b/>
          <w:bCs/>
          <w:color w:val="1A2F45"/>
          <w:sz w:val="19"/>
          <w:szCs w:val="19"/>
        </w:rPr>
        <w:t xml:space="preserve">Cambios propuestos, por relación beneficio/coste</w:t>
      </w:r>
    </w:p>
    <w:tbl>
      <w:tblPr>
        <w:tblW w:type="dxa" w:w="9020"/>
        <w:tblBorders>
          <w:top w:val="single" w:color="E4EDF5" w:sz="2"/>
          <w:left w:val="none" w:color="FFFFFF" w:sz="0"/>
          <w:bottom w:val="single" w:color="E4EDF5" w:sz="2"/>
          <w:right w:val="none" w:color="FFFFFF" w:sz="0"/>
          <w:insideH w:val="single" w:color="E4EDF5" w:sz="2"/>
          <w:insideV w:val="none" w:color="FFFFFF" w:sz="0"/>
        </w:tblBorders>
      </w:tblPr>
      <w:tblGrid>
        <w:gridCol w:w="520"/>
        <w:gridCol w:w="2900"/>
        <w:gridCol w:w="2500"/>
        <w:gridCol w:w="3100"/>
      </w:tblGrid>
      <w:tr>
        <w:trPr>
          <w:tblHeader/>
        </w:trPr>
        <w:tc>
          <w:tcPr>
            <w:tcW w:type="dxa" w:w="52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
            </w:r>
          </w:p>
        </w:tc>
        <w:tc>
          <w:tcPr>
            <w:tcW w:type="dxa" w:w="290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Cambio</w:t>
            </w:r>
          </w:p>
        </w:tc>
        <w:tc>
          <w:tcPr>
            <w:tcW w:type="dxa" w:w="250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Dónde</w:t>
            </w:r>
          </w:p>
        </w:tc>
        <w:tc>
          <w:tcPr>
            <w:tcW w:type="dxa" w:w="3100"/>
            <w:shd w:fill="0D1B2A" w:color="auto" w:val="clear"/>
            <w:tcMar>
              <w:top w:type="dxa" w:w="110"/>
              <w:left w:type="dxa" w:w="130"/>
              <w:bottom w:type="dxa" w:w="110"/>
              <w:right w:type="dxa" w:w="130"/>
            </w:tcMar>
          </w:tcPr>
          <w:p>
            <w:pPr>
              <w:spacing w:after="0" w:before="0" w:line="250"/>
            </w:pPr>
            <w:r>
              <w:rPr>
                <w:rFonts w:ascii="Inter" w:cs="Inter" w:eastAsia="Inter" w:hAnsi="Inter"/>
                <w:b/>
                <w:bCs/>
                <w:color w:val="FFFFFF"/>
                <w:sz w:val="18"/>
                <w:szCs w:val="18"/>
              </w:rPr>
              <w:t xml:space="preserve">Qué desbloquea</w:t>
            </w:r>
          </w:p>
        </w:tc>
      </w:tr>
      <w:tr>
        <w:tc>
          <w:tcPr>
            <w:tcW w:type="dxa" w:w="520"/>
            <w:shd w:fill="FFFFFF" w:color="auto" w:val="clear"/>
            <w:tcMar>
              <w:top w:type="dxa" w:w="110"/>
              <w:left w:type="dxa" w:w="130"/>
              <w:bottom w:type="dxa" w:w="110"/>
              <w:right w:type="dxa" w:w="130"/>
            </w:tcMar>
          </w:tcPr>
          <w:p>
            <w:pPr>
              <w:spacing w:after="0" w:before="0" w:line="250"/>
            </w:pPr>
            <w:r>
              <w:rPr>
                <w:rFonts w:ascii="Inter" w:cs="Inter" w:eastAsia="Inter" w:hAnsi="Inter"/>
                <w:b/>
                <w:bCs/>
                <w:color w:val="009E8E"/>
                <w:sz w:val="18"/>
                <w:szCs w:val="18"/>
              </w:rPr>
              <w:t xml:space="preserve">R1</w:t>
            </w:r>
          </w:p>
        </w:tc>
        <w:tc>
          <w:tcPr>
            <w:tcW w:type="dxa" w:w="29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Dejar de eliminar las piezas sin tema: almacenarlas con array vacío y filtrar en la consulta, no en la ingesta</w:t>
            </w:r>
          </w:p>
        </w:tc>
        <w:tc>
          <w:tcPr>
            <w:tcW w:type="dxa" w:w="2500"/>
            <w:shd w:fill="FFFFFF" w:color="auto" w:val="clear"/>
            <w:tcMar>
              <w:top w:type="dxa" w:w="110"/>
              <w:left w:type="dxa" w:w="130"/>
              <w:bottom w:type="dxa" w:w="110"/>
              <w:right w:type="dxa" w:w="130"/>
            </w:tcMar>
          </w:tcPr>
          <w:p>
            <w:pPr>
              <w:spacing w:after="0" w:before="0" w:line="250"/>
            </w:pPr>
            <w:r>
              <w:rPr>
                <w:rFonts w:ascii="JetBrains Mono" w:cs="JetBrains Mono" w:eastAsia="JetBrains Mono" w:hAnsi="JetBrains Mono"/>
                <w:color w:val="1A2F45"/>
                <w:sz w:val="16"/>
                <w:szCs w:val="16"/>
              </w:rPr>
              <w:t xml:space="preserve">almacenamiento/sqlite.py</w:t>
            </w:r>
          </w:p>
          <w:p>
            <w:pPr>
              <w:spacing w:after="0" w:before="60" w:line="250"/>
            </w:pPr>
            <w:r>
              <w:rPr>
                <w:rFonts w:ascii="JetBrains Mono" w:cs="JetBrains Mono" w:eastAsia="JetBrains Mono" w:hAnsi="JetBrains Mono"/>
                <w:color w:val="1A2F45"/>
                <w:sz w:val="16"/>
                <w:szCs w:val="16"/>
              </w:rPr>
              <w:t xml:space="preserve">almacenamiento/postgres.py</w:t>
            </w:r>
          </w:p>
        </w:tc>
        <w:tc>
          <w:tcPr>
            <w:tcW w:type="dxa" w:w="31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El denominador. Todo el capítulo 4 pasa a «disponible». Levanta A1.</w:t>
            </w:r>
          </w:p>
        </w:tc>
      </w:tr>
      <w:tr>
        <w:tc>
          <w:tcPr>
            <w:tcW w:type="dxa" w:w="520"/>
            <w:shd w:fill="F5F8FA" w:color="auto" w:val="clear"/>
            <w:tcMar>
              <w:top w:type="dxa" w:w="110"/>
              <w:left w:type="dxa" w:w="130"/>
              <w:bottom w:type="dxa" w:w="110"/>
              <w:right w:type="dxa" w:w="130"/>
            </w:tcMar>
          </w:tcPr>
          <w:p>
            <w:pPr>
              <w:spacing w:after="0" w:before="0" w:line="250"/>
            </w:pPr>
            <w:r>
              <w:rPr>
                <w:rFonts w:ascii="Inter" w:cs="Inter" w:eastAsia="Inter" w:hAnsi="Inter"/>
                <w:b/>
                <w:bCs/>
                <w:color w:val="009E8E"/>
                <w:sz w:val="18"/>
                <w:szCs w:val="18"/>
              </w:rPr>
              <w:t xml:space="preserve">R2</w:t>
            </w:r>
          </w:p>
        </w:tc>
        <w:tc>
          <w:tcPr>
            <w:tcW w:type="dxa" w:w="290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Guardar la posición de la pieza en portada como columna explícita</w:t>
            </w:r>
          </w:p>
        </w:tc>
        <w:tc>
          <w:tcPr>
            <w:tcW w:type="dxa" w:w="2500"/>
            <w:shd w:fill="F5F8FA" w:color="auto" w:val="clear"/>
            <w:tcMar>
              <w:top w:type="dxa" w:w="110"/>
              <w:left w:type="dxa" w:w="130"/>
              <w:bottom w:type="dxa" w:w="110"/>
              <w:right w:type="dxa" w:w="130"/>
            </w:tcMar>
          </w:tcPr>
          <w:p>
            <w:pPr>
              <w:spacing w:after="0" w:before="0" w:line="250"/>
            </w:pPr>
            <w:r>
              <w:rPr>
                <w:rFonts w:ascii="JetBrains Mono" w:cs="JetBrains Mono" w:eastAsia="JetBrains Mono" w:hAnsi="JetBrains Mono"/>
                <w:color w:val="1A2F45"/>
                <w:sz w:val="16"/>
                <w:szCs w:val="16"/>
              </w:rPr>
              <w:t xml:space="preserve">recoleccion/orquestador.py</w:t>
            </w:r>
          </w:p>
          <w:p>
            <w:pPr>
              <w:spacing w:after="0" w:before="60" w:line="250"/>
            </w:pPr>
            <w:r>
              <w:rPr>
                <w:rFonts w:ascii="JetBrains Mono" w:cs="JetBrains Mono" w:eastAsia="JetBrains Mono" w:hAnsi="JetBrains Mono"/>
                <w:color w:val="1A2F45"/>
                <w:sz w:val="16"/>
                <w:szCs w:val="16"/>
              </w:rPr>
              <w:t xml:space="preserve">+ columna posicion</w:t>
            </w:r>
          </w:p>
        </w:tc>
        <w:tc>
          <w:tcPr>
            <w:tcW w:type="dxa" w:w="310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La prominencia, que es el mecanismo central de la saliencia. Hoy solo es recuperable de forma aproximada por el orden de id.</w:t>
            </w:r>
          </w:p>
        </w:tc>
      </w:tr>
      <w:tr>
        <w:tc>
          <w:tcPr>
            <w:tcW w:type="dxa" w:w="520"/>
            <w:shd w:fill="FFFFFF" w:color="auto" w:val="clear"/>
            <w:tcMar>
              <w:top w:type="dxa" w:w="110"/>
              <w:left w:type="dxa" w:w="130"/>
              <w:bottom w:type="dxa" w:w="110"/>
              <w:right w:type="dxa" w:w="130"/>
            </w:tcMar>
          </w:tcPr>
          <w:p>
            <w:pPr>
              <w:spacing w:after="0" w:before="0" w:line="250"/>
            </w:pPr>
            <w:r>
              <w:rPr>
                <w:rFonts w:ascii="Inter" w:cs="Inter" w:eastAsia="Inter" w:hAnsi="Inter"/>
                <w:b/>
                <w:bCs/>
                <w:color w:val="009E8E"/>
                <w:sz w:val="18"/>
                <w:szCs w:val="18"/>
              </w:rPr>
              <w:t xml:space="preserve">R3</w:t>
            </w:r>
          </w:p>
        </w:tc>
        <w:tc>
          <w:tcPr>
            <w:tcW w:type="dxa" w:w="29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Registrar la versión del clasificador en cada pieza y añadir un script de reclasificación del corpus completo</w:t>
            </w:r>
          </w:p>
        </w:tc>
        <w:tc>
          <w:tcPr>
            <w:tcW w:type="dxa" w:w="2500"/>
            <w:shd w:fill="FFFFFF" w:color="auto" w:val="clear"/>
            <w:tcMar>
              <w:top w:type="dxa" w:w="110"/>
              <w:left w:type="dxa" w:w="130"/>
              <w:bottom w:type="dxa" w:w="110"/>
              <w:right w:type="dxa" w:w="130"/>
            </w:tcMar>
          </w:tcPr>
          <w:p>
            <w:pPr>
              <w:spacing w:after="0" w:before="0" w:line="250"/>
            </w:pPr>
            <w:r>
              <w:rPr>
                <w:rFonts w:ascii="JetBrains Mono" w:cs="JetBrains Mono" w:eastAsia="JetBrains Mono" w:hAnsi="JetBrains Mono"/>
                <w:color w:val="1A2F45"/>
                <w:sz w:val="16"/>
                <w:szCs w:val="16"/>
              </w:rPr>
              <w:t xml:space="preserve">+ columna clasificador_version</w:t>
            </w:r>
          </w:p>
          <w:p>
            <w:pPr>
              <w:spacing w:after="0" w:before="60" w:line="250"/>
            </w:pPr>
            <w:r>
              <w:rPr>
                <w:rFonts w:ascii="JetBrains Mono" w:cs="JetBrains Mono" w:eastAsia="JetBrains Mono" w:hAnsi="JetBrains Mono"/>
                <w:color w:val="1A2F45"/>
                <w:sz w:val="16"/>
                <w:szCs w:val="16"/>
              </w:rPr>
              <w:t xml:space="preserve">+ bin/reclasificar.py</w:t>
            </w:r>
          </w:p>
        </w:tc>
        <w:tc>
          <w:tcPr>
            <w:tcW w:type="dxa" w:w="31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La comparabilidad longitudinal. Levanta A2.</w:t>
            </w:r>
          </w:p>
        </w:tc>
      </w:tr>
      <w:tr>
        <w:tc>
          <w:tcPr>
            <w:tcW w:type="dxa" w:w="520"/>
            <w:shd w:fill="F5F8FA" w:color="auto" w:val="clear"/>
            <w:tcMar>
              <w:top w:type="dxa" w:w="110"/>
              <w:left w:type="dxa" w:w="130"/>
              <w:bottom w:type="dxa" w:w="110"/>
              <w:right w:type="dxa" w:w="130"/>
            </w:tcMar>
          </w:tcPr>
          <w:p>
            <w:pPr>
              <w:spacing w:after="0" w:before="0" w:line="250"/>
            </w:pPr>
            <w:r>
              <w:rPr>
                <w:rFonts w:ascii="Inter" w:cs="Inter" w:eastAsia="Inter" w:hAnsi="Inter"/>
                <w:b/>
                <w:bCs/>
                <w:color w:val="D4940A"/>
                <w:sz w:val="18"/>
                <w:szCs w:val="18"/>
              </w:rPr>
              <w:t xml:space="preserve">R4</w:t>
            </w:r>
          </w:p>
        </w:tc>
        <w:tc>
          <w:tcPr>
            <w:tcW w:type="dxa" w:w="290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Extraer la fecha real de publicación en las piezas de portada, desde JSON-LD o la etiqueta article:published_time</w:t>
            </w:r>
          </w:p>
        </w:tc>
        <w:tc>
          <w:tcPr>
            <w:tcW w:type="dxa" w:w="2500"/>
            <w:shd w:fill="F5F8FA" w:color="auto" w:val="clear"/>
            <w:tcMar>
              <w:top w:type="dxa" w:w="110"/>
              <w:left w:type="dxa" w:w="130"/>
              <w:bottom w:type="dxa" w:w="110"/>
              <w:right w:type="dxa" w:w="130"/>
            </w:tcMar>
          </w:tcPr>
          <w:p>
            <w:pPr>
              <w:spacing w:after="0" w:before="0" w:line="250"/>
            </w:pPr>
            <w:r>
              <w:rPr>
                <w:rFonts w:ascii="JetBrains Mono" w:cs="JetBrains Mono" w:eastAsia="JetBrains Mono" w:hAnsi="JetBrains Mono"/>
                <w:color w:val="1A2F45"/>
                <w:sz w:val="16"/>
                <w:szCs w:val="16"/>
              </w:rPr>
              <w:t xml:space="preserve">recoleccion/articulo.py</w:t>
            </w:r>
          </w:p>
        </w:tc>
        <w:tc>
          <w:tcPr>
            <w:tcW w:type="dxa" w:w="3100"/>
            <w:shd w:fill="F5F8FA"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El análisis temporal para las 8 cabeceras sin feed. Levanta A3 parcialmente.</w:t>
            </w:r>
          </w:p>
        </w:tc>
      </w:tr>
      <w:tr>
        <w:tc>
          <w:tcPr>
            <w:tcW w:type="dxa" w:w="520"/>
            <w:shd w:fill="FFFFFF" w:color="auto" w:val="clear"/>
            <w:tcMar>
              <w:top w:type="dxa" w:w="110"/>
              <w:left w:type="dxa" w:w="130"/>
              <w:bottom w:type="dxa" w:w="110"/>
              <w:right w:type="dxa" w:w="130"/>
            </w:tcMar>
          </w:tcPr>
          <w:p>
            <w:pPr>
              <w:spacing w:after="0" w:before="0" w:line="250"/>
            </w:pPr>
            <w:r>
              <w:rPr>
                <w:rFonts w:ascii="Inter" w:cs="Inter" w:eastAsia="Inter" w:hAnsi="Inter"/>
                <w:b/>
                <w:bCs/>
                <w:color w:val="D4940A"/>
                <w:sz w:val="18"/>
                <w:szCs w:val="18"/>
              </w:rPr>
              <w:t xml:space="preserve">R5</w:t>
            </w:r>
          </w:p>
        </w:tc>
        <w:tc>
          <w:tcPr>
            <w:tcW w:type="dxa" w:w="29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Aumentar la cadencia a varias ejecuciones diarias y añadir corte temporal al agregado de la nube</w:t>
            </w:r>
          </w:p>
        </w:tc>
        <w:tc>
          <w:tcPr>
            <w:tcW w:type="dxa" w:w="2500"/>
            <w:shd w:fill="FFFFFF" w:color="auto" w:val="clear"/>
            <w:tcMar>
              <w:top w:type="dxa" w:w="110"/>
              <w:left w:type="dxa" w:w="130"/>
              <w:bottom w:type="dxa" w:w="110"/>
              <w:right w:type="dxa" w:w="130"/>
            </w:tcMar>
          </w:tcPr>
          <w:p>
            <w:pPr>
              <w:spacing w:after="0" w:before="0" w:line="250"/>
            </w:pPr>
            <w:r>
              <w:rPr>
                <w:rFonts w:ascii="JetBrains Mono" w:cs="JetBrains Mono" w:eastAsia="JetBrains Mono" w:hAnsi="JetBrains Mono"/>
                <w:color w:val="1A2F45"/>
                <w:sz w:val="16"/>
                <w:szCs w:val="16"/>
              </w:rPr>
              <w:t xml:space="preserve">.github/workflows/</w:t>
            </w:r>
          </w:p>
          <w:p>
            <w:pPr>
              <w:spacing w:after="0" w:before="60" w:line="250"/>
            </w:pPr>
            <w:r>
              <w:rPr>
                <w:rFonts w:ascii="JetBrains Mono" w:cs="JetBrains Mono" w:eastAsia="JetBrains Mono" w:hAnsi="JetBrains Mono"/>
                <w:color w:val="1A2F45"/>
                <w:sz w:val="16"/>
                <w:szCs w:val="16"/>
              </w:rPr>
              <w:t xml:space="preserve">agregados/wordcloud.py</w:t>
            </w:r>
          </w:p>
        </w:tc>
        <w:tc>
          <w:tcPr>
            <w:tcW w:type="dxa" w:w="3100"/>
            <w:shd w:fill="FFFFFF" w:color="auto" w:val="clear"/>
            <w:tcMar>
              <w:top w:type="dxa" w:w="110"/>
              <w:left w:type="dxa" w:w="130"/>
              <w:bottom w:type="dxa" w:w="110"/>
              <w:right w:type="dxa" w:w="130"/>
            </w:tcMar>
          </w:tcPr>
          <w:p>
            <w:pPr>
              <w:spacing w:after="0" w:before="0" w:line="250"/>
            </w:pPr>
            <w:r>
              <w:rPr>
                <w:rFonts w:ascii="Inter" w:cs="Inter" w:eastAsia="Inter" w:hAnsi="Inter"/>
                <w:color w:val="1A2F45"/>
                <w:sz w:val="18"/>
                <w:szCs w:val="18"/>
              </w:rPr>
              <w:t xml:space="preserve">La resolución intradiaria y las series de atributos. Con R4, habilita el capítulo 8.</w:t>
            </w:r>
          </w:p>
        </w:tc>
      </w:tr>
    </w:tbl>
    <w:p>
      <w:pPr>
        <w:spacing w:after="200" w:before="90"/>
      </w:pPr>
      <w:r>
        <w:rPr>
          <w:rFonts w:ascii="Inter" w:cs="Inter" w:eastAsia="Inter" w:hAnsi="Inter"/>
          <w:i/>
          <w:iCs/>
          <w:color w:val="6B8CA5"/>
          <w:sz w:val="16"/>
          <w:szCs w:val="16"/>
        </w:rPr>
        <w:t xml:space="preserve">R1, R2 y R3 son cambios de pocas líneas cada uno. R4 exige extender el extractor existente, que ya lee JSON-LD para otros fines. R5 tiene coste de almacenamiento y de peticiones a los medios, y conviene sopesarlo frente a A8.</w:t>
      </w:r>
    </w:p>
    <w:p>
      <w:pPr>
        <w:spacing w:after="140" w:before="0" w:line="288"/>
      </w:pPr>
      <w:r>
        <w:rPr>
          <w:rFonts w:ascii="Inter" w:cs="Inter" w:eastAsia="Inter" w:hAnsi="Inter"/>
          <w:color w:val="1A2F45"/>
          <w:sz w:val="21"/>
          <w:szCs w:val="21"/>
        </w:rPr>
        <w:t xml:space="preserve">Queda una recomendación transversal que no es un cambio de código: </w:t>
      </w:r>
      <w:r>
        <w:rPr>
          <w:rFonts w:ascii="Inter" w:cs="Inter" w:eastAsia="Inter" w:hAnsi="Inter"/>
          <w:b/>
          <w:bCs/>
          <w:color w:val="1A2F45"/>
          <w:sz w:val="21"/>
          <w:szCs w:val="21"/>
        </w:rPr>
        <w:t xml:space="preserve">versionar el esquema completo de la base</w:t>
      </w:r>
      <w:r>
        <w:rPr>
          <w:rFonts w:ascii="Inter" w:cs="Inter" w:eastAsia="Inter" w:hAnsi="Inter"/>
          <w:color w:val="1A2F45"/>
          <w:sz w:val="21"/>
          <w:szCs w:val="21"/>
        </w:rPr>
        <w:t xml:space="preserve">. Hoy solo el SQL de la nube de palabras está en el repositorio; las tablas principales y la vista pública existen únicamente dentro del proyecto Supabase. Para un observatorio cuyo argumento es la reproducibilidad, es una laguna que conviene cerrar antes que las demás.</w:t>
      </w:r>
    </w:p>
    <w:p>
      <w:pPr>
        <w:pStyle w:val="Heading1"/>
        <w:spacing w:after="170" w:before="460"/>
      </w:pPr>
      <w:r>
        <w:rPr>
          <w:rFonts w:ascii="Space Grotesk" w:cs="Space Grotesk" w:eastAsia="Space Grotesk" w:hAnsi="Space Grotesk"/>
          <w:b/>
          <w:bCs/>
          <w:color w:val="00C8B4"/>
          <w:sz w:val="32"/>
          <w:szCs w:val="32"/>
        </w:rPr>
        <w:t xml:space="preserve">11   </w:t>
      </w:r>
      <w:r>
        <w:rPr>
          <w:rFonts w:ascii="Space Grotesk" w:cs="Space Grotesk" w:eastAsia="Space Grotesk" w:hAnsi="Space Grotesk"/>
          <w:b/>
          <w:bCs/>
          <w:color w:val="1A2F45"/>
          <w:sz w:val="32"/>
          <w:szCs w:val="32"/>
        </w:rPr>
        <w:t xml:space="preserve">Ficha técnica reproducible</w:t>
      </w:r>
    </w:p>
    <w:p>
      <w:pPr>
        <w:spacing w:after="140" w:before="0" w:line="288"/>
      </w:pPr>
      <w:r>
        <w:rPr>
          <w:rFonts w:ascii="Inter" w:cs="Inter" w:eastAsia="Inter" w:hAnsi="Inter"/>
          <w:color w:val="1A2F45"/>
          <w:sz w:val="21"/>
          <w:szCs w:val="21"/>
        </w:rPr>
        <w:t xml:space="preserve">Lo que debe acompañar a cualquier publicación derivada de este corpus. No es burocracia: la mitad de estos campos son los que permiten a un lector externo saber qué significan las cifras.</w:t>
      </w:r>
    </w:p>
    <w:p>
      <w:pPr>
        <w:pStyle w:val="ListParagraph"/>
        <w:numPr>
          <w:ilvl w:val="0"/>
          <w:numId w:val="2"/>
        </w:numPr>
        <w:spacing w:after="80" w:line="280"/>
      </w:pPr>
      <w:r>
        <w:rPr>
          <w:rFonts w:ascii="Inter" w:cs="Inter" w:eastAsia="Inter" w:hAnsi="Inter"/>
          <w:color w:val="1A2F45"/>
          <w:sz w:val="21"/>
          <w:szCs w:val="21"/>
        </w:rPr>
        <w:t xml:space="preserve">Ventana temporal del corpus y número de piezas, por cabecera.</w:t>
      </w:r>
    </w:p>
    <w:p>
      <w:pPr>
        <w:pStyle w:val="ListParagraph"/>
        <w:numPr>
          <w:ilvl w:val="0"/>
          <w:numId w:val="2"/>
        </w:numPr>
        <w:spacing w:after="80" w:line="280"/>
      </w:pPr>
      <w:r>
        <w:rPr>
          <w:rFonts w:ascii="Inter" w:cs="Inter" w:eastAsia="Inter" w:hAnsi="Inter"/>
          <w:color w:val="1A2F45"/>
          <w:sz w:val="21"/>
          <w:szCs w:val="21"/>
        </w:rPr>
        <w:t xml:space="preserve">Universo declarado (14) y universo efectivo (12), nombrando las cabeceras excluidas y el motivo.</w:t>
      </w:r>
    </w:p>
    <w:p>
      <w:pPr>
        <w:pStyle w:val="ListParagraph"/>
        <w:numPr>
          <w:ilvl w:val="0"/>
          <w:numId w:val="2"/>
        </w:numPr>
        <w:spacing w:after="80" w:line="280"/>
      </w:pPr>
      <w:r>
        <w:rPr>
          <w:rFonts w:ascii="Inter" w:cs="Inter" w:eastAsia="Inter" w:hAnsi="Inter"/>
          <w:color w:val="1A2F45"/>
          <w:sz w:val="21"/>
          <w:szCs w:val="21"/>
        </w:rPr>
        <w:t xml:space="preserve">Cuota de raspado por cabecera, y advertencia de que los volúmenes brutos no son comparables entre medios.</w:t>
      </w:r>
    </w:p>
    <w:p>
      <w:pPr>
        <w:pStyle w:val="ListParagraph"/>
        <w:numPr>
          <w:ilvl w:val="0"/>
          <w:numId w:val="2"/>
        </w:numPr>
        <w:spacing w:after="80" w:line="280"/>
      </w:pPr>
      <w:r>
        <w:rPr>
          <w:rFonts w:ascii="Inter" w:cs="Inter" w:eastAsia="Inter" w:hAnsi="Inter"/>
          <w:color w:val="1A2F45"/>
          <w:sz w:val="21"/>
          <w:szCs w:val="21"/>
        </w:rPr>
        <w:t xml:space="preserve">Naturaleza del denominador: agenda temática de ODESOCAN o producción total, según se haya aplicado R1.</w:t>
      </w:r>
    </w:p>
    <w:p>
      <w:pPr>
        <w:pStyle w:val="ListParagraph"/>
        <w:numPr>
          <w:ilvl w:val="0"/>
          <w:numId w:val="2"/>
        </w:numPr>
        <w:spacing w:after="80" w:line="280"/>
      </w:pPr>
      <w:r>
        <w:rPr>
          <w:rFonts w:ascii="Inter" w:cs="Inter" w:eastAsia="Inter" w:hAnsi="Inter"/>
          <w:color w:val="1A2F45"/>
          <w:sz w:val="21"/>
          <w:szCs w:val="21"/>
        </w:rPr>
        <w:t xml:space="preserve">Regla de ponderación de piezas multitema: recuento pleno o peso fraccionado.</w:t>
      </w:r>
    </w:p>
    <w:p>
      <w:pPr>
        <w:pStyle w:val="ListParagraph"/>
        <w:numPr>
          <w:ilvl w:val="0"/>
          <w:numId w:val="2"/>
        </w:numPr>
        <w:spacing w:after="80" w:line="280"/>
      </w:pPr>
      <w:r>
        <w:rPr>
          <w:rFonts w:ascii="Inter" w:cs="Inter" w:eastAsia="Inter" w:hAnsi="Inter"/>
          <w:color w:val="1A2F45"/>
          <w:sz w:val="21"/>
          <w:szCs w:val="21"/>
        </w:rPr>
        <w:t xml:space="preserve">Fiabilidad de la marca temporal, desglosada por procedencia (feed, JSON-LD, sintética).</w:t>
      </w:r>
    </w:p>
    <w:p>
      <w:pPr>
        <w:pStyle w:val="ListParagraph"/>
        <w:numPr>
          <w:ilvl w:val="0"/>
          <w:numId w:val="2"/>
        </w:numPr>
        <w:spacing w:after="80" w:line="280"/>
      </w:pPr>
      <w:r>
        <w:rPr>
          <w:rFonts w:ascii="Inter" w:cs="Inter" w:eastAsia="Inter" w:hAnsi="Inter"/>
          <w:color w:val="1A2F45"/>
          <w:sz w:val="21"/>
          <w:szCs w:val="21"/>
        </w:rPr>
        <w:t xml:space="preserve">Cobertura de texto completo por cabecera, si el análisis usa el cuerpo del artículo.</w:t>
      </w:r>
    </w:p>
    <w:p>
      <w:pPr>
        <w:pStyle w:val="ListParagraph"/>
        <w:numPr>
          <w:ilvl w:val="0"/>
          <w:numId w:val="2"/>
        </w:numPr>
        <w:spacing w:after="80" w:line="280"/>
      </w:pPr>
      <w:r>
        <w:rPr>
          <w:rFonts w:ascii="Inter" w:cs="Inter" w:eastAsia="Inter" w:hAnsi="Inter"/>
          <w:color w:val="1A2F45"/>
          <w:sz w:val="21"/>
          <w:szCs w:val="21"/>
        </w:rPr>
        <w:t xml:space="preserve">Versión del diccionario de temas empleada, identificada por el commit del repositorio, y si el corpus fue reclasificado o arrastra etiquetas de versiones anteriores.</w:t>
      </w:r>
    </w:p>
    <w:p>
      <w:pPr>
        <w:pStyle w:val="ListParagraph"/>
        <w:numPr>
          <w:ilvl w:val="0"/>
          <w:numId w:val="2"/>
        </w:numPr>
        <w:spacing w:after="80" w:line="280"/>
      </w:pPr>
      <w:r>
        <w:rPr>
          <w:rFonts w:ascii="Inter" w:cs="Inter" w:eastAsia="Inter" w:hAnsi="Inter"/>
          <w:color w:val="1A2F45"/>
          <w:sz w:val="21"/>
          <w:szCs w:val="21"/>
        </w:rPr>
        <w:t xml:space="preserve">Para análisis de encuadre: libro de códigos completo, número de codificadores, tamaño de la submuestra de fiabilidad y α de Krippendorff obtenida.</w:t>
      </w:r>
    </w:p>
    <w:p>
      <w:pPr>
        <w:pStyle w:val="ListParagraph"/>
        <w:numPr>
          <w:ilvl w:val="0"/>
          <w:numId w:val="2"/>
        </w:numPr>
        <w:spacing w:after="80" w:line="280"/>
      </w:pPr>
      <w:r>
        <w:rPr>
          <w:rFonts w:ascii="Inter" w:cs="Inter" w:eastAsia="Inter" w:hAnsi="Inter"/>
          <w:color w:val="1A2F45"/>
          <w:sz w:val="21"/>
          <w:szCs w:val="21"/>
        </w:rPr>
        <w:t xml:space="preserve">Declaración ética y jurídica sobre la recolección automatizada.</w:t>
      </w:r>
    </w:p>
    <w:p>
      <w:pPr>
        <w:spacing w:after="140" w:before="180" w:line="288"/>
      </w:pPr>
      <w:r>
        <w:rPr>
          <w:rFonts w:ascii="Inter" w:cs="Inter" w:eastAsia="Inter" w:hAnsi="Inter"/>
          <w:color w:val="1A2F45"/>
          <w:sz w:val="21"/>
          <w:szCs w:val="21"/>
        </w:rPr>
        <w:t xml:space="preserve">El repositorio es parte de la ficha técnica. El código que produjo las cifras está versionado en </w:t>
      </w:r>
      <w:r>
        <w:rPr>
          <w:rFonts w:ascii="JetBrains Mono" w:cs="JetBrains Mono" w:eastAsia="JetBrains Mono" w:hAnsi="JetBrains Mono"/>
          <w:color w:val="009E8E"/>
          <w:sz w:val="19"/>
          <w:szCs w:val="19"/>
        </w:rPr>
        <w:t xml:space="preserve">github.com/Odesocan/medios-odesocan</w:t>
      </w:r>
      <w:r>
        <w:rPr>
          <w:rFonts w:ascii="Inter" w:cs="Inter" w:eastAsia="Inter" w:hAnsi="Inter"/>
          <w:color w:val="1A2F45"/>
          <w:sz w:val="21"/>
          <w:szCs w:val="21"/>
        </w:rPr>
        <w:t xml:space="preserve">, y citar el commit concreto convierte una afirmación en una afirmación verificable.</w:t>
      </w:r>
    </w:p>
    <w:p>
      <w:pPr>
        <w:pStyle w:val="Heading1"/>
        <w:spacing w:after="170" w:before="460"/>
      </w:pPr>
      <w:r>
        <w:rPr>
          <w:rFonts w:ascii="Space Grotesk" w:cs="Space Grotesk" w:eastAsia="Space Grotesk" w:hAnsi="Space Grotesk"/>
          <w:b/>
          <w:bCs/>
          <w:color w:val="00C8B4"/>
          <w:sz w:val="32"/>
          <w:szCs w:val="32"/>
        </w:rPr>
        <w:t xml:space="preserve">12   </w:t>
      </w:r>
      <w:r>
        <w:rPr>
          <w:rFonts w:ascii="Space Grotesk" w:cs="Space Grotesk" w:eastAsia="Space Grotesk" w:hAnsi="Space Grotesk"/>
          <w:b/>
          <w:bCs/>
          <w:color w:val="1A2F45"/>
          <w:sz w:val="32"/>
          <w:szCs w:val="32"/>
        </w:rPr>
        <w:t xml:space="preserve">Referencias</w:t>
      </w:r>
    </w:p>
    <w:p>
      <w:pPr>
        <w:spacing w:after="100" w:before="220"/>
      </w:pPr>
      <w:r>
        <w:rPr>
          <w:rFonts w:ascii="Space Grotesk" w:cs="Space Grotesk" w:eastAsia="Space Grotesk" w:hAnsi="Space Grotesk"/>
          <w:b/>
          <w:bCs/>
          <w:i/>
          <w:iCs/>
          <w:color w:val="009E8E"/>
          <w:sz w:val="19"/>
          <w:szCs w:val="19"/>
        </w:rPr>
        <w:t xml:space="preserve">Establecimiento de agenda y priming</w:t>
      </w:r>
    </w:p>
    <w:p>
      <w:pPr>
        <w:spacing w:after="110" w:line="280"/>
        <w:ind w:left="400" w:hanging="400"/>
      </w:pPr>
      <w:r>
        <w:rPr>
          <w:rFonts w:ascii="Inter" w:cs="Inter" w:eastAsia="Inter" w:hAnsi="Inter"/>
          <w:color w:val="1A2F45"/>
          <w:sz w:val="19"/>
          <w:szCs w:val="19"/>
        </w:rPr>
        <w:t xml:space="preserve">McCombs, M. E., y Shaw, D. L. (1972). The agenda-setting function of mass media. Public Opinion Quarterly, 36(2), 176–187.</w:t>
      </w:r>
    </w:p>
    <w:p>
      <w:pPr>
        <w:spacing w:after="110" w:line="280"/>
        <w:ind w:left="400" w:hanging="400"/>
      </w:pPr>
      <w:r>
        <w:rPr>
          <w:rFonts w:ascii="Inter" w:cs="Inter" w:eastAsia="Inter" w:hAnsi="Inter"/>
          <w:color w:val="1A2F45"/>
          <w:sz w:val="19"/>
          <w:szCs w:val="19"/>
        </w:rPr>
        <w:t xml:space="preserve">Iyengar, S., y Kinder, D. R. (1987). News That Matters: Television and American Opinion. University of Chicago Press.</w:t>
      </w:r>
    </w:p>
    <w:p>
      <w:pPr>
        <w:spacing w:after="110" w:line="280"/>
        <w:ind w:left="400" w:hanging="400"/>
      </w:pPr>
      <w:r>
        <w:rPr>
          <w:rFonts w:ascii="Inter" w:cs="Inter" w:eastAsia="Inter" w:hAnsi="Inter"/>
          <w:color w:val="1A2F45"/>
          <w:sz w:val="19"/>
          <w:szCs w:val="19"/>
        </w:rPr>
        <w:t xml:space="preserve">Scheufele, D. A., y Tewksbury, D. (2007). Framing, agenda setting, and priming: The evolution of three media effects models. Journal of Communication, 57(1), 9–20.</w:t>
      </w:r>
    </w:p>
    <w:p>
      <w:pPr>
        <w:spacing w:after="110" w:line="280"/>
        <w:ind w:left="400" w:hanging="400"/>
      </w:pPr>
      <w:r>
        <w:rPr>
          <w:rFonts w:ascii="Inter" w:cs="Inter" w:eastAsia="Inter" w:hAnsi="Inter"/>
          <w:color w:val="1A2F45"/>
          <w:sz w:val="19"/>
          <w:szCs w:val="19"/>
        </w:rPr>
        <w:t xml:space="preserve">Vliegenthart, R., y Walgrave, S. (2008). The contingency of intermedia agenda setting: A longitudinal study in Belgium. Journalism &amp; Mass Communication Quarterly, 85(4), 860–877.</w:t>
      </w:r>
    </w:p>
    <w:p>
      <w:pPr>
        <w:spacing w:after="100" w:before="220"/>
      </w:pPr>
      <w:r>
        <w:rPr>
          <w:rFonts w:ascii="Space Grotesk" w:cs="Space Grotesk" w:eastAsia="Space Grotesk" w:hAnsi="Space Grotesk"/>
          <w:b/>
          <w:bCs/>
          <w:i/>
          <w:iCs/>
          <w:color w:val="009E8E"/>
          <w:sz w:val="19"/>
          <w:szCs w:val="19"/>
        </w:rPr>
        <w:t xml:space="preserve">Encuadre</w:t>
      </w:r>
    </w:p>
    <w:p>
      <w:pPr>
        <w:spacing w:after="110" w:line="280"/>
        <w:ind w:left="400" w:hanging="400"/>
      </w:pPr>
      <w:r>
        <w:rPr>
          <w:rFonts w:ascii="Inter" w:cs="Inter" w:eastAsia="Inter" w:hAnsi="Inter"/>
          <w:color w:val="1A2F45"/>
          <w:sz w:val="19"/>
          <w:szCs w:val="19"/>
        </w:rPr>
        <w:t xml:space="preserve">Entman, R. M. (1993). Framing: Toward clarification of a fractured paradigm. Journal of Communication, 43(4), 51–58.</w:t>
      </w:r>
    </w:p>
    <w:p>
      <w:pPr>
        <w:spacing w:after="110" w:line="280"/>
        <w:ind w:left="400" w:hanging="400"/>
      </w:pPr>
      <w:r>
        <w:rPr>
          <w:rFonts w:ascii="Inter" w:cs="Inter" w:eastAsia="Inter" w:hAnsi="Inter"/>
          <w:color w:val="1A2F45"/>
          <w:sz w:val="19"/>
          <w:szCs w:val="19"/>
        </w:rPr>
        <w:t xml:space="preserve">Semetko, H. A., y Valkenburg, P. M. (2000). Framing European politics: A content analysis of press and television news. Journal of Communication, 50(2), 93–109.</w:t>
      </w:r>
    </w:p>
    <w:p>
      <w:pPr>
        <w:spacing w:after="100" w:before="220"/>
      </w:pPr>
      <w:r>
        <w:rPr>
          <w:rFonts w:ascii="Space Grotesk" w:cs="Space Grotesk" w:eastAsia="Space Grotesk" w:hAnsi="Space Grotesk"/>
          <w:b/>
          <w:bCs/>
          <w:i/>
          <w:iCs/>
          <w:color w:val="009E8E"/>
          <w:sz w:val="19"/>
          <w:szCs w:val="19"/>
        </w:rPr>
        <w:t xml:space="preserve">Método y medición</w:t>
      </w:r>
    </w:p>
    <w:p>
      <w:pPr>
        <w:spacing w:after="110" w:line="280"/>
        <w:ind w:left="400" w:hanging="400"/>
      </w:pPr>
      <w:r>
        <w:rPr>
          <w:rFonts w:ascii="Inter" w:cs="Inter" w:eastAsia="Inter" w:hAnsi="Inter"/>
          <w:color w:val="1A2F45"/>
          <w:sz w:val="19"/>
          <w:szCs w:val="19"/>
        </w:rPr>
        <w:t xml:space="preserve">Krippendorff, K. (2004). Content Analysis: An Introduction to Its Methodology (2.ª ed.). Sage.</w:t>
      </w:r>
    </w:p>
    <w:p>
      <w:pPr>
        <w:spacing w:after="110" w:line="280"/>
        <w:ind w:left="400" w:hanging="400"/>
      </w:pPr>
      <w:r>
        <w:rPr>
          <w:rFonts w:ascii="Inter" w:cs="Inter" w:eastAsia="Inter" w:hAnsi="Inter"/>
          <w:color w:val="1A2F45"/>
          <w:sz w:val="19"/>
          <w:szCs w:val="19"/>
        </w:rPr>
        <w:t xml:space="preserve">Monroe, B. L., Colaresi, M. P., y Quinn, K. M. (2008). Fightin’ words: Lexical feature selection and evaluation for identifying the content of political conflict. Political Analysis, 16(4), 372–403.</w:t>
      </w:r>
    </w:p>
    <w:p>
      <w:pPr>
        <w:spacing w:after="110" w:line="280"/>
        <w:ind w:left="400" w:hanging="400"/>
      </w:pPr>
      <w:r>
        <w:rPr>
          <w:rFonts w:ascii="Inter" w:cs="Inter" w:eastAsia="Inter" w:hAnsi="Inter"/>
          <w:color w:val="1A2F45"/>
          <w:sz w:val="19"/>
          <w:szCs w:val="19"/>
        </w:rPr>
        <w:t xml:space="preserve">Boydstun, A. E., Bevan, S., y Thomas, H. F. (2014). The importance of attention diversity and how to measure it. Policy Studies Journal, 42(2), 173–196.</w:t>
      </w:r>
    </w:p>
    <w:p>
      <w:pPr>
        <w:spacing w:after="100" w:before="220"/>
      </w:pPr>
      <w:r>
        <w:rPr>
          <w:rFonts w:ascii="Space Grotesk" w:cs="Space Grotesk" w:eastAsia="Space Grotesk" w:hAnsi="Space Grotesk"/>
          <w:b/>
          <w:bCs/>
          <w:i/>
          <w:iCs/>
          <w:color w:val="009E8E"/>
          <w:sz w:val="19"/>
          <w:szCs w:val="19"/>
        </w:rPr>
        <w:t xml:space="preserve">Documentación del proyecto</w:t>
      </w:r>
    </w:p>
    <w:p>
      <w:pPr>
        <w:spacing w:after="110" w:line="280"/>
        <w:ind w:left="400" w:hanging="400"/>
      </w:pPr>
      <w:r>
        <w:rPr>
          <w:rFonts w:ascii="Inter" w:cs="Inter" w:eastAsia="Inter" w:hAnsi="Inter"/>
          <w:color w:val="1A2F45"/>
          <w:sz w:val="19"/>
          <w:szCs w:val="19"/>
        </w:rPr>
        <w:t xml:space="preserve">ODESOCAN (2026). medios-odesocan: ARQUITECTURA.md. Índice técnico de la infraestructura del observatorio.</w:t>
      </w:r>
    </w:p>
    <w:p>
      <w:pPr>
        <w:spacing w:after="110" w:line="280"/>
        <w:ind w:left="400" w:hanging="400"/>
      </w:pPr>
      <w:r>
        <w:rPr>
          <w:rFonts w:ascii="Inter" w:cs="Inter" w:eastAsia="Inter" w:hAnsi="Inter"/>
          <w:color w:val="1A2F45"/>
          <w:sz w:val="19"/>
          <w:szCs w:val="19"/>
        </w:rPr>
        <w:t xml:space="preserve">ODESOCAN (2026). medios-odesocan: README.md. Estado operativo de los pipelines y decisiones de diseño.</w:t>
      </w:r>
    </w:p>
    <w:p>
      <w:pPr>
        <w:spacing w:before="260"/>
      </w:pPr>
      <w:r>
        <w:rPr>
          <w:rFonts w:ascii="Inter" w:cs="Inter" w:eastAsia="Inter" w:hAnsi="Inter"/>
          <w:i/>
          <w:iCs/>
          <w:color w:val="6B8CA5"/>
          <w:sz w:val="17"/>
          <w:szCs w:val="17"/>
        </w:rPr>
        <w:t xml:space="preserve">Las referencias académicas son citas canónicas de la disciplina; conviene cotejarlas con los originales antes de incorporarlas a una publicación.</w:t>
      </w:r>
    </w:p>
    <w:sectPr>
      <w:headerReference w:type="default" r:id="rId7"/>
      <w:footerReference w:type="default" r:id="rId8"/>
      <w:pgSz w:w="11906" w:h="16838" w:orient="portrait"/>
      <w:pgMar w:top="1500" w:right="1440" w:bottom="1440" w:left="1440" w:header="70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0"/>
        <w:tab w:val="right" w:pos="9020"/>
      </w:tabs>
    </w:pPr>
    <w:r>
      <w:rPr>
        <w:rFonts w:ascii="Inter" w:cs="Inter" w:eastAsia="Inter" w:hAnsi="Inter"/>
        <w:color w:val="6B8CA5"/>
        <w:sz w:val="15"/>
        <w:szCs w:val="15"/>
      </w:rPr>
      <w:t xml:space="preserve">Observatorio de Medios de Canarias</w:t>
    </w:r>
    <w:r>
      <w:tab/>
    </w:r>
    <w:r>
      <w:rPr>
        <w:rFonts w:ascii="Space Grotesk" w:cs="Space Grotesk" w:eastAsia="Space Grotesk" w:hAnsi="Space Grotesk"/>
        <w:b/>
        <w:bCs/>
        <w:color w:val="00C8B4"/>
        <w:sz w:val="15"/>
        <w:szCs w:val="15"/>
      </w:rPr>
      <w:t xml:space="preserve">ODESOCAN</w:t>
    </w:r>
    <w:r>
      <w:tab/>
    </w:r>
    <w:r>
      <w:rPr>
        <w:rFonts w:ascii="Inter" w:cs="Inter" w:eastAsia="Inter" w:hAnsi="Inter"/>
        <w:color w:val="6B8CA5"/>
        <w:sz w:val="15"/>
        <w:szCs w:val="15"/>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B4" w:sz="6" w:space="8"/>
      </w:pBdr>
      <w:tabs>
        <w:tab w:val="right" w:pos="9020"/>
      </w:tabs>
    </w:pPr>
    <w:r>
      <w:rPr>
        <w:rFonts w:ascii="Space Grotesk" w:cs="Space Grotesk" w:eastAsia="Space Grotesk" w:hAnsi="Space Grotesk"/>
        <w:b/>
        <w:bCs/>
        <w:color w:val="1A2F45"/>
        <w:sz w:val="15"/>
        <w:szCs w:val="15"/>
      </w:rPr>
      <w:t xml:space="preserve">ODESOCAN · Observatorio de Derechos Sociales de Canarias</w:t>
    </w:r>
    <w:r>
      <w:tab/>
    </w:r>
    <w:r>
      <w:rPr>
        <w:rFonts w:ascii="Space Grotesk" w:cs="Space Grotesk" w:eastAsia="Space Grotesk" w:hAnsi="Space Grotesk"/>
        <w:i/>
        <w:iCs/>
        <w:color w:val="6B8CA5"/>
        <w:sz w:val="15"/>
        <w:szCs w:val="15"/>
      </w:rPr>
      <w:t xml:space="preserve">CUADERNO METODOLÓGICO · Septiembre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rFonts w:ascii="Inter" w:cs="Inter" w:eastAsia="Inter" w:hAnsi="Inter"/>
        <w:color w:val="00C8B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2F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Cuaderno metodológico · Observatorio de Medios de Canarias</dc:title>
  <dc:creator>ODESOCAN · Observatorio de Derechos Sociales de Canarias</dc:creator>
  <dc:description>Traducción de agenda setting, framing y priming a indicadores calculables sobre el corpus de medios-odesocan.</dc:description>
  <cp:lastModifiedBy>Un-named</cp:lastModifiedBy>
  <cp:revision>1</cp:revision>
  <dcterms:created xsi:type="dcterms:W3CDTF">2026-09-07T10:13:48.968Z</dcterms:created>
  <dcterms:modified xsi:type="dcterms:W3CDTF">2026-09-07T10:13:48.968Z</dcterms:modified>
</cp:coreProperties>
</file>

<file path=docProps/custom.xml><?xml version="1.0" encoding="utf-8"?>
<Properties xmlns="http://schemas.openxmlformats.org/officeDocument/2006/custom-properties" xmlns:vt="http://schemas.openxmlformats.org/officeDocument/2006/docPropsVTypes"/>
</file>