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ANEXOS II – V · FORMULARIOS</w:t>
      </w:r>
    </w:p>
    <w:p>
      <w:pPr>
        <w:spacing w:after="0" w:before="300"/>
      </w:pPr>
      <w:r>
        <w:rPr>
          <w:rFonts w:ascii="Space Grotesk" w:cs="Space Grotesk" w:eastAsia="Space Grotesk" w:hAnsi="Space Grotesk"/>
          <w:b/>
          <w:bCs/>
          <w:color w:val="0D1B2A"/>
          <w:sz w:val="56"/>
          <w:szCs w:val="56"/>
        </w:rPr>
        <w:t xml:space="preserve">Documentación del análisis</w:t>
      </w:r>
    </w:p>
    <w:p>
      <w:pPr>
        <w:spacing w:after="480" w:before="180"/>
      </w:pPr>
      <w:r>
        <w:rPr>
          <w:rFonts w:ascii="Inter" w:cs="Inter" w:eastAsia="Inter" w:hAnsi="Inter"/>
          <w:i/>
          <w:iCs/>
          <w:color w:val="6B8CA5"/>
          <w:sz w:val="24"/>
          <w:szCs w:val="24"/>
        </w:rPr>
        <w:t xml:space="preserve">Formularios a cumplimentar para informar cualquier análisis derivado del Observatorio de Medios de Canarias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Documento principal: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Cuaderno metodológico · Observatorio de Medios de Canarias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Investigación: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ODESOCAN · Observatorio de Derechos Sociales de Canarias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Tipo de documento: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Anexos de formulario · plantilla en blanco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aps/>
          <w:color w:val="6B8CA5"/>
          <w:spacing w:val="40"/>
          <w:sz w:val="16"/>
          <w:szCs w:val="16"/>
        </w:rPr>
        <w:t xml:space="preserve">Versión de la plantilla:</w:t>
      </w:r>
      <w:r>
        <w:rPr>
          <w:rFonts w:ascii="Inter" w:cs="Inter" w:eastAsia="Inter" w:hAnsi="Inter"/>
          <w:color w:val="1A2F45"/>
          <w:sz w:val="20"/>
          <w:szCs w:val="20"/>
        </w:rPr>
        <w:t xml:space="preserve">   Septiembre de 2026, segunda edición del cuaderno</w:t>
      </w:r>
    </w:p>
    <w:p>
      <w:pPr>
        <w:spacing w:before="480"/>
      </w:pPr>
    </w:p>
    <w:tbl>
      <w:tblPr>
        <w:tblW w:type="dxa" w:w="9020"/>
        <w:tblBorders>
          <w:top w:val="none" w:color="FFFFFF" w:sz="0"/>
          <w:left w:val="single" w:color="00C8B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200"/>
              <w:left w:type="dxa" w:w="260"/>
              <w:bottom w:type="dxa" w:w="200"/>
              <w:right w:type="dxa" w:w="240"/>
            </w:tcMar>
          </w:tcPr>
          <w:p>
            <w:pPr>
              <w:spacing w:after="11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C8B4"/>
                <w:spacing w:val="24"/>
                <w:sz w:val="17"/>
                <w:szCs w:val="17"/>
              </w:rPr>
              <w:t xml:space="preserve">Para qué sirven</w:t>
            </w:r>
          </w:p>
          <w:p>
            <w:pPr>
              <w:spacing w:after="140" w:before="0" w:line="288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Un análisis del observatorio no queda documentado por su texto: queda documentado por las decisiones que se tomaron para producirlo. Estos cuatro formularios recogen esas decisiones en un formato fijo, de modo que quien lea el análisis —dentro del equipo o fuera— pueda saber exactamente qué se midió, sobre qué corpus y bajo qué supuestos.</w:t>
            </w:r>
          </w:p>
          <w:p>
            <w:pPr>
              <w:spacing w:after="0" w:before="0" w:line="288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El cuaderno metodológico explica el porqué de cada campo. Estos anexos son solo el registro: se rellenan una vez por análisis y se archivan junto a él.</w:t>
            </w:r>
          </w:p>
        </w:tc>
      </w:tr>
    </w:tbl>
    <w:p>
      <w:r>
        <w:br w:type="page"/>
      </w:r>
    </w:p>
    <w:p>
      <w:pPr>
        <w:pStyle w:val="Heading1"/>
        <w:spacing w:after="170" w:before="460"/>
      </w:pPr>
      <w:r>
        <w:rPr>
          <w:rFonts w:ascii="Space Grotesk" w:cs="Space Grotesk" w:eastAsia="Space Grotesk" w:hAnsi="Space Grotesk"/>
          <w:b/>
          <w:bCs/>
          <w:color w:val="00C8B4"/>
          <w:sz w:val="32"/>
          <w:szCs w:val="32"/>
        </w:rPr>
        <w:t xml:space="preserve">   </w:t>
      </w:r>
      <w:r>
        <w:rPr>
          <w:rFonts w:ascii="Space Grotesk" w:cs="Space Grotesk" w:eastAsia="Space Grotesk" w:hAnsi="Space Grotesk"/>
          <w:b/>
          <w:bCs/>
          <w:color w:val="1A2F45"/>
          <w:sz w:val="32"/>
          <w:szCs w:val="32"/>
        </w:rPr>
        <w:t xml:space="preserve">Cómo usar estos formularios</w:t>
      </w:r>
    </w:p>
    <w:p>
      <w:pPr>
        <w:spacing w:after="60" w:before="33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20"/>
          <w:sz w:val="17"/>
          <w:szCs w:val="17"/>
        </w:rPr>
        <w:t xml:space="preserve">Tabla 1.  </w:t>
      </w:r>
      <w:r>
        <w:rPr>
          <w:rFonts w:ascii="Space Grotesk" w:cs="Space Grotesk" w:eastAsia="Space Grotesk" w:hAnsi="Space Grotesk"/>
          <w:b/>
          <w:bCs/>
          <w:color w:val="1A2F45"/>
          <w:sz w:val="19"/>
          <w:szCs w:val="19"/>
        </w:rPr>
        <w:t xml:space="preserve">Qué formulario rellenar y cuándo</w:t>
      </w:r>
    </w:p>
    <w:tbl>
      <w:tblPr>
        <w:tblW w:type="dxa" w:w="9020"/>
        <w:tblBorders>
          <w:top w:val="single" w:color="E4EDF5" w:sz="2"/>
          <w:left w:val="none" w:color="FFFFFF" w:sz="0"/>
          <w:bottom w:val="single" w:color="E4EDF5" w:sz="2"/>
          <w:right w:val="none" w:color="FFFFFF" w:sz="0"/>
          <w:insideH w:val="single" w:color="E4EDF5" w:sz="2"/>
          <w:insideV w:val="none" w:color="FFFFFF" w:sz="0"/>
        </w:tblBorders>
      </w:tblPr>
      <w:tblGrid>
        <w:gridCol w:w="900"/>
        <w:gridCol w:w="5120"/>
        <w:gridCol w:w="3000"/>
      </w:tblGrid>
      <w:tr>
        <w:trPr>
          <w:tblHeader/>
        </w:trPr>
        <w:tc>
          <w:tcPr>
            <w:tcW w:type="dxa" w:w="90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Anexo</w:t>
            </w:r>
          </w:p>
        </w:tc>
        <w:tc>
          <w:tcPr>
            <w:tcW w:type="dxa" w:w="512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000"/>
            <w:shd w:fill="0D1B2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Cuándo se rellena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II</w:t>
            </w:r>
          </w:p>
        </w:tc>
        <w:tc>
          <w:tcPr>
            <w:tcW w:type="dxa" w:w="512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Ficha técnica del análisis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90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III</w:t>
            </w:r>
          </w:p>
        </w:tc>
        <w:tc>
          <w:tcPr>
            <w:tcW w:type="dxa" w:w="512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Registro de decisiones analíticas</w:t>
            </w:r>
          </w:p>
        </w:tc>
        <w:tc>
          <w:tcPr>
            <w:tcW w:type="dxa" w:w="300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IV</w:t>
            </w:r>
          </w:p>
        </w:tc>
        <w:tc>
          <w:tcPr>
            <w:tcW w:type="dxa" w:w="512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Libro de códigos de encuadre y fiabilidad intercodificadora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Solo si el análisis incluye codificación de marcos</w:t>
            </w:r>
          </w:p>
        </w:tc>
      </w:tr>
      <w:tr>
        <w:tc>
          <w:tcPr>
            <w:tcW w:type="dxa" w:w="90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b/>
                <w:bCs/>
                <w:color w:val="009E8E"/>
                <w:sz w:val="18"/>
                <w:szCs w:val="18"/>
              </w:rPr>
              <w:t xml:space="preserve">V</w:t>
            </w:r>
          </w:p>
        </w:tc>
        <w:tc>
          <w:tcPr>
            <w:tcW w:type="dxa" w:w="512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Declaración ética y jurídica de la recolección</w:t>
            </w:r>
          </w:p>
        </w:tc>
        <w:tc>
          <w:tcPr>
            <w:tcW w:type="dxa" w:w="3000"/>
            <w:shd w:fill="F5F8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Inter" w:cs="Inter" w:eastAsia="Inter" w:hAnsi="Inter"/>
                <w:color w:val="1A2F45"/>
                <w:sz w:val="18"/>
                <w:szCs w:val="18"/>
              </w:rPr>
              <w:t xml:space="preserve">Siempre que el análisis se publique fuera del equipo</w:t>
            </w:r>
          </w:p>
        </w:tc>
      </w:tr>
    </w:tbl>
    <w:p>
      <w:pPr>
        <w:spacing w:after="200" w:before="90"/>
      </w:pPr>
      <w:r>
        <w:rPr>
          <w:rFonts w:ascii="Inter" w:cs="Inter" w:eastAsia="Inter" w:hAnsi="Inter"/>
          <w:i/>
          <w:iCs/>
          <w:color w:val="6B8CA5"/>
          <w:sz w:val="16"/>
          <w:szCs w:val="16"/>
        </w:rPr>
        <w:t xml:space="preserve">El Anexo I, la arquitectura técnica del observatorio, es documentación de referencia y no se rellena.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Dos advertencias antes de empezar, ambas desarrolladas en el cuaderno: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1A2F45"/>
          <w:sz w:val="21"/>
          <w:szCs w:val="21"/>
        </w:rPr>
        <w:t xml:space="preserve">El corpus está partido en dos regímenes de medida. 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Los cinco cambios de instrumentación de septiembre de 2026 no son retroactivos, así que el tramo anterior carece de denominador, permanencia y posición, y no puede tenerlos. El Anexo II obliga a declarar qué tramo se usa; el Anexo III, cómo se trata la discontinuidad si se usan ambos.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Inter" w:cs="Inter" w:eastAsia="Inter" w:hAnsi="Inter"/>
          <w:b/>
          <w:bCs/>
          <w:color w:val="1A2F45"/>
          <w:sz w:val="21"/>
          <w:szCs w:val="21"/>
        </w:rPr>
        <w:t xml:space="preserve">Las cifras hay que medirlas, no suponerlas. 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El apartado 4.3 del cuaderno contiene la consulta de auditoría que devuelve, por cabecera, casi todos los valores que pide el Anexo II. Conviene ejecutarla antes de rellenar nada.</w:t>
      </w:r>
    </w:p>
    <w:p>
      <w:r>
        <w:br w:type="page"/>
      </w:r>
    </w:p>
    <w:p>
      <w:pPr>
        <w:spacing w:after="60" w:before="12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 II</w:t>
      </w:r>
    </w:p>
    <w:p>
      <w:pPr>
        <w:pStyle w:val="Heading1"/>
        <w:spacing w:after="90"/>
      </w:pPr>
      <w:r>
        <w:rPr>
          <w:rFonts w:ascii="Space Grotesk" w:cs="Space Grotesk" w:eastAsia="Space Grotesk" w:hAnsi="Space Grotesk"/>
          <w:b/>
          <w:bCs/>
          <w:color w:val="0D1B2A"/>
          <w:sz w:val="34"/>
          <w:szCs w:val="34"/>
        </w:rPr>
        <w:t xml:space="preserve">Ficha técnica del análisis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8CA5"/>
          <w:sz w:val="20"/>
          <w:szCs w:val="20"/>
        </w:rPr>
        <w:t xml:space="preserve">Se rellena siempre. Acompaña al análisis allá donde se publique.</w:t>
      </w: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II.1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Identificación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Título del análisis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Persona o equipo responsable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Destino previsto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Informe, microinforme, publicación web, comunicación a congreso…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II.2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Corpus analizado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Ventana temporal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Fecha de inicio y de fin del periodo analizado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Número de piezas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Y, por separado, cuántas con al menos un tema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Cabeceras incluidas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Enumerar. Universo declarado: 17; efectivo: 15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Cabeceras excluidas y motivo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El Pueblo Canario y Canarias Noticias no aportan piezas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Consulta o script de extracción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Referencia al fichero y al commit del repositorio que generó los datos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II.3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Régimen de medida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tramo anterior a septiembre de 2026 carece de denominador, permanencia y posición. Marcar el que corresponda: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Solo el tramo nuevo (instrumentación completa)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Solo el tramo antiguo (indicar qué indicadores se han evitado por ello)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Ambos tramos (describir el tratamiento de la discontinuidad en el Anexo III, decisión D4)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II.4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Fiabilidad de los datos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Procedencia de la fecha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Reparto de `fecha_pub_origen`. Señalar el porcentaje con precisión solo de día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Cobertura de texto completo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Porcentaje de piezas con `texto_full`, por cabecera si es desigual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Versiones del clasificador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Valores de `clasificador_version` presentes. NULL = tramo antiguo, sin sellar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Media de temas por pieza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Determina cuánto separa el recuento pleno del peso fraccionado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II.5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Parámetros del análisis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Unidad de agregación temporal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Día, semana, mes o trimestre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Agregado de atributos empleado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Acumulado (`__all__`) o corte mensual, y cuántos meses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Software y versiones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R, Python, paquetes principales y sus versiones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Umbral de significación y corrección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Si se comparan muchos pares, indicar la corrección aplicada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 III</w:t>
      </w:r>
    </w:p>
    <w:p>
      <w:pPr>
        <w:pStyle w:val="Heading1"/>
        <w:spacing w:after="90"/>
      </w:pPr>
      <w:r>
        <w:rPr>
          <w:rFonts w:ascii="Space Grotesk" w:cs="Space Grotesk" w:eastAsia="Space Grotesk" w:hAnsi="Space Grotesk"/>
          <w:b/>
          <w:bCs/>
          <w:color w:val="0D1B2A"/>
          <w:sz w:val="34"/>
          <w:szCs w:val="34"/>
        </w:rPr>
        <w:t xml:space="preserve">Registro de decisiones analíticas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8CA5"/>
          <w:sz w:val="20"/>
          <w:szCs w:val="20"/>
        </w:rPr>
        <w:t xml:space="preserve">Se rellena siempre. Cada decisión admite más de una respuesta correcta; lo que no admite es quedar sin declarar.</w:t>
      </w: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D1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Denominador de las cuotas de saliencia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 saliencia es una magnitud relativa. Declarar respecto a qué se calcula cambia por completo lo que significa la cifra.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Producción total de la cabecera (todas las piezas vistas en portada)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Agenda temática de ODESOCAN (solo las piezas con al menos un tema)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Ambas, y se reporta también su cociente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D2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Ponderación de las piezas multitema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clasificador es multietiqueta y la media es de 1,25 temas por pieza, así que la elección altera los totales en torno a un 25 %.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Peso fraccionado (1/k por tema). Las cuotas suman 1 y son comparables entre cabeceras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Recuento pleno (cada tema suma 1). Adecuado para co-ocurrencia temática, no para saliencia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D3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Construcción de la agenda del sistema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Agregar todas las piezas da más peso a las cabeceras que más publican. Promediar cuotas da un voto a cada cabecera.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Media no ponderada de las cuotas por cabecera (un voto por medio)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Agregación de todas las piezas (ponderada por volumen)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Otra (describir en la justificación)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D4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Tratamiento de la discontinuidad del instrumento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Solo si el análisis cruza septiembre de 2026. El salto de volumen por cabecera no es un cambio en la prensa canaria.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El análisis no cruza la fecha de cambio: no aplica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analizan los dos tramos por separado, sin serie continua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usan solo indicadores que ambos tramos sostienen (cuotas dentro de la agenda de ODESOCAN, convergencia, vocabulario)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corrige explícitamente el efecto del cambio (describir el método en la justificación)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D5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Filtro de fiabilidad temporal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Las fechas tienen seis procedencias distintas y precisiones desiguales.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excluyen las piezas con `fecha_pub_origen = 'sintetica'`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excluyen además las de procedencia `url`, que solo tienen precisión de día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usa `fecha_scrap` en lugar de `fecha_pub`, declarando que mide la observación y no la publicación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No se aplica ningún filtro temporal (justificar)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D6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Tratamiento de las cabeceras sin datos suficientes</w:t>
      </w:r>
    </w:p>
    <w:p>
      <w:pPr>
        <w:spacing w:after="6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Una cuota calculada sobre pocas piezas es ruido. El cuaderno sugiere no calcular cuotas por debajo de unas 30 piezas.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86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excluyen las cabeceras por debajo de un umbral de N (indicar cuál)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incluyen todas, señalando en los gráficos las de N bajo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90"/>
            </w:tcMar>
          </w:tcPr>
          <w:tbl>
            <w:tblPr>
              <w:tblW w:type="dxa" w:w="260"/>
              <w:tblBorders>
                <w:top w:val="single" w:color="009E8E" w:sz="6"/>
                <w:left w:val="single" w:color="009E8E" w:sz="6"/>
                <w:bottom w:val="single" w:color="009E8E" w:sz="6"/>
                <w:right w:val="single" w:color="009E8E" w:sz="6"/>
                <w:insideH w:val="single" w:color="auto" w:sz="4"/>
                <w:insideV w:val="single" w:color="auto" w:sz="4"/>
              </w:tblBorders>
            </w:tblPr>
            <w:tblGrid>
              <w:gridCol w:w="260"/>
            </w:tblGrid>
            <w:tr>
              <w:tc>
                <w:tcPr>
                  <w:tcW w:type="dxa" w:w="260"/>
                  <w:shd w:fill="FFFFFF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</w:tcPr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color w:val="1A2F45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0"/>
            </w:tcMar>
          </w:tcPr>
          <w:p>
            <w:pPr>
              <w:spacing w:after="0" w:line="260"/>
            </w:pPr>
            <w:r>
              <w:rPr>
                <w:rFonts w:ascii="Inter" w:cs="Inter" w:eastAsia="Inter" w:hAnsi="Inter"/>
                <w:color w:val="1A2F45"/>
                <w:sz w:val="19"/>
                <w:szCs w:val="19"/>
              </w:rPr>
              <w:t xml:space="preserve">Se agregan periodos hasta alcanzar N suficiente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Justificación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spacing w:after="60" w:before="12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 IV</w:t>
      </w:r>
    </w:p>
    <w:p>
      <w:pPr>
        <w:pStyle w:val="Heading1"/>
        <w:spacing w:after="90"/>
      </w:pPr>
      <w:r>
        <w:rPr>
          <w:rFonts w:ascii="Space Grotesk" w:cs="Space Grotesk" w:eastAsia="Space Grotesk" w:hAnsi="Space Grotesk"/>
          <w:b/>
          <w:bCs/>
          <w:color w:val="0D1B2A"/>
          <w:sz w:val="34"/>
          <w:szCs w:val="34"/>
        </w:rPr>
        <w:t xml:space="preserve">Libro de códigos de encuadre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8CA5"/>
          <w:sz w:val="20"/>
          <w:szCs w:val="20"/>
        </w:rPr>
        <w:t xml:space="preserve">Solo si el análisis incluye codificación de marcos. Sin fiabilidad intercodificadora demostrada, los resultados no son publicables.</w:t>
      </w: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IV.1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Muestra codificada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Universo de codificación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Qué subconjunto del corpus se codifica y con qué criterio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Tamaño de la muestra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N total de piezas codificadas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Submuestra de fiabilidad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Mínimo el 10 % o 100 unidades, lo que sea mayor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Número de personas codificadoras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Fecha de la sesión de entrenamiento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IV.2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Marcos genéricos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Los cinco marcos genéricos de Semetko y Valkenburg (2000), operacionalizados como veinte preguntas dicotómicas. Se responde una vez por pieza. Es una adaptación al castellano: conviene cotejarla con el instrumento original antes de usarla en una publicación.</w:t>
      </w:r>
    </w:p>
    <w:p>
      <w:pPr>
        <w:pStyle w:val="Heading3"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1"/>
          <w:szCs w:val="21"/>
        </w:rPr>
        <w:t xml:space="preserve">Atribución de responsabilidad</w:t>
      </w:r>
    </w:p>
    <w:tbl>
      <w:tblPr>
        <w:tblW w:type="dxa" w:w="9020"/>
        <w:tblBorders>
          <w:top w:val="single" w:color="E4EDF5" w:sz="4"/>
          <w:left w:val="none" w:color="FFFFFF" w:sz="0"/>
          <w:bottom w:val="single" w:color="E4EDF5" w:sz="4"/>
          <w:right w:val="none" w:color="FFFFFF" w:sz="0"/>
          <w:insideH w:val="single" w:color="E4EDF5" w:sz="4"/>
          <w:insideV w:val="single" w:color="E4EDF5" w:sz="4"/>
        </w:tblBorders>
      </w:tblPr>
      <w:tblGrid>
        <w:gridCol w:w="520"/>
        <w:gridCol w:w="6700"/>
        <w:gridCol w:w="900"/>
        <w:gridCol w:w="900"/>
      </w:tblGrid>
      <w:tr>
        <w:trPr>
          <w:tblHeader/>
        </w:trPr>
        <w:tc>
          <w:tcPr>
            <w:tcW w:type="dxa" w:w="52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¿Sugiere la pieza que algún nivel de la administración tiene capacidad para aliviar el problema?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2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¿Sugiere que algún nivel de la administración es responsable del problema?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3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¿Sugiere soluciones al problema?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4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¿Sugiere que una persona o grupo de la sociedad es responsable del problema?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5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¿Sugiere que el problema exige una acción urgente?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3"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1"/>
          <w:szCs w:val="21"/>
        </w:rPr>
        <w:t xml:space="preserve">Interés humano</w:t>
      </w:r>
    </w:p>
    <w:tbl>
      <w:tblPr>
        <w:tblW w:type="dxa" w:w="9020"/>
        <w:tblBorders>
          <w:top w:val="single" w:color="E4EDF5" w:sz="4"/>
          <w:left w:val="none" w:color="FFFFFF" w:sz="0"/>
          <w:bottom w:val="single" w:color="E4EDF5" w:sz="4"/>
          <w:right w:val="none" w:color="FFFFFF" w:sz="0"/>
          <w:insideH w:val="single" w:color="E4EDF5" w:sz="4"/>
          <w:insideV w:val="single" w:color="E4EDF5" w:sz="4"/>
        </w:tblBorders>
      </w:tblPr>
      <w:tblGrid>
        <w:gridCol w:w="520"/>
        <w:gridCol w:w="6700"/>
        <w:gridCol w:w="900"/>
        <w:gridCol w:w="900"/>
      </w:tblGrid>
      <w:tr>
        <w:trPr>
          <w:tblHeader/>
        </w:trPr>
        <w:tc>
          <w:tcPr>
            <w:tcW w:type="dxa" w:w="52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6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¿Ofrece un ejemplo humano concreto o pone «cara» al asunto?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7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¿Emplea adjetivos o relatos personales que susciten indignación, empatía, compasión o simpatía?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8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¿Subraya cómo afecta el asunto a personas o grupos concretos?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9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¿Entra en la vida privada o personal de quienes protagonizan la información?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10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¿Incluye material visual que pueda suscitar indignación, empatía, compasión o simpatía?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3"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1"/>
          <w:szCs w:val="21"/>
        </w:rPr>
        <w:t xml:space="preserve">Conflicto</w:t>
      </w:r>
    </w:p>
    <w:tbl>
      <w:tblPr>
        <w:tblW w:type="dxa" w:w="9020"/>
        <w:tblBorders>
          <w:top w:val="single" w:color="E4EDF5" w:sz="4"/>
          <w:left w:val="none" w:color="FFFFFF" w:sz="0"/>
          <w:bottom w:val="single" w:color="E4EDF5" w:sz="4"/>
          <w:right w:val="none" w:color="FFFFFF" w:sz="0"/>
          <w:insideH w:val="single" w:color="E4EDF5" w:sz="4"/>
          <w:insideV w:val="single" w:color="E4EDF5" w:sz="4"/>
        </w:tblBorders>
      </w:tblPr>
      <w:tblGrid>
        <w:gridCol w:w="520"/>
        <w:gridCol w:w="6700"/>
        <w:gridCol w:w="900"/>
        <w:gridCol w:w="900"/>
      </w:tblGrid>
      <w:tr>
        <w:trPr>
          <w:tblHeader/>
        </w:trPr>
        <w:tc>
          <w:tcPr>
            <w:tcW w:type="dxa" w:w="52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11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¿Refleja desacuerdo entre partidos, personas, grupos o instituciones?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12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¿Reprocha una parte algo a otra?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13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¿Recoge dos o más posturas sobre el asunto?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14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¿Se refiere a quién gana y quién pierde?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3"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1"/>
          <w:szCs w:val="21"/>
        </w:rPr>
        <w:t xml:space="preserve">Moralidad</w:t>
      </w:r>
    </w:p>
    <w:tbl>
      <w:tblPr>
        <w:tblW w:type="dxa" w:w="9020"/>
        <w:tblBorders>
          <w:top w:val="single" w:color="E4EDF5" w:sz="4"/>
          <w:left w:val="none" w:color="FFFFFF" w:sz="0"/>
          <w:bottom w:val="single" w:color="E4EDF5" w:sz="4"/>
          <w:right w:val="none" w:color="FFFFFF" w:sz="0"/>
          <w:insideH w:val="single" w:color="E4EDF5" w:sz="4"/>
          <w:insideV w:val="single" w:color="E4EDF5" w:sz="4"/>
        </w:tblBorders>
      </w:tblPr>
      <w:tblGrid>
        <w:gridCol w:w="520"/>
        <w:gridCol w:w="6700"/>
        <w:gridCol w:w="900"/>
        <w:gridCol w:w="900"/>
      </w:tblGrid>
      <w:tr>
        <w:trPr>
          <w:tblHeader/>
        </w:trPr>
        <w:tc>
          <w:tcPr>
            <w:tcW w:type="dxa" w:w="52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15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¿Contiene algún mensaje moral?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16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¿Hace referencia a la moral, a preceptos religiosos o a principios éticos?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17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¿Ofrece prescripciones concretas sobre cómo se debería actuar?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3"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1"/>
          <w:szCs w:val="21"/>
        </w:rPr>
        <w:t xml:space="preserve">Consecuencias económicas</w:t>
      </w:r>
    </w:p>
    <w:tbl>
      <w:tblPr>
        <w:tblW w:type="dxa" w:w="9020"/>
        <w:tblBorders>
          <w:top w:val="single" w:color="E4EDF5" w:sz="4"/>
          <w:left w:val="none" w:color="FFFFFF" w:sz="0"/>
          <w:bottom w:val="single" w:color="E4EDF5" w:sz="4"/>
          <w:right w:val="none" w:color="FFFFFF" w:sz="0"/>
          <w:insideH w:val="single" w:color="E4EDF5" w:sz="4"/>
          <w:insideV w:val="single" w:color="E4EDF5" w:sz="4"/>
        </w:tblBorders>
      </w:tblPr>
      <w:tblGrid>
        <w:gridCol w:w="520"/>
        <w:gridCol w:w="6700"/>
        <w:gridCol w:w="900"/>
        <w:gridCol w:w="900"/>
      </w:tblGrid>
      <w:tr>
        <w:trPr>
          <w:tblHeader/>
        </w:trPr>
        <w:tc>
          <w:tcPr>
            <w:tcW w:type="dxa" w:w="52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0D1B2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18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¿Menciona pérdidas o ganancias económicas, presentes o futuras?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19</w:t>
            </w:r>
          </w:p>
        </w:tc>
        <w:tc>
          <w:tcPr>
            <w:tcW w:type="dxa" w:w="6700"/>
            <w:shd w:fill="F5F8F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¿Menciona los costes o la magnitud del gasto implicado?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009E8E"/>
                <w:sz w:val="17"/>
                <w:szCs w:val="17"/>
              </w:rPr>
              <w:t xml:space="preserve">20</w:t>
            </w:r>
          </w:p>
        </w:tc>
        <w:tc>
          <w:tcPr>
            <w:tcW w:type="dxa" w:w="67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2F45"/>
                <w:sz w:val="17"/>
                <w:szCs w:val="17"/>
              </w:rPr>
              <w:t xml:space="preserve">¿Alude a las consecuencias económicas de seguir o no seguir un curso de acción?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IV.3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Marcos específicos del asunto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Derivados de la fase inductiva y formulados según las cuatro funciones de Entman (1993). Se cumplimenta una ficha por marco identificado.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Nombre del marco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Definición del problema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Qué se presenta como el problema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Atribución causal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A qué o a quién se atribuye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Juicio moral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Qué valoración se emite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Tratamiento propuesto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Qué solución se sugiere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Indicadores de presencia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Marcas textuales que permiten codificarlo de forma reproducible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IV.4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Registro de fiabilidad intercodificadora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Umbral convencional: α de Krippendorff ≥ 0,80. Entre 0,667 y 0,80 los resultados solo admiten lectura exploratoria. Por debajo, hay que reescribir el libro de códigos, no publicar los datos.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Coeficiente empleado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α de Krippendorff, salvo justificación en contra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α por variable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Detallar por cada ítem o grupo de ítems, no solo el promedio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Ítems por debajo del umbral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Y qué se ha hecho con ellos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Fecha del cálculo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70" w:before="150"/>
      </w:pPr>
      <w:r>
        <w:rPr>
          <w:rFonts w:ascii="Space Grotesk" w:cs="Space Grotesk" w:eastAsia="Space Grotesk" w:hAnsi="Space Grotesk"/>
          <w:b/>
          <w:bCs/>
          <w:caps/>
          <w:color w:val="009E8E"/>
          <w:spacing w:val="24"/>
          <w:sz w:val="17"/>
          <w:szCs w:val="17"/>
        </w:rPr>
        <w:t xml:space="preserve">Si se ha usado un clasificador automático, indicar su acuerdo con las personas codificadoras (no su exactitud interna)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2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spacing w:after="60" w:before="120"/>
      </w:pPr>
      <w:r>
        <w:rPr>
          <w:rFonts w:ascii="Space Grotesk" w:cs="Space Grotesk" w:eastAsia="Space Grotesk" w:hAnsi="Space Grotesk"/>
          <w:b/>
          <w:bCs/>
          <w:caps/>
          <w:color w:val="00C8B4"/>
          <w:spacing w:val="60"/>
          <w:sz w:val="18"/>
          <w:szCs w:val="18"/>
        </w:rPr>
        <w:t xml:space="preserve">ANEXO V</w:t>
      </w:r>
    </w:p>
    <w:p>
      <w:pPr>
        <w:pStyle w:val="Heading1"/>
        <w:spacing w:after="90"/>
      </w:pPr>
      <w:r>
        <w:rPr>
          <w:rFonts w:ascii="Space Grotesk" w:cs="Space Grotesk" w:eastAsia="Space Grotesk" w:hAnsi="Space Grotesk"/>
          <w:b/>
          <w:bCs/>
          <w:color w:val="0D1B2A"/>
          <w:sz w:val="34"/>
          <w:szCs w:val="34"/>
        </w:rPr>
        <w:t xml:space="preserve">Declaración ética y jurídica de la recolección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8CA5"/>
          <w:sz w:val="20"/>
          <w:szCs w:val="20"/>
        </w:rPr>
        <w:t xml:space="preserve">Se rellena siempre que el análisis se publique fuera del equipo.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El observatorio recolecta de forma automatizada contenido publicado en abierto. La configuración desactiva el respeto a </w:t>
      </w:r>
      <w:r>
        <w:rPr>
          <w:rFonts w:ascii="JetBrains Mono" w:cs="JetBrains Mono" w:eastAsia="JetBrains Mono" w:hAnsi="JetBrains Mono"/>
          <w:color w:val="0F3460"/>
          <w:sz w:val="19"/>
          <w:szCs w:val="19"/>
        </w:rPr>
        <w:t xml:space="preserve">robots.txt</w:t>
      </w:r>
      <w:r>
        <w:rPr>
          <w:rFonts w:ascii="Inter" w:cs="Inter" w:eastAsia="Inter" w:hAnsi="Inter"/>
          <w:color w:val="1A2F45"/>
          <w:sz w:val="21"/>
          <w:szCs w:val="21"/>
        </w:rPr>
        <w:t xml:space="preserve"> y mantiene pausas de cortesía entre peticiones. Es una posición defendible para un monitoreo académico, pero exige declararse. Este anexo es el texto que acompaña a la publicación: los campos entre corchetes se sustituyen por los valores del periodo analizado.</w:t>
      </w:r>
    </w:p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V.1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Datos a consignar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Periodo de recolección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Número de cabeceras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Y si alguna solicitó exclusión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Volumen de peticiones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Media diaria: listados y descargas de artículo, por separado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Intervalo entre peticiones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Rango de las pausas de cortesía configuradas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Identificación del agente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User-agent empleado y si incluye una dirección de contacto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Base jurídica invocada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Excepción de minería de textos y datos con fines de investigación, u otra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Política de conservación</w:t>
            </w:r>
          </w:p>
          <w:p>
            <w:pPr>
              <w:spacing w:after="0" w:line="240"/>
            </w:pPr>
            <w:r>
              <w:rPr>
                <w:rFonts w:ascii="Inter" w:cs="Inter" w:eastAsia="Inter" w:hAnsi="Inter"/>
                <w:color w:val="6B8CA5"/>
                <w:sz w:val="15"/>
                <w:szCs w:val="15"/>
              </w:rPr>
              <w:t xml:space="preserve">Qué se almacena, durante cuánto y quién puede acceder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V.2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Texto de la declaración</w:t>
      </w:r>
    </w:p>
    <w:p>
      <w:pPr>
        <w:spacing w:after="140" w:before="0" w:line="288"/>
      </w:pPr>
      <w:r>
        <w:rPr>
          <w:rFonts w:ascii="Inter" w:cs="Inter" w:eastAsia="Inter" w:hAnsi="Inter"/>
          <w:color w:val="1A2F45"/>
          <w:sz w:val="21"/>
          <w:szCs w:val="21"/>
        </w:rPr>
        <w:t xml:space="preserve">Modelo a adaptar. Las cifras salen del apartado anterior.</w:t>
      </w:r>
    </w:p>
    <w:tbl>
      <w:tblPr>
        <w:tblW w:type="dxa" w:w="9020"/>
        <w:tblBorders>
          <w:top w:val="none" w:color="FFFFFF" w:sz="0"/>
          <w:left w:val="single" w:color="00C8B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5F8FA" w:color="auto" w:val="clear"/>
            <w:tcMar>
              <w:top w:type="dxa" w:w="200"/>
              <w:left w:type="dxa" w:w="260"/>
              <w:bottom w:type="dxa" w:w="200"/>
              <w:right w:type="dxa" w:w="240"/>
            </w:tcMar>
          </w:tcPr>
          <w:p>
            <w:pPr>
              <w:spacing w:after="11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C8B4"/>
                <w:spacing w:val="24"/>
                <w:sz w:val="17"/>
                <w:szCs w:val="17"/>
              </w:rPr>
              <w:t xml:space="preserve">Modelo</w:t>
            </w:r>
          </w:p>
          <w:p>
            <w:pPr>
              <w:spacing w:after="140" w:before="0" w:line="288"/>
            </w:pPr>
            <w:r>
              <w:rPr>
                <w:rFonts w:ascii="Inter" w:cs="Inter" w:eastAsia="Inter" w:hAnsi="Inter"/>
                <w:i/>
                <w:iCs/>
                <w:color w:val="1A2F45"/>
                <w:sz w:val="21"/>
                <w:szCs w:val="21"/>
              </w:rPr>
              <w:t xml:space="preserve">Los datos analizados proceden del Observatorio de Medios de Canarias, una infraestructura de investigación de ODESOCAN que recopila de forma automatizada los titulares y extractos publicados en abierto por [N] cabeceras del archipiélago. La recolección se realizó entre [fecha] y [fecha], con [N] peticiones diarias de media e intervalos de [rango] segundos entre ellas, un volumen inferior al de una persona lectora habitual.</w:t>
            </w:r>
          </w:p>
          <w:p>
            <w:pPr>
              <w:spacing w:after="140" w:before="0" w:line="288"/>
            </w:pPr>
            <w:r>
              <w:rPr>
                <w:rFonts w:ascii="Inter" w:cs="Inter" w:eastAsia="Inter" w:hAnsi="Inter"/>
                <w:i/>
                <w:iCs/>
                <w:color w:val="1A2F45"/>
                <w:sz w:val="21"/>
                <w:szCs w:val="21"/>
              </w:rPr>
              <w:t xml:space="preserve">Solo se almacenan titulares, entradillas y extractos de hasta 5.000 caracteres, con fines exclusivamente de investigación y sin reproducción íntegra destinada a difusión, al amparo de la excepción de minería de textos y datos con fines de investigación científica. El código que produjo los datos es público y está versionado en [repositorio], commit [hash].</w:t>
            </w:r>
          </w:p>
          <w:p>
            <w:pPr>
              <w:spacing w:after="0" w:before="0" w:line="288"/>
            </w:pPr>
            <w:r>
              <w:rPr>
                <w:rFonts w:ascii="Inter" w:cs="Inter" w:eastAsia="Inter" w:hAnsi="Inter"/>
                <w:i/>
                <w:iCs/>
                <w:color w:val="1A2F45"/>
                <w:sz w:val="21"/>
                <w:szCs w:val="21"/>
              </w:rPr>
              <w:t xml:space="preserve">Las cabeceras que deseen quedar excluidas pueden solicitarlo en [dirección de contacto].</w:t>
            </w:r>
          </w:p>
        </w:tc>
      </w:tr>
    </w:tbl>
    <w:p>
      <w:pPr>
        <w:pStyle w:val="Heading2"/>
        <w:spacing w:after="130" w:before="320"/>
      </w:pPr>
      <w:r>
        <w:rPr>
          <w:rFonts w:ascii="Space Grotesk" w:cs="Space Grotesk" w:eastAsia="Space Grotesk" w:hAnsi="Space Grotesk"/>
          <w:b/>
          <w:bCs/>
          <w:color w:val="00C8B4"/>
          <w:sz w:val="25"/>
          <w:szCs w:val="25"/>
        </w:rPr>
        <w:t xml:space="preserve">V.3   </w:t>
      </w:r>
      <w:r>
        <w:rPr>
          <w:rFonts w:ascii="Space Grotesk" w:cs="Space Grotesk" w:eastAsia="Space Grotesk" w:hAnsi="Space Grotesk"/>
          <w:b/>
          <w:bCs/>
          <w:color w:val="1A2F45"/>
          <w:sz w:val="25"/>
          <w:szCs w:val="25"/>
        </w:rPr>
        <w:t xml:space="preserve">Conformidad</w:t>
      </w:r>
    </w:p>
    <w:tbl>
      <w:tblPr>
        <w:tblW w:type="dxa" w:w="9020"/>
        <w:tblBorders>
          <w:top w:val="single" w:color="E4EDF5" w:sz="4"/>
          <w:left w:val="single" w:color="E4EDF5" w:sz="4"/>
          <w:bottom w:val="single" w:color="E4EDF5" w:sz="4"/>
          <w:right w:val="single" w:color="E4EDF5" w:sz="4"/>
          <w:insideH w:val="single" w:color="E4EDF5" w:sz="4"/>
          <w:insideV w:val="single" w:color="E4EDF5" w:sz="4"/>
        </w:tblBorders>
      </w:tblPr>
      <w:tblGrid>
        <w:gridCol w:w="3400"/>
        <w:gridCol w:w="5620"/>
      </w:tblGrid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Persona responsable del análisis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Fecha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Space Grotesk" w:cs="Space Grotesk" w:eastAsia="Space Grotesk" w:hAnsi="Space Grotesk"/>
                <w:b/>
                <w:bCs/>
                <w:color w:val="1A2F45"/>
                <w:sz w:val="18"/>
                <w:szCs w:val="18"/>
              </w:rPr>
              <w:t xml:space="preserve">Firma</w:t>
            </w:r>
          </w:p>
        </w:tc>
        <w:tc>
          <w:tcPr>
            <w:tcW w:type="dxa" w:w="5620"/>
            <w:shd w:fill="F5F8FA" w:color="auto" w:val="clear"/>
            <w:tcMar>
              <w:top w:type="dxa" w:w="130"/>
              <w:left w:type="dxa" w:w="150"/>
              <w:bottom w:type="dxa" w:w="13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Inter" w:cs="Inter" w:eastAsia="Inter" w:hAnsi="Inter"/>
                <w:color w:val="1A2F45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440" w:bottom="1440" w:left="1440" w:header="70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Inter" w:cs="Inter" w:eastAsia="Inter" w:hAnsi="Inter"/>
        <w:color w:val="6B8CA5"/>
        <w:sz w:val="15"/>
        <w:szCs w:val="15"/>
      </w:rPr>
      <w:t xml:space="preserve">Documentación del análisis</w:t>
    </w:r>
    <w:r>
      <w:tab/>
    </w:r>
    <w:r>
      <w:rPr>
        <w:rFonts w:ascii="Space Grotesk" w:cs="Space Grotesk" w:eastAsia="Space Grotesk" w:hAnsi="Space Grotesk"/>
        <w:b/>
        <w:bCs/>
        <w:color w:val="00C8B4"/>
        <w:sz w:val="15"/>
        <w:szCs w:val="15"/>
      </w:rPr>
      <w:t xml:space="preserve">ODESOCAN</w:t>
    </w:r>
    <w:r>
      <w:tab/>
    </w:r>
    <w:r>
      <w:rPr>
        <w:rFonts w:ascii="Inter" w:cs="Inter" w:eastAsia="Inter" w:hAnsi="Inter"/>
        <w:color w:val="6B8CA5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B4" w:sz="6" w:space="8"/>
      </w:pBdr>
      <w:tabs>
        <w:tab w:val="right" w:pos="9020"/>
      </w:tabs>
    </w:pPr>
    <w:r>
      <w:rPr>
        <w:rFonts w:ascii="Space Grotesk" w:cs="Space Grotesk" w:eastAsia="Space Grotesk" w:hAnsi="Space Grotesk"/>
        <w:b/>
        <w:bCs/>
        <w:color w:val="1A2F45"/>
        <w:sz w:val="15"/>
        <w:szCs w:val="15"/>
      </w:rPr>
      <w:t xml:space="preserve">ODESOCAN · Observatorio de Derechos Sociales de Canarias</w:t>
    </w:r>
    <w:r>
      <w:tab/>
    </w:r>
    <w:r>
      <w:rPr>
        <w:rFonts w:ascii="Space Grotesk" w:cs="Space Grotesk" w:eastAsia="Space Grotesk" w:hAnsi="Space Grotesk"/>
        <w:i/>
        <w:iCs/>
        <w:color w:val="6B8CA5"/>
        <w:sz w:val="15"/>
        <w:szCs w:val="15"/>
      </w:rPr>
      <w:t xml:space="preserve">ANEXOS II–V · Septiembre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rFonts w:ascii="Inter" w:cs="Inter" w:eastAsia="Inter" w:hAnsi="Inter"/>
        <w:color w:val="00C8B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2F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 II–V · Documentación del análisis</dc:title>
  <dc:creator>ODESOCAN · Observatorio de Derechos Sociales de Canarias</dc:creator>
  <dc:description>Formularios en blanco para informar cualquier análisis derivado del Observatorio de Medios de Canarias.</dc:description>
  <cp:lastModifiedBy>Un-named</cp:lastModifiedBy>
  <cp:revision>1</cp:revision>
  <dcterms:created xsi:type="dcterms:W3CDTF">2026-09-07T14:51:50.594Z</dcterms:created>
  <dcterms:modified xsi:type="dcterms:W3CDTF">2026-09-07T14:51:50.612Z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