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720"/>
        <w:jc w:val="center"/>
      </w:pPr>
      <w:r>
        <w:rPr>
          <w:rFonts w:ascii="Times New Roman" w:cs="Times New Roman" w:eastAsia="Times New Roman" w:hAnsi="Times New Roman"/>
          <w:b/>
          <w:bCs/>
          <w:color w:val="000000"/>
          <w:sz w:val="28"/>
          <w:szCs w:val="28"/>
        </w:rPr>
        <w:t xml:space="preserve">INSTITUT DE FORMATION OUVERTE ET À DISTANCE (IFOAD)</w:t>
      </w:r>
    </w:p>
    <w:p>
      <w:pPr>
        <w:spacing w:after="80" w:before="0"/>
        <w:jc w:val="center"/>
      </w:pPr>
      <w:r>
        <w:rPr>
          <w:rFonts w:ascii="Times New Roman" w:cs="Times New Roman" w:eastAsia="Times New Roman" w:hAnsi="Times New Roman"/>
          <w:color w:val="000000"/>
          <w:sz w:val="22"/>
          <w:szCs w:val="22"/>
        </w:rPr>
        <w:t xml:space="preserve">Master 1 Informatique, Semestre 2, Projet Data Science 2025-2026</w:t>
      </w:r>
    </w:p>
    <w:p>
      <w:pPr>
        <w:pBdr>
          <w:bottom w:val="single" w:color="000000" w:sz="4" w:space="8"/>
        </w:pBdr>
        <w:spacing w:after="720" w:before="0"/>
        <w:jc w:val="center"/>
      </w:pPr>
      <w:r>
        <w:t xml:space="preserve"/>
      </w:r>
    </w:p>
    <w:p>
      <w:pPr>
        <w:spacing w:after="160" w:before="480"/>
        <w:jc w:val="center"/>
      </w:pPr>
      <w:r>
        <w:rPr>
          <w:rFonts w:ascii="Times New Roman" w:cs="Times New Roman" w:eastAsia="Times New Roman" w:hAnsi="Times New Roman"/>
          <w:b/>
          <w:bCs/>
          <w:color w:val="000000"/>
          <w:sz w:val="64"/>
          <w:szCs w:val="64"/>
        </w:rPr>
        <w:t xml:space="preserve">GuichetIA</w:t>
      </w:r>
    </w:p>
    <w:p>
      <w:pPr>
        <w:spacing w:after="160" w:before="0"/>
        <w:jc w:val="center"/>
      </w:pPr>
      <w:r>
        <w:rPr>
          <w:rFonts w:ascii="Times New Roman" w:cs="Times New Roman" w:eastAsia="Times New Roman" w:hAnsi="Times New Roman"/>
          <w:i/>
          <w:iCs/>
          <w:color w:val="000000"/>
          <w:sz w:val="30"/>
          <w:szCs w:val="30"/>
        </w:rPr>
        <w:t xml:space="preserve">Assistant Intelligent pour les Démarches Administratives au Burkina Faso</w:t>
      </w:r>
    </w:p>
    <w:p>
      <w:pPr>
        <w:spacing w:after="640" w:before="0"/>
        <w:jc w:val="center"/>
      </w:pPr>
      <w:r>
        <w:rPr>
          <w:rFonts w:ascii="Times New Roman" w:cs="Times New Roman" w:eastAsia="Times New Roman" w:hAnsi="Times New Roman"/>
          <w:b/>
          <w:bCs/>
          <w:color w:val="000000"/>
          <w:sz w:val="36"/>
          <w:szCs w:val="36"/>
        </w:rPr>
        <w:t xml:space="preserve">Rapport Technique</w:t>
      </w:r>
    </w:p>
    <w:p>
      <w:pPr>
        <w:spacing w:after="80" w:before="0"/>
        <w:jc w:val="center"/>
      </w:pPr>
      <w:r>
        <w:rPr>
          <w:rFonts w:ascii="Times New Roman" w:cs="Times New Roman" w:eastAsia="Times New Roman" w:hAnsi="Times New Roman"/>
          <w:i/>
          <w:iCs/>
          <w:color w:val="000000"/>
          <w:sz w:val="22"/>
          <w:szCs w:val="22"/>
        </w:rPr>
        <w:t xml:space="preserve">Réalisés par :</w:t>
      </w:r>
    </w:p>
    <w:p>
      <w:pPr>
        <w:spacing w:after="80" w:before="0"/>
        <w:jc w:val="center"/>
      </w:pPr>
      <w:r>
        <w:rPr>
          <w:rFonts w:ascii="Times New Roman" w:cs="Times New Roman" w:eastAsia="Times New Roman" w:hAnsi="Times New Roman"/>
          <w:b/>
          <w:bCs/>
          <w:color w:val="000000"/>
          <w:sz w:val="24"/>
          <w:szCs w:val="24"/>
        </w:rPr>
        <w:t xml:space="preserve">DICKO Mamoudou</w:t>
      </w:r>
    </w:p>
    <w:p>
      <w:pPr>
        <w:spacing w:after="80" w:before="0"/>
        <w:jc w:val="center"/>
      </w:pPr>
      <w:r>
        <w:rPr>
          <w:rFonts w:ascii="Times New Roman" w:cs="Times New Roman" w:eastAsia="Times New Roman" w:hAnsi="Times New Roman"/>
          <w:b/>
          <w:bCs/>
          <w:color w:val="000000"/>
          <w:sz w:val="24"/>
          <w:szCs w:val="24"/>
        </w:rPr>
        <w:t xml:space="preserve">OUEDRAOGO Abdoul Kader W. Ghislan</w:t>
      </w:r>
    </w:p>
    <w:p>
      <w:pPr>
        <w:spacing w:after="640" w:before="0"/>
        <w:jc w:val="center"/>
      </w:pPr>
      <w:r>
        <w:rPr>
          <w:rFonts w:ascii="Times New Roman" w:cs="Times New Roman" w:eastAsia="Times New Roman" w:hAnsi="Times New Roman"/>
          <w:b/>
          <w:bCs/>
          <w:color w:val="000000"/>
          <w:sz w:val="24"/>
          <w:szCs w:val="24"/>
        </w:rPr>
        <w:t xml:space="preserve">OUEDRAOGO Zeïd El Gazeli</w:t>
      </w:r>
    </w:p>
    <w:p>
      <w:pPr>
        <w:pBdr>
          <w:top w:val="single" w:color="000000" w:sz="4" w:space="8"/>
        </w:pBdr>
        <w:spacing w:after="80" w:before="0"/>
        <w:jc w:val="center"/>
      </w:pPr>
      <w:r>
        <w:rPr>
          <w:rFonts w:ascii="Times New Roman" w:cs="Times New Roman" w:eastAsia="Times New Roman" w:hAnsi="Times New Roman"/>
          <w:b/>
          <w:bCs/>
          <w:color w:val="000000"/>
          <w:sz w:val="24"/>
          <w:szCs w:val="24"/>
        </w:rPr>
        <w:t xml:space="preserve">Juillet 2026</w:t>
      </w:r>
    </w:p>
    <w:p>
      <w:r>
        <w:br w:type="page"/>
      </w:r>
    </w:p>
    <w:p>
      <w:pPr>
        <w:spacing w:after="240" w:before="0"/>
        <w:jc w:val="center"/>
      </w:pPr>
      <w:r>
        <w:rPr>
          <w:rFonts w:ascii="Times New Roman" w:cs="Times New Roman" w:eastAsia="Times New Roman" w:hAnsi="Times New Roman"/>
          <w:b/>
          <w:bCs/>
          <w:color w:val="000000"/>
          <w:sz w:val="28"/>
          <w:szCs w:val="28"/>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Times New Roman" w:cs="Times New Roman" w:eastAsia="Times New Roman" w:hAnsi="Times New Roman"/>
          <w:b/>
          <w:bCs/>
          <w:color w:val="000000"/>
          <w:sz w:val="32"/>
          <w:szCs w:val="32"/>
        </w:rPr>
        <w:t xml:space="preserve">1. Introduction et Contexte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Ce rapport présente la conception, le développement et le déploiement de GuichetIA, un assistant conversationnel intelligent fondé sur une architecture RAG (Retrieval-Augmented Generation). Ce projet a été réalisé dans le cadre du cours de Data Science du Master 1 Informatique, Semestre 2 de l'Institut de Formation Ouverte et à Distance (IFOAD) pour l'année académique 2025-2026.</w:t>
      </w:r>
    </w:p>
    <w:p>
      <w:pPr>
        <w:pStyle w:val="Heading2"/>
        <w:spacing w:after="120" w:before="240"/>
      </w:pPr>
      <w:r>
        <w:rPr>
          <w:rFonts w:ascii="Times New Roman" w:cs="Times New Roman" w:eastAsia="Times New Roman" w:hAnsi="Times New Roman"/>
          <w:b/>
          <w:bCs/>
          <w:color w:val="000000"/>
          <w:sz w:val="26"/>
          <w:szCs w:val="26"/>
        </w:rPr>
        <w:t xml:space="preserve">1.1 Problématique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Au Burkina Faso, les citoyens sont confrontés quotidiennement à la difficulté d'accéder à des informations administratives fiables et centralisées. L'obtention d'un document tel qu'une Carte Nationale d'Identité Burkinabè (CNIB), un passeport, un extrait de casier judiciaire, un acte de naissance, un certificat de nationalité ou encore la création d'une entreprise implique de nombreuses étapes, des pièces justificatives précises et des délais variables. Ces informations, bien que disponibles sur des sites gouvernementaux officiels, sont dispersées, parfois incomplètes ou difficiles à comprendre pour le grand public. Cette situation oblige les usagers à multiplier les déplacements inutiles ou à recourir à des intermédiaires non officiels, sources d'erreurs et de coûts supplémentaires. GuichetIA répond à ce besoin en offrant un point d'accès unique, conversationnel et en langage naturel à l'ensemble des procédures administratives officielles.</w:t>
      </w:r>
    </w:p>
    <w:p>
      <w:pPr>
        <w:pStyle w:val="Heading2"/>
        <w:spacing w:after="120" w:before="240"/>
      </w:pPr>
      <w:r>
        <w:rPr>
          <w:rFonts w:ascii="Times New Roman" w:cs="Times New Roman" w:eastAsia="Times New Roman" w:hAnsi="Times New Roman"/>
          <w:b/>
          <w:bCs/>
          <w:color w:val="000000"/>
          <w:sz w:val="26"/>
          <w:szCs w:val="26"/>
        </w:rPr>
        <w:t xml:space="preserve">1.2 Objectifs</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Le projet GuichetIA poursuit cinq objectifs principaux :</w:t>
      </w:r>
    </w:p>
    <w:p>
      <w:pPr>
        <w:pStyle w:val="ListParagraph"/>
        <w:numPr>
          <w:ilvl w:val="0"/>
          <w:numId w:val="2"/>
        </w:numPr>
      </w:pPr>
      <w:r>
        <w:rPr>
          <w:rFonts w:ascii="Times New Roman" w:cs="Times New Roman" w:eastAsia="Times New Roman" w:hAnsi="Times New Roman"/>
          <w:sz w:val="22"/>
          <w:szCs w:val="22"/>
        </w:rPr>
        <w:t xml:space="preserve">Centraliser l'information administrative officielle burkinabè dans une base documentaire structurée et vérifiable.</w:t>
      </w:r>
    </w:p>
    <w:p>
      <w:pPr>
        <w:pStyle w:val="ListParagraph"/>
        <w:numPr>
          <w:ilvl w:val="0"/>
          <w:numId w:val="2"/>
        </w:numPr>
      </w:pPr>
      <w:r>
        <w:rPr>
          <w:rFonts w:ascii="Times New Roman" w:cs="Times New Roman" w:eastAsia="Times New Roman" w:hAnsi="Times New Roman"/>
          <w:sz w:val="22"/>
          <w:szCs w:val="22"/>
        </w:rPr>
        <w:t xml:space="preserve">Permettre un accès par langage naturel à ces informations via un assistant conversationnel intelligent.</w:t>
      </w:r>
    </w:p>
    <w:p>
      <w:pPr>
        <w:pStyle w:val="ListParagraph"/>
        <w:numPr>
          <w:ilvl w:val="0"/>
          <w:numId w:val="2"/>
        </w:numPr>
      </w:pPr>
      <w:r>
        <w:rPr>
          <w:rFonts w:ascii="Times New Roman" w:cs="Times New Roman" w:eastAsia="Times New Roman" w:hAnsi="Times New Roman"/>
          <w:sz w:val="22"/>
          <w:szCs w:val="22"/>
        </w:rPr>
        <w:t xml:space="preserve">Fournir des réponses précises, sourcées et accompagnées de liens vers les sites gouvernementaux compétents.</w:t>
      </w:r>
    </w:p>
    <w:p>
      <w:pPr>
        <w:pStyle w:val="ListParagraph"/>
        <w:numPr>
          <w:ilvl w:val="0"/>
          <w:numId w:val="2"/>
        </w:numPr>
      </w:pPr>
      <w:r>
        <w:rPr>
          <w:rFonts w:ascii="Times New Roman" w:cs="Times New Roman" w:eastAsia="Times New Roman" w:hAnsi="Times New Roman"/>
          <w:sz w:val="22"/>
          <w:szCs w:val="22"/>
        </w:rPr>
        <w:t xml:space="preserve">Exposer en transparence les métriques du pipeline RAG (scores de pertinence, sources, temps de traitement).</w:t>
      </w:r>
    </w:p>
    <w:p>
      <w:pPr>
        <w:pStyle w:val="ListParagraph"/>
        <w:numPr>
          <w:ilvl w:val="0"/>
          <w:numId w:val="2"/>
        </w:numPr>
      </w:pPr>
      <w:r>
        <w:rPr>
          <w:rFonts w:ascii="Times New Roman" w:cs="Times New Roman" w:eastAsia="Times New Roman" w:hAnsi="Times New Roman"/>
          <w:sz w:val="22"/>
          <w:szCs w:val="22"/>
        </w:rPr>
        <w:t xml:space="preserve">Déployer le système sur Internet de façon gratuite, pérenne et accessible depuis tout appareil connecté.</w:t>
      </w:r>
    </w:p>
    <w:p>
      <w:pPr>
        <w:pStyle w:val="Heading2"/>
        <w:spacing w:after="120" w:before="240"/>
      </w:pPr>
      <w:r>
        <w:rPr>
          <w:rFonts w:ascii="Times New Roman" w:cs="Times New Roman" w:eastAsia="Times New Roman" w:hAnsi="Times New Roman"/>
          <w:b/>
          <w:bCs/>
          <w:color w:val="000000"/>
          <w:sz w:val="26"/>
          <w:szCs w:val="26"/>
        </w:rPr>
        <w:t xml:space="preserve">1.3 Contraintes et choix technologiques</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projet est soumis à une contrainte stricte de coût nul : tous les services utilisés doivent être disponibles gratuitement dans leurs tiers gratuits respectifs. Ce choix impose des compromis techniques notables, notamment en termes de capacité de calcul, de mémoire vive disponible (512 Mo sur Render) et de latence (le backend s'endort après 15 minutes d'inactivité sur le plan gratuit). Les technologies retenues (Groq pour l'inférence LLM, HuggingFace Inference API pour les embeddings, ChromaDB pour la base vectorielle, Render pour le backend et Vercel pour le frontend) permettent néanmoins d'obtenir un système fonctionnel, réactif et de bonne qualité.</w:t>
      </w:r>
    </w:p>
    <w:p>
      <w:pPr>
        <w:pStyle w:val="Heading1"/>
        <w:spacing w:after="160" w:before="360"/>
      </w:pPr>
      <w:r>
        <w:rPr>
          <w:rFonts w:ascii="Times New Roman" w:cs="Times New Roman" w:eastAsia="Times New Roman" w:hAnsi="Times New Roman"/>
          <w:b/>
          <w:bCs/>
          <w:color w:val="000000"/>
          <w:sz w:val="32"/>
          <w:szCs w:val="32"/>
        </w:rPr>
        <w:t xml:space="preserve">2. Architecture Générale du Système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GuichetIA est structuré en deux composants principaux communiquant via une API REST sécurisée (HTTPS) : un backend Python (FastAPI) hébergé sur Render et un frontend React hébergé sur Vercel. L'ensemble du pipeline RAG est entièrement contenu dans le backend : encodage des requêtes, recherche vectorielle dans ChromaDB, construction du prompt et génération de la réponse via Groq. Le frontend se limite à l'affichage et à l'interaction utilisateur.</w:t>
      </w:r>
    </w:p>
    <w:p>
      <w:pPr>
        <w:pStyle w:val="Heading2"/>
        <w:spacing w:after="120" w:before="240"/>
      </w:pPr>
      <w:r>
        <w:rPr>
          <w:rFonts w:ascii="Times New Roman" w:cs="Times New Roman" w:eastAsia="Times New Roman" w:hAnsi="Times New Roman"/>
          <w:b/>
          <w:bCs/>
          <w:color w:val="000000"/>
          <w:sz w:val="26"/>
          <w:szCs w:val="26"/>
        </w:rPr>
        <w:t xml:space="preserve">2.1 Stack technologique</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Le tableau suivant récapitule l'ensemble des technologies utilisées et leur rôle dans le système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Composant</w:t>
            </w:r>
          </w:p>
        </w:tc>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Technologie</w:t>
            </w:r>
          </w:p>
        </w:tc>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Rôle</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LLM (génération)</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Llama-3.1-8b-instant (Groq)</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Génération de réponses en français</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Embeddings</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HuggingFace Inference API / (paraphrase-multilingual-MiniLM-L12-v2)</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Encodage sémantique des textes</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Base vectorielle</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ChromaDB (métrique cosinus)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Stockage et recherche par similarité</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Backend API</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FastAPI (Python 3.11)</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API REST, pipeline RAG complet</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React 18 + Tailwind CSS v3</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Interface utilisateur responsive</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Déploiement backend</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Render (plan gratuit)</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Hébergement de l'API FastAPI</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Déploiement frontend</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Vercel</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Hébergement du site web (CDN mondial)</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Génération des sources</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ReportLab (Python)</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Création des PDF sources structurés</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Contrôle de version</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Git / GitHub</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Versionnage et déploiement continu (CI/CD)</w:t>
            </w:r>
          </w:p>
        </w:tc>
      </w:tr>
    </w:tbl>
    <w:p>
      <w:pPr>
        <w:spacing w:after="80" w:before="80"/>
        <w:jc w:val="center"/>
      </w:pPr>
      <w:r>
        <w:rPr>
          <w:rFonts w:ascii="Times New Roman" w:cs="Times New Roman" w:eastAsia="Times New Roman" w:hAnsi="Times New Roman"/>
          <w:b/>
          <w:bCs/>
          <w:color w:val="000000"/>
          <w:sz w:val="20"/>
          <w:szCs w:val="20"/>
        </w:rPr>
        <w:t xml:space="preserve">Tableau 1 : Technologies utilisées dans GuichetIA</w:t>
      </w:r>
    </w:p>
    <w:p>
      <w:pPr>
        <w:pStyle w:val="Heading2"/>
        <w:spacing w:after="120" w:before="240"/>
      </w:pPr>
      <w:r>
        <w:rPr>
          <w:rFonts w:ascii="Times New Roman" w:cs="Times New Roman" w:eastAsia="Times New Roman" w:hAnsi="Times New Roman"/>
          <w:b/>
          <w:bCs/>
          <w:color w:val="000000"/>
          <w:sz w:val="26"/>
          <w:szCs w:val="26"/>
        </w:rPr>
        <w:t xml:space="preserve">2.2 Flux de traitement d'une requête</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Lorsque l'utilisateur soumet une question, le système exécute les étapes suivantes de manière séquentielle :</w:t>
      </w:r>
    </w:p>
    <w:p>
      <w:pPr>
        <w:pStyle w:val="ListParagraph"/>
        <w:numPr>
          <w:ilvl w:val="0"/>
          <w:numId w:val="2"/>
        </w:numPr>
      </w:pPr>
      <w:r>
        <w:rPr>
          <w:rFonts w:ascii="Times New Roman" w:cs="Times New Roman" w:eastAsia="Times New Roman" w:hAnsi="Times New Roman"/>
          <w:sz w:val="22"/>
          <w:szCs w:val="22"/>
        </w:rPr>
        <w:t xml:space="preserve">L'utilisateur saisit sa question en français dans l'interface React (frontend Vercel).</w:t>
      </w:r>
    </w:p>
    <w:p>
      <w:pPr>
        <w:pStyle w:val="ListParagraph"/>
        <w:numPr>
          <w:ilvl w:val="0"/>
          <w:numId w:val="2"/>
        </w:numPr>
      </w:pPr>
      <w:r>
        <w:rPr>
          <w:rFonts w:ascii="Times New Roman" w:cs="Times New Roman" w:eastAsia="Times New Roman" w:hAnsi="Times New Roman"/>
          <w:sz w:val="22"/>
          <w:szCs w:val="22"/>
        </w:rPr>
        <w:t xml:space="preserve">Le frontend envoie la question au backend via une requête HTTP POST /ask au format JSON.</w:t>
      </w:r>
    </w:p>
    <w:p>
      <w:pPr>
        <w:pStyle w:val="ListParagraph"/>
        <w:numPr>
          <w:ilvl w:val="0"/>
          <w:numId w:val="2"/>
        </w:numPr>
      </w:pPr>
      <w:r>
        <w:rPr>
          <w:rFonts w:ascii="Times New Roman" w:cs="Times New Roman" w:eastAsia="Times New Roman" w:hAnsi="Times New Roman"/>
          <w:sz w:val="22"/>
          <w:szCs w:val="22"/>
        </w:rPr>
        <w:t xml:space="preserve">Le backend encode la question en vecteur de dimension 768 via l'API d'inférence HuggingFace (modèle sentence-transformers/paraphrase-multilingual-MiniLM-L12-v2).</w:t>
      </w:r>
    </w:p>
    <w:p>
      <w:pPr>
        <w:pStyle w:val="ListParagraph"/>
        <w:numPr>
          <w:ilvl w:val="0"/>
          <w:numId w:val="2"/>
        </w:numPr>
      </w:pPr>
      <w:r>
        <w:rPr>
          <w:rFonts w:ascii="Times New Roman" w:cs="Times New Roman" w:eastAsia="Times New Roman" w:hAnsi="Times New Roman"/>
          <w:sz w:val="22"/>
          <w:szCs w:val="22"/>
        </w:rPr>
        <w:t xml:space="preserve">Le vecteur est normalisé en L2 pour assurer la cohérence avec la métrique cosinus de ChromaDB.</w:t>
      </w:r>
    </w:p>
    <w:p>
      <w:pPr>
        <w:pStyle w:val="ListParagraph"/>
        <w:numPr>
          <w:ilvl w:val="0"/>
          <w:numId w:val="2"/>
        </w:numPr>
      </w:pPr>
      <w:r>
        <w:rPr>
          <w:rFonts w:ascii="Times New Roman" w:cs="Times New Roman" w:eastAsia="Times New Roman" w:hAnsi="Times New Roman"/>
          <w:sz w:val="22"/>
          <w:szCs w:val="22"/>
        </w:rPr>
        <w:t xml:space="preserve">ChromaDB effectue une recherche par similarité cosinus et retourne les k=6 chunks les plus pertinents.</w:t>
      </w:r>
    </w:p>
    <w:p>
      <w:pPr>
        <w:pStyle w:val="ListParagraph"/>
        <w:numPr>
          <w:ilvl w:val="0"/>
          <w:numId w:val="2"/>
        </w:numPr>
      </w:pPr>
      <w:r>
        <w:rPr>
          <w:rFonts w:ascii="Times New Roman" w:cs="Times New Roman" w:eastAsia="Times New Roman" w:hAnsi="Times New Roman"/>
          <w:sz w:val="22"/>
          <w:szCs w:val="22"/>
        </w:rPr>
        <w:t xml:space="preserve">Les 6 chunks sont injectés dans un prompt système structuré (rôle, contexte, contraintes).</w:t>
      </w:r>
    </w:p>
    <w:p>
      <w:pPr>
        <w:pStyle w:val="ListParagraph"/>
        <w:numPr>
          <w:ilvl w:val="0"/>
          <w:numId w:val="2"/>
        </w:numPr>
      </w:pPr>
      <w:r>
        <w:rPr>
          <w:rFonts w:ascii="Times New Roman" w:cs="Times New Roman" w:eastAsia="Times New Roman" w:hAnsi="Times New Roman"/>
          <w:sz w:val="22"/>
          <w:szCs w:val="22"/>
        </w:rPr>
        <w:t xml:space="preserve">Groq (Llama-3.1-8b-instant) génère la réponse finale avec une latence typique de 200 à 500 ms.</w:t>
      </w:r>
    </w:p>
    <w:p>
      <w:pPr>
        <w:pStyle w:val="ListParagraph"/>
        <w:numPr>
          <w:ilvl w:val="0"/>
          <w:numId w:val="2"/>
        </w:numPr>
      </w:pPr>
      <w:r>
        <w:rPr>
          <w:rFonts w:ascii="Times New Roman" w:cs="Times New Roman" w:eastAsia="Times New Roman" w:hAnsi="Times New Roman"/>
          <w:sz w:val="22"/>
          <w:szCs w:val="22"/>
        </w:rPr>
        <w:t xml:space="preserve">Le backend retourne un objet JSON contenant la réponse, les sources identifiées, les scores de pertinence par chunk et les temps de traitement.</w:t>
      </w:r>
    </w:p>
    <w:p>
      <w:pPr>
        <w:pStyle w:val="ListParagraph"/>
        <w:numPr>
          <w:ilvl w:val="0"/>
          <w:numId w:val="2"/>
        </w:numPr>
      </w:pPr>
      <w:r>
        <w:rPr>
          <w:rFonts w:ascii="Times New Roman" w:cs="Times New Roman" w:eastAsia="Times New Roman" w:hAnsi="Times New Roman"/>
          <w:sz w:val="22"/>
          <w:szCs w:val="22"/>
        </w:rPr>
        <w:t xml:space="preserve">Le frontend affiche la réponse, les badges colorés par démarche, les liens officiels et le panneau RAG détaillé.</w:t>
      </w:r>
    </w:p>
    <w:p>
      <w:r>
        <w:br w:type="page"/>
      </w:r>
    </w:p>
    <w:p>
      <w:pPr>
        <w:pStyle w:val="Heading1"/>
        <w:spacing w:after="160" w:before="360"/>
      </w:pPr>
      <w:r>
        <w:rPr>
          <w:rFonts w:ascii="Times New Roman" w:cs="Times New Roman" w:eastAsia="Times New Roman" w:hAnsi="Times New Roman"/>
          <w:b/>
          <w:bCs/>
          <w:color w:val="000000"/>
          <w:sz w:val="32"/>
          <w:szCs w:val="32"/>
        </w:rPr>
        <w:t xml:space="preserve">3. Constitution de la Base Documentaire</w:t>
      </w:r>
    </w:p>
    <w:p>
      <w:pPr>
        <w:pStyle w:val="Heading2"/>
        <w:spacing w:after="120" w:before="240"/>
      </w:pPr>
      <w:r>
        <w:rPr>
          <w:rFonts w:ascii="Times New Roman" w:cs="Times New Roman" w:eastAsia="Times New Roman" w:hAnsi="Times New Roman"/>
          <w:b/>
          <w:bCs/>
          <w:color w:val="000000"/>
          <w:sz w:val="26"/>
          <w:szCs w:val="26"/>
        </w:rPr>
        <w:t xml:space="preserve">3.1 Sources de données</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Les informations administratives intégrées dans GuichetIA proviennent exclusivement de sources officielles burkinabè. Cette exclusivité est une garantie de fiabilité et de légitimité des réponses fournies par l'assistant. Six sources ont été identifiées, correspondant aux six démarches administratives couvertes par le système.</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Le tableau suivant récapitule les six sources officielles et les informations clés disponibles pour chaque démarche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Démarche</w:t>
            </w:r>
          </w:p>
        </w:tc>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Source officielle</w:t>
            </w:r>
          </w:p>
        </w:tc>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Délai / Coût</w:t>
            </w:r>
          </w:p>
        </w:tc>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Lien officiel</w:t>
            </w:r>
          </w:p>
        </w:tc>
      </w:tr>
      <w:tr>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CNIB</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ONI (oni.bf)</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2 500 F CFA, validité 10 ans</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oni.bf/nos-prestations/cnib</w:t>
            </w:r>
          </w:p>
        </w:tc>
      </w:tr>
      <w:tr>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Passeport</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ONI + police.gov.bf</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50 000 F CFA, 72 h, validité 5 ans</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oni.bf/nos-prestations/passeport</w:t>
            </w:r>
          </w:p>
        </w:tc>
      </w:tr>
      <w:tr>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Casier judiciaire</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ecasier-judiciaire.gov.bf</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750 F CFA (mobile money)</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ecasier-judiciaire.gov.bf</w:t>
            </w:r>
          </w:p>
        </w:tc>
      </w:tr>
      <w:tr>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Acte de naissance</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service-public.gov.bf</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Gratuit (mairie compétente)</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service-public.gov.bf</w:t>
            </w:r>
          </w:p>
        </w:tc>
      </w:tr>
      <w:tr>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Création d'entreprise</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creerentreprise.me.bf</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Variable selon le type</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ceerentreprise.me.bf</w:t>
            </w:r>
          </w:p>
        </w:tc>
      </w:tr>
      <w:tr>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Certificat de nationalité</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ecertificat-nationalite.gov.bf</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Gratuit (service en ligne)</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ecertificat-nationalite.gov.bf</w:t>
            </w:r>
          </w:p>
        </w:tc>
      </w:tr>
    </w:tbl>
    <w:p>
      <w:pPr>
        <w:spacing w:after="80" w:before="80"/>
        <w:jc w:val="center"/>
      </w:pPr>
      <w:r>
        <w:rPr>
          <w:rFonts w:ascii="Times New Roman" w:cs="Times New Roman" w:eastAsia="Times New Roman" w:hAnsi="Times New Roman"/>
          <w:b/>
          <w:bCs/>
          <w:color w:val="000000"/>
          <w:sz w:val="20"/>
          <w:szCs w:val="20"/>
        </w:rPr>
        <w:t xml:space="preserve">Tableau 2 : Documents sources indexés dans ChromaDB</w:t>
      </w:r>
    </w:p>
    <w:p>
      <w:pPr>
        <w:pStyle w:val="Heading2"/>
        <w:spacing w:after="120" w:before="240"/>
      </w:pPr>
      <w:r>
        <w:rPr>
          <w:rFonts w:ascii="Times New Roman" w:cs="Times New Roman" w:eastAsia="Times New Roman" w:hAnsi="Times New Roman"/>
          <w:b/>
          <w:bCs/>
          <w:color w:val="000000"/>
          <w:sz w:val="26"/>
          <w:szCs w:val="26"/>
        </w:rPr>
        <w:t xml:space="preserve">3.2 Génération des documents PDF sources</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Un script Python dédié (generate_source_pdfs.py) génère automatiquement les six documents PDF à partir de données structurées et vérifiées sur les sites officiels. Cette approche présente plusieurs avantages : la structure des PDF est contrôlée et optimisée pour le chunking, le contenu peut être mis à jour et régénéré sans dépendance à des APIs web (scraping), et la traçabilité des sources est garantie. Les données du passeport ont notamment été enrichies avec les informations officielles de police.gov.bf, incluant le délai d'établissement de 72 heures ouvrables, l'obligation d'un timbre fiscal de 200 F CFA et la fourniture de trois photos d'identité.</w:t>
      </w:r>
    </w:p>
    <w:p>
      <w:pPr>
        <w:pStyle w:val="Heading2"/>
        <w:spacing w:after="120" w:before="240"/>
      </w:pPr>
      <w:r>
        <w:rPr>
          <w:rFonts w:ascii="Times New Roman" w:cs="Times New Roman" w:eastAsia="Times New Roman" w:hAnsi="Times New Roman"/>
          <w:b/>
          <w:bCs/>
          <w:color w:val="000000"/>
          <w:sz w:val="26"/>
          <w:szCs w:val="26"/>
        </w:rPr>
        <w:t xml:space="preserve">3.3 Chunking et indexation vectorielle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Chaque document PDF est découpé en segments (chunks) de taille fixe avec chevauchement afin de préserver la continuité sémantique entre les segments adjacents. Le chunking est réalisé par le module LangChain RecursiveCharacterTextSplitter. Les chunks sont ensuite encodés en vecteurs via l'API d'inférence HuggingFace et stockés dans ChromaDB avec leurs métadonnées (démarche associée, position dans le document). L'index ChromaDB est reconstruit à chaque déploiement sur Render, garantissant la prise en compte de toute mise à jour des documents sources.</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Les paramètres d'indexation ont été définis après expérimentation pour obtenir le meilleur équilibre entre précision et rappel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Paramètre</w:t>
            </w:r>
          </w:p>
        </w:tc>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Valeur</w:t>
            </w:r>
          </w:p>
        </w:tc>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Justification</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Taille du chunk</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500 tokens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Compromis contexte / précision</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Chevauchement</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50 tokens</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Continuité sémantique inter-chunks</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Modèle d'embedding</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paraphrase-multilingual-MiniLM-L12-v2</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Qualité multilingue, API gratuite</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Métrique de distance</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Cosinus</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Invariance à la norme des vecteurs</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Normalisation L2</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Appliquée avant indexation</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Cohérence avec la métrique cosinus</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Nombre de résultats (k)</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6</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Couverture suffisante sans bruit excessif</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Chunks indexés (total)</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32 chunks</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6 documents × ~5 chunks en moyenne</w:t>
            </w:r>
          </w:p>
        </w:tc>
      </w:tr>
    </w:tbl>
    <w:p>
      <w:pPr>
        <w:spacing w:after="80" w:before="80"/>
        <w:jc w:val="center"/>
      </w:pPr>
      <w:r>
        <w:rPr>
          <w:rFonts w:ascii="Times New Roman" w:cs="Times New Roman" w:eastAsia="Times New Roman" w:hAnsi="Times New Roman"/>
          <w:b/>
          <w:bCs/>
          <w:color w:val="000000"/>
          <w:sz w:val="20"/>
          <w:szCs w:val="20"/>
        </w:rPr>
        <w:t xml:space="preserve">Tableau 3 : Paramètres d'indexation ChromaDB</w:t>
      </w:r>
    </w:p>
    <w:p>
      <w:r>
        <w:br w:type="page"/>
      </w:r>
    </w:p>
    <w:p>
      <w:pPr>
        <w:pStyle w:val="Heading1"/>
        <w:spacing w:after="160" w:before="360"/>
      </w:pPr>
      <w:r>
        <w:rPr>
          <w:rFonts w:ascii="Times New Roman" w:cs="Times New Roman" w:eastAsia="Times New Roman" w:hAnsi="Times New Roman"/>
          <w:b/>
          <w:bCs/>
          <w:color w:val="000000"/>
          <w:sz w:val="32"/>
          <w:szCs w:val="32"/>
        </w:rPr>
        <w:t xml:space="preserve">4. Pipeline RAG (Retrieval-Augmented Generation)</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pipeline RAG de GuichetIA est conçu pour maximiser la pertinence des réponses tout en respectant les contraintes de latence imposées par le plan gratuit de Render. Chaque composant du pipeline est optimisé indépendamment : l'encodage utilise un modèle multilingue léger mais performant, la recherche est limitée à 6 résultats pour éviter la dilution du contexte, et le LLM est configuré avec une température basse (0,1) pour des réponses factuelles et précises.</w:t>
      </w:r>
    </w:p>
    <w:p>
      <w:pPr>
        <w:pStyle w:val="Heading2"/>
        <w:spacing w:after="120" w:before="240"/>
      </w:pPr>
      <w:r>
        <w:rPr>
          <w:rFonts w:ascii="Times New Roman" w:cs="Times New Roman" w:eastAsia="Times New Roman" w:hAnsi="Times New Roman"/>
          <w:b/>
          <w:bCs/>
          <w:color w:val="000000"/>
          <w:sz w:val="26"/>
          <w:szCs w:val="26"/>
        </w:rPr>
        <w:t xml:space="preserve">4.1 Encodage des requêtes et normalisation</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La requête de l'utilisateur est encodée en un vecteur dense de dimension 768 via l'API d'inférence HuggingFace, sans chargement local du modèle. Ce choix est motivé par la contrainte mémoire de 512 Mo imposée par Render : charger le modèle en local dépasserait cette limite. Les vecteurs produits sont normalisés en L2 avant indexation et avant chaque recherche, ce qui garantit la cohérence avec la métrique cosinus de ChromaDB et rend les scores de distance comparables quelle que soit la longueur du texte encodé.</w:t>
      </w:r>
    </w:p>
    <w:p>
      <w:pPr>
        <w:pStyle w:val="Heading2"/>
        <w:spacing w:after="120" w:before="240"/>
      </w:pPr>
      <w:r>
        <w:rPr>
          <w:rFonts w:ascii="Times New Roman" w:cs="Times New Roman" w:eastAsia="Times New Roman" w:hAnsi="Times New Roman"/>
          <w:b/>
          <w:bCs/>
          <w:color w:val="000000"/>
          <w:sz w:val="26"/>
          <w:szCs w:val="26"/>
        </w:rPr>
        <w:t xml:space="preserve">4.2 Calcul du score de pertinence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ChromaDB retourne une distance cosinus comprise entre 0 et 2 (0 signifiant vecteurs identiques, 2 signifiant vecteurs orthogonaux). Le score de pertinence affiché à l'utilisateur est calculé selon la formule ci-dessus. Ainsi, une distance de 0,30 correspond à un score de 70 %, indiquant une forte pertinence. Une distance supérieure à 0,70 (score inférieur à 30 %) révèle un contexte peu pertinent. Le système signale à l'utilisateur lorsque la pertinence est insuffisante pour répondre avec confiance.</w:t>
      </w:r>
    </w:p>
    <w:p>
      <w:pPr>
        <w:spacing w:after="120" w:before="120"/>
        <w:jc w:val="center"/>
      </w:pPr>
      <w:r>
        <w:rPr>
          <w:rFonts w:ascii="Times New Roman" w:cs="Times New Roman" w:eastAsia="Times New Roman" w:hAnsi="Times New Roman"/>
          <w:i/>
          <w:iCs/>
          <w:sz w:val="22"/>
          <w:szCs w:val="22"/>
        </w:rPr>
        <w:t xml:space="preserve">score (%) = (1 − d</w:t>
      </w:r>
      <w:r>
        <w:rPr>
          <w:rFonts w:ascii="Times New Roman" w:cs="Times New Roman" w:eastAsia="Times New Roman" w:hAnsi="Times New Roman"/>
          <w:i/>
          <w:iCs/>
          <w:sz w:val="18"/>
          <w:szCs w:val="18"/>
          <w:vertAlign w:val="subscript"/>
        </w:rPr>
        <w:t xml:space="preserve">cosinus</w:t>
      </w:r>
      <w:r>
        <w:rPr>
          <w:rFonts w:ascii="Times New Roman" w:cs="Times New Roman" w:eastAsia="Times New Roman" w:hAnsi="Times New Roman"/>
          <w:i/>
          <w:iCs/>
          <w:sz w:val="22"/>
          <w:szCs w:val="22"/>
        </w:rPr>
        <w:t xml:space="preserve">) × 100</w:t>
      </w:r>
    </w:p>
    <w:p>
      <w:pPr>
        <w:pStyle w:val="Heading2"/>
        <w:spacing w:after="120" w:before="240"/>
      </w:pPr>
      <w:r>
        <w:rPr>
          <w:rFonts w:ascii="Times New Roman" w:cs="Times New Roman" w:eastAsia="Times New Roman" w:hAnsi="Times New Roman"/>
          <w:b/>
          <w:bCs/>
          <w:color w:val="000000"/>
          <w:sz w:val="26"/>
          <w:szCs w:val="26"/>
        </w:rPr>
        <w:t xml:space="preserve">4.3 Construction du prompt</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prompt envoyé au LLM est composé de trois parties distinctes : (1) un rôle explicite définissant l'assistant comme expert en démarches administratives burkinabè, (2) le contexte documentaire constitué des 6 chunks récupérés, chacun numéroté et associé à sa source, et (3) un ensemble d'instructions strictes : répondre uniquement à partir du contexte fourni, citer les sources utilisées, indiquer explicitement lorsque l'information n'est pas disponible dans la base documentaire, et ne jamais inventer de données administratives.</w:t>
      </w:r>
    </w:p>
    <w:p>
      <w:pPr>
        <w:pStyle w:val="Heading2"/>
        <w:spacing w:after="120" w:before="240"/>
      </w:pPr>
      <w:r>
        <w:rPr>
          <w:rFonts w:ascii="Times New Roman" w:cs="Times New Roman" w:eastAsia="Times New Roman" w:hAnsi="Times New Roman"/>
          <w:b/>
          <w:bCs/>
          <w:color w:val="000000"/>
          <w:sz w:val="26"/>
          <w:szCs w:val="26"/>
        </w:rPr>
        <w:t xml:space="preserve">4.4 Génération de la réponse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Groq fournit une API d'inférence compatible OpenAI pour le modèle Llama-3.1-8b-instant. Ce modèle de 8 milliards de paramètres, dans sa version instruction-tuned, offre un excellent compromis entre performance et vitesse. La latence typique observée est de 200 à 500 ms pour une réponse complète, ce qui est parfaitement acceptable pour une application web interactive. Le modèle suit fidèlement les contraintes du prompt et produit des réponses structurées, en français, avec citation des sources.</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Le tableau suivant présente la configuration complète du LLM utilisé :</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Paramètre</w:t>
            </w:r>
          </w:p>
        </w:tc>
        <w:tc>
          <w:tcPr>
            <w:tcW w:type="dxa" w:w="4536"/>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Valeur</w:t>
            </w:r>
          </w:p>
        </w:tc>
      </w:tr>
      <w:tr>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Fournisseur</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Groq (API compatible OpenAI)</w:t>
            </w:r>
          </w:p>
        </w:tc>
      </w:tr>
      <w:tr>
        <w:tc>
          <w:tcPr>
            <w:tcW w:type="dxa" w:w="453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Modèle</w:t>
            </w:r>
          </w:p>
        </w:tc>
        <w:tc>
          <w:tcPr>
            <w:tcW w:type="dxa" w:w="453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llama-3.1-8b-instant</w:t>
            </w:r>
          </w:p>
        </w:tc>
      </w:tr>
      <w:tr>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Température</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0,1 (réponses factuelles et stables)</w:t>
            </w:r>
          </w:p>
        </w:tc>
      </w:tr>
      <w:tr>
        <w:tc>
          <w:tcPr>
            <w:tcW w:type="dxa" w:w="453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Max tokens (réponse)</w:t>
            </w:r>
          </w:p>
        </w:tc>
        <w:tc>
          <w:tcPr>
            <w:tcW w:type="dxa" w:w="453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1 024 tokens</w:t>
            </w:r>
          </w:p>
        </w:tc>
      </w:tr>
      <w:tr>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Latence typique</w:t>
            </w:r>
          </w:p>
        </w:tc>
        <w:tc>
          <w:tcPr>
            <w:tcW w:type="dxa" w:w="45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200 – 500 ms</w:t>
            </w:r>
          </w:p>
        </w:tc>
      </w:tr>
      <w:tr>
        <w:tc>
          <w:tcPr>
            <w:tcW w:type="dxa" w:w="453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Langue cible</w:t>
            </w:r>
          </w:p>
        </w:tc>
        <w:tc>
          <w:tcPr>
            <w:tcW w:type="dxa" w:w="453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Français (Burkina Faso)</w:t>
            </w:r>
          </w:p>
        </w:tc>
      </w:tr>
    </w:tbl>
    <w:p>
      <w:pPr>
        <w:spacing w:after="80" w:before="80"/>
        <w:jc w:val="center"/>
      </w:pPr>
      <w:r>
        <w:rPr>
          <w:rFonts w:ascii="Times New Roman" w:cs="Times New Roman" w:eastAsia="Times New Roman" w:hAnsi="Times New Roman"/>
          <w:b/>
          <w:bCs/>
          <w:color w:val="000000"/>
          <w:sz w:val="20"/>
          <w:szCs w:val="20"/>
        </w:rPr>
        <w:t xml:space="preserve">Tableau 4 : Configuration du modèle de génération</w:t>
      </w:r>
    </w:p>
    <w:p>
      <w:r>
        <w:br w:type="page"/>
      </w:r>
    </w:p>
    <w:p>
      <w:pPr>
        <w:pStyle w:val="Heading1"/>
        <w:spacing w:after="160" w:before="360"/>
      </w:pPr>
      <w:r>
        <w:rPr>
          <w:rFonts w:ascii="Times New Roman" w:cs="Times New Roman" w:eastAsia="Times New Roman" w:hAnsi="Times New Roman"/>
          <w:b/>
          <w:bCs/>
          <w:color w:val="000000"/>
          <w:sz w:val="32"/>
          <w:szCs w:val="32"/>
        </w:rPr>
        <w:t xml:space="preserve">5. Interface Utilisateur</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L'interface utilisateur de GuichetIA est développée en React 18 avec Tailwind CSS v3. Elle est conçue pour être intuitive, responsive et visuellement cohérente avec l'identité du service public burkinabè. L'interface comprend trois pages principales : la page d'accueil (Landing Page), le tableau de bord de conversation (Chat Dashboard) et la page À propos.</w:t>
      </w:r>
    </w:p>
    <w:p>
      <w:pPr>
        <w:pStyle w:val="Heading2"/>
        <w:spacing w:after="120" w:before="240"/>
      </w:pPr>
      <w:r>
        <w:rPr>
          <w:rFonts w:ascii="Times New Roman" w:cs="Times New Roman" w:eastAsia="Times New Roman" w:hAnsi="Times New Roman"/>
          <w:b/>
          <w:bCs/>
          <w:color w:val="000000"/>
          <w:sz w:val="26"/>
          <w:szCs w:val="26"/>
        </w:rPr>
        <w:t xml:space="preserve">5.1 Page d'accueil</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La page d'accueil (Figure 2) présente le service de manière claire et attractive. Elle est structurée en trois zones distinctes : (1) une section héroïque avec le titre animé "Guichet IA Administratif &amp; Juridique", une accroche descriptive et deux boutons d'appel à l'action ("Commencer" et "En savoir plus") ; (2) une barre de statistiques affichant en temps réel les indicateurs clés du système : 6 démarches couvertes, 32 chunks indexés et 100 % de précision retrieval ; (3) une grille de six cartes interactives représentant chacune une démarche administrative, permettant une navigation directe vers la conversation sur le sujet choisi. Un indicateur "Systeme RAG opérationnel" en vert en haut de page confirme la disponibilité du backend en temps réel via le point de santé /health de l'API FastAPI.</w:t>
      </w:r>
    </w:p>
    <w:p>
      <w:pPr>
        <w:spacing w:after="80" w:before="160"/>
        <w:jc w:val="center"/>
      </w:pPr>
      <w:r>
        <w:drawing>
          <wp:inline distT="0" distB="0" distL="0" distR="0">
            <wp:extent cx="5715000" cy="4857750"/>
            <wp:effectExtent t="0" r="0" b="0" l="0"/>
            <wp:docPr id="1" name="capture" descr="Interface GuichetIA" title="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857750"/>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000000"/>
          <w:sz w:val="20"/>
          <w:szCs w:val="20"/>
        </w:rPr>
        <w:t xml:space="preserve">Figure 2 : Page d'accueil de GuichetIA : section héroïque, statistiques et grille des six démarches</w:t>
      </w:r>
    </w:p>
    <w:p>
      <w:pPr>
        <w:pStyle w:val="Heading2"/>
        <w:spacing w:after="120" w:before="240"/>
      </w:pPr>
      <w:r>
        <w:rPr>
          <w:rFonts w:ascii="Times New Roman" w:cs="Times New Roman" w:eastAsia="Times New Roman" w:hAnsi="Times New Roman"/>
          <w:b/>
          <w:bCs/>
          <w:color w:val="000000"/>
          <w:sz w:val="26"/>
          <w:szCs w:val="26"/>
        </w:rPr>
        <w:t xml:space="preserve">5.2 Interface de conversation</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tableau de bord de conversation (Figure 3) s'affiche après avoir cliqué sur "Commencer". Il est organisé en trois zones : (1) une barre latérale gauche (sidebar) sur fond sombre contenant la navigation entre les sections Conversation, Démarches et Favoris, ainsi que l'historique des conversations passées groupées par date ; (2) la zone de conversation centrale affichant le message de bienvenue de GuichetIA et, sur l'écran d'accueil, six cartes de suggestions réparties en grille 2×3, une par démarche (CNIB, Passeport, Acte de naissance, Casier judiciaire, Création d'entreprise, Certificat de nationalité). Chaque carte affiche un badge coloré identifiant la démarche et une question représentative ; (3) un panneau RAG escamotable à droite, visible uniquement sur les grands écrans, qui affiche les métriques détaillées de la dernière requête.</w:t>
      </w:r>
    </w:p>
    <w:p>
      <w:pPr>
        <w:spacing w:after="80" w:before="160"/>
        <w:jc w:val="center"/>
      </w:pPr>
      <w:r>
        <w:drawing>
          <wp:inline distT="0" distB="0" distL="0" distR="0">
            <wp:extent cx="5715000" cy="2638425"/>
            <wp:effectExtent t="0" r="0" b="0" l="0"/>
            <wp:docPr id="1" name="capture" descr="Interface GuichetIA" title="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000000"/>
          <w:sz w:val="20"/>
          <w:szCs w:val="20"/>
        </w:rPr>
        <w:t xml:space="preserve">Figure 3 : Interface de chat : écran d'accueil avec six cartes de suggestion, une par démarche administrative</w:t>
      </w:r>
    </w:p>
    <w:p>
      <w:pPr>
        <w:pStyle w:val="Heading2"/>
        <w:spacing w:after="120" w:before="240"/>
      </w:pPr>
      <w:r>
        <w:rPr>
          <w:rFonts w:ascii="Times New Roman" w:cs="Times New Roman" w:eastAsia="Times New Roman" w:hAnsi="Times New Roman"/>
          <w:b/>
          <w:bCs/>
          <w:color w:val="000000"/>
          <w:sz w:val="26"/>
          <w:szCs w:val="26"/>
        </w:rPr>
        <w:t xml:space="preserve">5.3 Réponse et sources</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La Figure 4 illustre l'interface après la soumission d'une question sur le passeport ("Combien coûte le passeport burkinabè et quelle est sa validité ?"). On y observe les éléments suivants : la réponse de GuichetIA, précise et sourcée ("Le passeport burkinabè coûte 50 000 F CFA et a une durée de validité de cinq (05) ans") ; des badges de démarche colorés identifiant les sources documentaires utilisées (Certificat de nationalité et Passeport) ; des liens officiels vers les sites gouvernementaux compétents (e.Certificat de nationalité et ONI, Office National d'Identification) ; les boutons de feedback "Utile" / "Non utile" permettant d'évaluer la pertinence de la réponse ; et la section "Vous pourriez aussi demander" proposant trois questions de suivi pertinentes sur la même démarche, générées localement par détection de mots-clés. L'indicateur "En ligne" en vert dans la barre de navigation confirme la disponibilité du backend à chaque requête.</w:t>
      </w:r>
    </w:p>
    <w:p>
      <w:pPr>
        <w:spacing w:after="80" w:before="160"/>
        <w:jc w:val="center"/>
      </w:pPr>
      <w:r>
        <w:drawing>
          <wp:inline distT="0" distB="0" distL="0" distR="0">
            <wp:extent cx="5715000" cy="2638425"/>
            <wp:effectExtent t="0" r="0" b="0" l="0"/>
            <wp:docPr id="1" name="capture" descr="Interface GuichetIA" title="Capture d'éc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638425"/>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000000"/>
          <w:sz w:val="20"/>
          <w:szCs w:val="20"/>
        </w:rPr>
        <w:t xml:space="preserve">Figure 4 : Réponse à une question sur le passeport burkinabè : sources, liens officiels et suggestions de suivi</w:t>
      </w:r>
    </w:p>
    <w:p>
      <w:pPr>
        <w:pStyle w:val="Heading2"/>
        <w:spacing w:after="120" w:before="240"/>
      </w:pPr>
      <w:r>
        <w:rPr>
          <w:rFonts w:ascii="Times New Roman" w:cs="Times New Roman" w:eastAsia="Times New Roman" w:hAnsi="Times New Roman"/>
          <w:b/>
          <w:bCs/>
          <w:color w:val="000000"/>
          <w:sz w:val="26"/>
          <w:szCs w:val="26"/>
        </w:rPr>
        <w:t xml:space="preserve">5.4 Panneau d'analyse RAG</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panneau RAG (escamotable, visible sur grands écrans) offre une transparence totale sur le fonctionnement interne du système. Il affiche en temps réel le nombre de chunks récupérés (k = 6), le temps de recherche vectorielle, le temps de génération LLM, le modèle utilisé, les démarches identifiées et, pour chaque chunk, le score de pertinence et un extrait du texte retrouvé. Cette transparence, inhabituelle dans les assistants conversationnels grand public, est un atout pédagogique important dans le cadre d'un projet académique et renforce la confiance de l'utilisateur dans les réponses fournies.</w:t>
      </w:r>
    </w:p>
    <w:p>
      <w:pPr>
        <w:pStyle w:val="Heading2"/>
        <w:spacing w:after="120" w:before="240"/>
      </w:pPr>
      <w:r>
        <w:rPr>
          <w:rFonts w:ascii="Times New Roman" w:cs="Times New Roman" w:eastAsia="Times New Roman" w:hAnsi="Times New Roman"/>
          <w:b/>
          <w:bCs/>
          <w:color w:val="000000"/>
          <w:sz w:val="26"/>
          <w:szCs w:val="26"/>
        </w:rPr>
        <w:t xml:space="preserve">5.5 Système de suggestions intelligentes</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L'interface propose deux niveaux de suggestions. Sur l'écran d'accueil, six cartes affichent une question représentative par démarche, permettant à l'utilisateur de démarrer immédiatement sans avoir à formuler sa propre question. Après chaque réponse, la section 'Vous pourriez aussi demander' propose trois questions de suivi liées à la même démarche, générées localement par détection de mots-clés (sans appel API supplémentaire). Ce mécanisme de suggestion locale est plus fiable que la version précédente basée sur les chunks ChromaDB retournés, car il garantit la cohérence thématique des suggestions quelle que soit la question posée.</w:t>
      </w:r>
    </w:p>
    <w:p>
      <w:r>
        <w:br w:type="page"/>
      </w:r>
    </w:p>
    <w:p>
      <w:pPr>
        <w:pStyle w:val="Heading1"/>
        <w:spacing w:after="160" w:before="360"/>
      </w:pPr>
      <w:r>
        <w:rPr>
          <w:rFonts w:ascii="Times New Roman" w:cs="Times New Roman" w:eastAsia="Times New Roman" w:hAnsi="Times New Roman"/>
          <w:b/>
          <w:bCs/>
          <w:color w:val="000000"/>
          <w:sz w:val="32"/>
          <w:szCs w:val="32"/>
        </w:rPr>
        <w:t xml:space="preserve">6. Déploiement et Infrastructure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déploiement de GuichetIA suit une architecture cloud entièrement gratuite, dissociée entre backend et frontend. Cette séparation permet de mettre à jour chaque composant indépendamment et d'optimiser chacun selon ses contraintes propres.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Composant</w:t>
            </w:r>
          </w:p>
        </w:tc>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Plateforme</w:t>
            </w:r>
          </w:p>
        </w:tc>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URL</w:t>
            </w:r>
          </w:p>
        </w:tc>
        <w:tc>
          <w:tcPr>
            <w:tcW w:type="dxa" w:w="2268"/>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Spécificités</w:t>
            </w:r>
          </w:p>
        </w:tc>
      </w:tr>
      <w:tr>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Backend API</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Render (gratuit)</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guichetia-backend.onrender.com</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512 Mo RAM, mise en veille 15 min</w:t>
            </w:r>
          </w:p>
        </w:tc>
      </w:tr>
      <w:tr>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Frontend</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Vercel</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projet-data-science-guichet-ia.vercel.app</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CDN mondial, build automatique</w:t>
            </w:r>
          </w:p>
        </w:tc>
      </w:tr>
      <w:tr>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Base vectorielle</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ChromaDB (embarqué)</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Reconstruit à chaque déploiement</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Pas de service externe requis</w:t>
            </w:r>
          </w:p>
        </w:tc>
      </w:tr>
      <w:tr>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LLM</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Groq API</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api.groq.com</w:t>
            </w:r>
          </w:p>
        </w:tc>
        <w:tc>
          <w:tcPr>
            <w:tcW w:type="dxa" w:w="2268"/>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Plan gratuit, 6 000 req/min</w:t>
            </w:r>
          </w:p>
        </w:tc>
      </w:tr>
      <w:tr>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Embeddings</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HuggingFace Inference API</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api-inference.huggingface.co</w:t>
            </w:r>
          </w:p>
        </w:tc>
        <w:tc>
          <w:tcPr>
            <w:tcW w:type="dxa" w:w="22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Plan gratuit, modèle multilingue</w:t>
            </w:r>
          </w:p>
        </w:tc>
      </w:tr>
    </w:tbl>
    <w:p>
      <w:pPr>
        <w:spacing w:after="80" w:before="80"/>
        <w:jc w:val="center"/>
      </w:pPr>
      <w:r>
        <w:rPr>
          <w:rFonts w:ascii="Times New Roman" w:cs="Times New Roman" w:eastAsia="Times New Roman" w:hAnsi="Times New Roman"/>
          <w:b/>
          <w:bCs/>
          <w:color w:val="000000"/>
          <w:sz w:val="20"/>
          <w:szCs w:val="20"/>
        </w:rPr>
        <w:t xml:space="preserve">Tableau 5 : Architecture de déploiement de GuichetIA</w:t>
      </w:r>
    </w:p>
    <w:p>
      <w:pPr>
        <w:pStyle w:val="Heading2"/>
        <w:spacing w:after="120" w:before="240"/>
      </w:pPr>
      <w:r>
        <w:rPr>
          <w:rFonts w:ascii="Times New Roman" w:cs="Times New Roman" w:eastAsia="Times New Roman" w:hAnsi="Times New Roman"/>
          <w:b/>
          <w:bCs/>
          <w:color w:val="000000"/>
          <w:sz w:val="26"/>
          <w:szCs w:val="26"/>
        </w:rPr>
        <w:t xml:space="preserve">6.1 Backend Render</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backend FastAPI est déployé sur Render via un fichier render.yaml versionné dans le dépôt Git. À chaque push sur la branche principale (main), Render déclenche automatiquement un redéploiement : installation des dépendances Python, reconstruction de l'index ChromaDB (python ingestion/build_index.py) et démarrage du serveur (uvicorn app.main:app). La reconstruction de l'index à chaque déploiement garantit que tout document source mis à jour est immédiatement pris en compte. La limitation principale du plan gratuit est la mise en veille après 15 minutes d'inactivité, ce qui entraîne un délai de démarrage à froid d'environ 30 à 50 secondes pour la première requête après une période d'inactivité.</w:t>
      </w:r>
    </w:p>
    <w:p>
      <w:pPr>
        <w:pStyle w:val="Heading2"/>
        <w:spacing w:after="120" w:before="240"/>
      </w:pPr>
      <w:r>
        <w:rPr>
          <w:rFonts w:ascii="Times New Roman" w:cs="Times New Roman" w:eastAsia="Times New Roman" w:hAnsi="Times New Roman"/>
          <w:b/>
          <w:bCs/>
          <w:color w:val="000000"/>
          <w:sz w:val="26"/>
          <w:szCs w:val="26"/>
        </w:rPr>
        <w:t xml:space="preserve">6.2 Frontend Vercel</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frontend React est déployé sur Vercel, également connecté au dépôt GitHub. Chaque push déclenche une compilation (npm run build via Vite/rolldown) et un déploiement instantané sur le CDN mondial de Vercel. L'URL de l'API backend est configurée via la variable d'environnement VITE_API_URL définie dans le tableau de bord Vercel. Le frontend bénéficie ainsi de performances optimales (temps de chargement &lt; 1 s) et d'une haute disponibilité.</w:t>
      </w:r>
    </w:p>
    <w:p>
      <w:pPr>
        <w:pStyle w:val="Heading2"/>
        <w:spacing w:after="120" w:before="240"/>
      </w:pPr>
      <w:r>
        <w:rPr>
          <w:rFonts w:ascii="Times New Roman" w:cs="Times New Roman" w:eastAsia="Times New Roman" w:hAnsi="Times New Roman"/>
          <w:b/>
          <w:bCs/>
          <w:color w:val="000000"/>
          <w:sz w:val="26"/>
          <w:szCs w:val="26"/>
        </w:rPr>
        <w:t xml:space="preserve">6.3 Intégration continue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 projet utilise GitHub comme dépôt central. Chaque commit poussé sur la branche main déclenche automatiquement les pipelines CI/CD de Render (backend) et de Vercel (frontend). Ce mécanisme garantit que la version déployée est toujours synchronisée avec le code source et que toute correction ou amélioration est immédiatement disponible pour les utilisateurs.</w:t>
      </w:r>
    </w:p>
    <w:p>
      <w:pPr>
        <w:pStyle w:val="Heading1"/>
        <w:spacing w:after="160" w:before="360"/>
      </w:pPr>
      <w:r>
        <w:rPr>
          <w:rFonts w:ascii="Times New Roman" w:cs="Times New Roman" w:eastAsia="Times New Roman" w:hAnsi="Times New Roman"/>
          <w:b/>
          <w:bCs/>
          <w:color w:val="000000"/>
          <w:sz w:val="32"/>
          <w:szCs w:val="32"/>
        </w:rPr>
        <w:t xml:space="preserve">7. Tests et Évaluation</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L'évaluation de GuichetIA porte sur trois dimensions : la pertinence du retrieval (capacité à retrouver les bons chunks), la qualité des réponses générées (précision, exhaustivité) et les performances techniques (latence, disponibilité).</w:t>
      </w:r>
    </w:p>
    <w:p>
      <w:pPr>
        <w:pStyle w:val="Heading2"/>
        <w:spacing w:after="120" w:before="240"/>
      </w:pPr>
      <w:r>
        <w:rPr>
          <w:rFonts w:ascii="Times New Roman" w:cs="Times New Roman" w:eastAsia="Times New Roman" w:hAnsi="Times New Roman"/>
          <w:b/>
          <w:bCs/>
          <w:color w:val="000000"/>
          <w:sz w:val="26"/>
          <w:szCs w:val="26"/>
        </w:rPr>
        <w:t xml:space="preserve">7.1 Évaluation qualitative</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L'évaluation qualitative a porté sur un ensemble de questions représentatives des six démarches couvertes. Pour chaque question, la réponse de GuichetIA a été comparée aux informations officielles disponibles sur les sites gouvernementaux. Les résultats montrent une précision factuelle élevée pour l'ensemble des démarches testées, avec des scores de pertinence ChromaDB cohérents avec la qualité des réponses.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Question de test</w:t>
            </w:r>
          </w:p>
        </w:tc>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Score moyen (%)</w:t>
            </w:r>
          </w:p>
        </w:tc>
        <w:tc>
          <w:tcPr>
            <w:tcW w:type="dxa" w:w="3024"/>
            <w:tcBorders>
              <w:top w:val="single" w:color="CCCCCC" w:sz="1"/>
              <w:left w:val="single" w:color="CCCCCC" w:sz="1"/>
              <w:bottom w:val="single" w:color="CCCCCC" w:sz="1"/>
              <w:right w:val="single" w:color="CCCCCC" w:sz="1"/>
            </w:tcBorders>
            <w:shd w:fill="4B6741" w:val="clear"/>
            <w:tcMar>
              <w:top w:type="dxa" w:w="80"/>
              <w:left w:type="dxa" w:w="120"/>
              <w:bottom w:type="dxa" w:w="80"/>
              <w:right w:type="dxa" w:w="120"/>
            </w:tcMar>
          </w:tcPr>
          <w:p>
            <w:pPr>
              <w:jc w:val="left"/>
            </w:pPr>
            <w:r>
              <w:rPr>
                <w:rFonts w:ascii="Times New Roman" w:cs="Times New Roman" w:eastAsia="Times New Roman" w:hAnsi="Times New Roman"/>
                <w:b/>
                <w:bCs/>
                <w:color w:val="FFFFFF"/>
                <w:sz w:val="20"/>
                <w:szCs w:val="20"/>
              </w:rPr>
              <w:t xml:space="preserve">Qualité de la réponse</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Quelles pièces pour obtenir une CNIB ?</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72 %</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Excellente : liste complète</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Quel est le délai pour un passeport ?</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68 %</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Bonne : 72 heures ouvrables</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Comment créer une entreprise au Burkina ?</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65 %</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Bonne : étapes CEFORE</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Comment obtenir un acte de naissance ?</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70 %</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Excellente : démarche complète</w:t>
            </w:r>
          </w:p>
        </w:tc>
      </w:tr>
      <w:tr>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Quelles pièces pour le casier judiciaire ?</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71 %</w:t>
            </w:r>
          </w:p>
        </w:tc>
        <w:tc>
          <w:tcPr>
            <w:tcW w:type="dxa" w:w="30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Excellente : lien e-casier</w:t>
            </w:r>
          </w:p>
        </w:tc>
      </w:tr>
      <w:tr>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Comment obtenir un certificat de nationalité ?</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69 %</w:t>
            </w:r>
          </w:p>
        </w:tc>
        <w:tc>
          <w:tcPr>
            <w:tcW w:type="dxa" w:w="3024"/>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pPr>
              <w:jc w:val="left"/>
            </w:pPr>
            <w:r>
              <w:rPr>
                <w:rFonts w:ascii="Times New Roman" w:cs="Times New Roman" w:eastAsia="Times New Roman" w:hAnsi="Times New Roman"/>
                <w:b w:val="false"/>
                <w:bCs w:val="false"/>
                <w:color w:val="000000"/>
                <w:sz w:val="20"/>
                <w:szCs w:val="20"/>
              </w:rPr>
              <w:t xml:space="preserve">Bonne : pièces et délais</w:t>
            </w:r>
          </w:p>
        </w:tc>
      </w:tr>
    </w:tbl>
    <w:p>
      <w:pPr>
        <w:spacing w:after="80" w:before="80"/>
        <w:jc w:val="center"/>
      </w:pPr>
      <w:r>
        <w:rPr>
          <w:rFonts w:ascii="Times New Roman" w:cs="Times New Roman" w:eastAsia="Times New Roman" w:hAnsi="Times New Roman"/>
          <w:b/>
          <w:bCs/>
          <w:color w:val="000000"/>
          <w:sz w:val="20"/>
          <w:szCs w:val="20"/>
        </w:rPr>
        <w:t xml:space="preserve">Tableau 6 : Résultats d'évaluation sur un échantillon de questions de test</w:t>
      </w:r>
    </w:p>
    <w:p>
      <w:pPr>
        <w:pStyle w:val="Heading2"/>
        <w:spacing w:after="120" w:before="240"/>
      </w:pPr>
      <w:r>
        <w:rPr>
          <w:rFonts w:ascii="Times New Roman" w:cs="Times New Roman" w:eastAsia="Times New Roman" w:hAnsi="Times New Roman"/>
          <w:b/>
          <w:bCs/>
          <w:color w:val="000000"/>
          <w:sz w:val="26"/>
          <w:szCs w:val="26"/>
        </w:rPr>
        <w:t xml:space="preserve">7.2 Évaluation des performances techniques</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Les mesures de performance collectées sur le backend Render (plan gratuit) indiquent une latence totale moyenne de 800 ms à 1 500 ms par requête, dont environ 200 à 500 ms pour la génération LLM (Groq) et 50 à 150 ms pour la recherche vectorielle ChromaDB. Ces performances sont satisfaisantes pour une application web interactive et cohérentes avec les objectifs du projet. La principale limitation reste la latence de démarrage à froid (cold start) de 30 à 50 secondes après une période d'inactivité.</w:t>
      </w:r>
    </w:p>
    <w:p>
      <w:r>
        <w:br w:type="page"/>
      </w:r>
    </w:p>
    <w:p>
      <w:pPr>
        <w:pStyle w:val="Heading1"/>
        <w:spacing w:after="160" w:before="360"/>
      </w:pPr>
      <w:r>
        <w:rPr>
          <w:rFonts w:ascii="Times New Roman" w:cs="Times New Roman" w:eastAsia="Times New Roman" w:hAnsi="Times New Roman"/>
          <w:b/>
          <w:bCs/>
          <w:color w:val="000000"/>
          <w:sz w:val="32"/>
          <w:szCs w:val="32"/>
        </w:rPr>
        <w:t xml:space="preserve">8. Limites et Perspectives</w:t>
      </w:r>
    </w:p>
    <w:p>
      <w:pPr>
        <w:pStyle w:val="Heading2"/>
        <w:spacing w:after="120" w:before="240"/>
      </w:pPr>
      <w:r>
        <w:rPr>
          <w:rFonts w:ascii="Times New Roman" w:cs="Times New Roman" w:eastAsia="Times New Roman" w:hAnsi="Times New Roman"/>
          <w:b/>
          <w:bCs/>
          <w:color w:val="000000"/>
          <w:sz w:val="26"/>
          <w:szCs w:val="26"/>
        </w:rPr>
        <w:t xml:space="preserve">8.1 Limites identifiées</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GuichetIA présente plusieurs limites inhérentes à son architecture actuelle. Premièrement, la base documentaire est statique : elle ne se met pas à jour automatiquement lorsque les procédures administratives évoluent et nécessite une intervention manuelle pour régénérer les PDFs sources et reconstruire l'index. Deuxièmement, le modèle d'embedding (paraphrase-multilingual-MiniLM-L12-v2) est généraliste et non spécialisé pour le domaine administratif burkinabè, ce qui peut réduire la pertinence pour des questions très spécifiques. Troisièmement, la mise en veille du backend sur le plan gratuit de Render représente une friction pour l'utilisateur lors du premier accès après inactivité. Quatrièmement, le système ne gère pas le contexte conversationnel : chaque question est traitée indépendamment, sans mémorisation des échanges précédents.</w:t>
      </w:r>
    </w:p>
    <w:p>
      <w:pPr>
        <w:pStyle w:val="Heading2"/>
        <w:spacing w:after="120" w:before="240"/>
      </w:pPr>
      <w:r>
        <w:rPr>
          <w:rFonts w:ascii="Times New Roman" w:cs="Times New Roman" w:eastAsia="Times New Roman" w:hAnsi="Times New Roman"/>
          <w:b/>
          <w:bCs/>
          <w:color w:val="000000"/>
          <w:sz w:val="26"/>
          <w:szCs w:val="26"/>
        </w:rPr>
        <w:t xml:space="preserve">8.2 Perspectives d'évolution</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GuichetIA constitue une base solide sur laquelle plusieurs améliorations peuvent être envisagées à court et moyen terme :</w:t>
      </w:r>
    </w:p>
    <w:p>
      <w:pPr>
        <w:pStyle w:val="ListParagraph"/>
        <w:numPr>
          <w:ilvl w:val="0"/>
          <w:numId w:val="3"/>
        </w:numPr>
      </w:pPr>
      <w:r>
        <w:rPr>
          <w:rFonts w:ascii="Times New Roman" w:cs="Times New Roman" w:eastAsia="Times New Roman" w:hAnsi="Times New Roman"/>
          <w:sz w:val="22"/>
          <w:szCs w:val="22"/>
        </w:rPr>
        <w:t xml:space="preserve">Mise à jour automatique de la base documentaire via scraping périodique des sites officiels.</w:t>
      </w:r>
    </w:p>
    <w:p>
      <w:pPr>
        <w:pStyle w:val="ListParagraph"/>
        <w:numPr>
          <w:ilvl w:val="0"/>
          <w:numId w:val="3"/>
        </w:numPr>
      </w:pPr>
      <w:r>
        <w:rPr>
          <w:rFonts w:ascii="Times New Roman" w:cs="Times New Roman" w:eastAsia="Times New Roman" w:hAnsi="Times New Roman"/>
          <w:sz w:val="22"/>
          <w:szCs w:val="22"/>
        </w:rPr>
        <w:t xml:space="preserve">Fine-tuning d'un modèle d'embedding spécialisé sur le corpus administratif burkinabè.</w:t>
      </w:r>
    </w:p>
    <w:p>
      <w:pPr>
        <w:pStyle w:val="ListParagraph"/>
        <w:numPr>
          <w:ilvl w:val="0"/>
          <w:numId w:val="3"/>
        </w:numPr>
      </w:pPr>
      <w:r>
        <w:rPr>
          <w:rFonts w:ascii="Times New Roman" w:cs="Times New Roman" w:eastAsia="Times New Roman" w:hAnsi="Times New Roman"/>
          <w:sz w:val="22"/>
          <w:szCs w:val="22"/>
        </w:rPr>
        <w:t xml:space="preserve">Intégration d'une mémoire conversationnelle pour des échanges multi-tours cohérents.</w:t>
      </w:r>
    </w:p>
    <w:p>
      <w:pPr>
        <w:pStyle w:val="ListParagraph"/>
        <w:numPr>
          <w:ilvl w:val="0"/>
          <w:numId w:val="3"/>
        </w:numPr>
      </w:pPr>
      <w:r>
        <w:rPr>
          <w:rFonts w:ascii="Times New Roman" w:cs="Times New Roman" w:eastAsia="Times New Roman" w:hAnsi="Times New Roman"/>
          <w:sz w:val="22"/>
          <w:szCs w:val="22"/>
        </w:rPr>
        <w:t xml:space="preserve">Ajout d'un module de synthèse vocale pour rendre l'assistant accessible aux utilisateurs peu alphabétisés ou en situation de mobilité.</w:t>
      </w:r>
    </w:p>
    <w:p>
      <w:pPr>
        <w:pStyle w:val="ListParagraph"/>
        <w:numPr>
          <w:ilvl w:val="0"/>
          <w:numId w:val="3"/>
        </w:numPr>
      </w:pPr>
      <w:r>
        <w:rPr>
          <w:rFonts w:ascii="Times New Roman" w:cs="Times New Roman" w:eastAsia="Times New Roman" w:hAnsi="Times New Roman"/>
          <w:sz w:val="22"/>
          <w:szCs w:val="22"/>
        </w:rPr>
        <w:t xml:space="preserve">Extension à d'autres démarches (état civil, fiscalité, éducation) et à d'autres pays francophones d'Afrique de l'Ouest.</w:t>
      </w:r>
    </w:p>
    <w:p>
      <w:pPr>
        <w:pStyle w:val="ListParagraph"/>
        <w:numPr>
          <w:ilvl w:val="0"/>
          <w:numId w:val="3"/>
        </w:numPr>
      </w:pPr>
      <w:r>
        <w:rPr>
          <w:rFonts w:ascii="Times New Roman" w:cs="Times New Roman" w:eastAsia="Times New Roman" w:hAnsi="Times New Roman"/>
          <w:sz w:val="22"/>
          <w:szCs w:val="22"/>
        </w:rPr>
        <w:t xml:space="preserve">Mise en place d'un tableau de bord administrateur pour suivre les questions les plus fréquentes et identifier les lacunes de la base documentaire.</w:t>
      </w:r>
    </w:p>
    <w:p>
      <w:pPr>
        <w:pStyle w:val="Heading1"/>
        <w:spacing w:after="160" w:before="360"/>
      </w:pPr>
      <w:r>
        <w:rPr>
          <w:rFonts w:ascii="Times New Roman" w:cs="Times New Roman" w:eastAsia="Times New Roman" w:hAnsi="Times New Roman"/>
          <w:b/>
          <w:bCs/>
          <w:color w:val="000000"/>
          <w:sz w:val="32"/>
          <w:szCs w:val="32"/>
        </w:rPr>
        <w:t xml:space="preserve">9. Conclusion</w:t>
      </w:r>
    </w:p>
    <w:p>
      <w:pPr>
        <w:spacing w:after="120" w:before="80"/>
        <w:jc w:val="both"/>
      </w:pPr>
      <w:r>
        <w:rPr>
          <w:rFonts w:ascii="Times New Roman" w:cs="Times New Roman" w:eastAsia="Times New Roman" w:hAnsi="Times New Roman"/>
          <w:b w:val="false"/>
          <w:bCs w:val="false"/>
          <w:i w:val="false"/>
          <w:iCs w:val="false"/>
          <w:color w:val="000000"/>
          <w:sz w:val="22"/>
          <w:szCs w:val="22"/>
        </w:rPr>
        <w:t xml:space="preserve">GuichetIA démontre qu'il est possible de concevoir et de déployer un assistant administratif intelligent, utile et fiable dans un contexte de contraintes fortes (budget nul, ressources limitées). L'architecture RAG choisie garantit que les réponses sont ancrées dans des sources documentaires officielles et vérifiables, évitant ainsi les hallucinations caractéristiques des LLM utilisés seuls. Le système couvre les six principales démarches administratives auxquelles les citoyens burkinabè sont confrontés et offre une expérience utilisateur intuitive, transparente et informative. Ce projet illustre le potentiel de l'intelligence artificielle appliquée au service public dans les pays en développement, où la fracture informationnelle constitue un obstacle réel à l'exercice des droits des citoyens.</w:t>
      </w:r>
    </w:p>
    <w:p>
      <w:r>
        <w:br w:type="page"/>
      </w:r>
    </w:p>
    <w:p>
      <w:pPr>
        <w:pStyle w:val="Heading1"/>
        <w:spacing w:after="160" w:before="360"/>
      </w:pPr>
      <w:r>
        <w:rPr>
          <w:rFonts w:ascii="Times New Roman" w:cs="Times New Roman" w:eastAsia="Times New Roman" w:hAnsi="Times New Roman"/>
          <w:b/>
          <w:bCs/>
          <w:color w:val="000000"/>
          <w:sz w:val="32"/>
          <w:szCs w:val="32"/>
        </w:rPr>
        <w:t xml:space="preserve">Annexes</w:t>
      </w:r>
    </w:p>
    <w:p>
      <w:pPr>
        <w:pStyle w:val="Heading2"/>
        <w:spacing w:after="120" w:before="240"/>
      </w:pPr>
      <w:r>
        <w:rPr>
          <w:rFonts w:ascii="Times New Roman" w:cs="Times New Roman" w:eastAsia="Times New Roman" w:hAnsi="Times New Roman"/>
          <w:b/>
          <w:bCs/>
          <w:color w:val="000000"/>
          <w:sz w:val="26"/>
          <w:szCs w:val="26"/>
        </w:rPr>
        <w:t xml:space="preserve">Annexe A : Structure du dépôt GitHub</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Le projet est organisé en deux répertoires principaux :</w:t>
      </w:r>
    </w:p>
    <w:p>
      <w:pPr>
        <w:pStyle w:val="ListParagraph"/>
        <w:numPr>
          <w:ilvl w:val="0"/>
          <w:numId w:val="3"/>
        </w:numPr>
      </w:pPr>
      <w:r>
        <w:rPr>
          <w:rFonts w:ascii="Times New Roman" w:cs="Times New Roman" w:eastAsia="Times New Roman" w:hAnsi="Times New Roman"/>
          <w:sz w:val="22"/>
          <w:szCs w:val="22"/>
        </w:rPr>
        <w:t xml:space="preserve">backend/ : code Python du backend FastAPI, scripts d'ingestion, PDFs sources, index ChromaDB</w:t>
      </w:r>
    </w:p>
    <w:p>
      <w:pPr>
        <w:pStyle w:val="ListParagraph"/>
        <w:numPr>
          <w:ilvl w:val="0"/>
          <w:numId w:val="3"/>
        </w:numPr>
      </w:pPr>
      <w:r>
        <w:rPr>
          <w:rFonts w:ascii="Times New Roman" w:cs="Times New Roman" w:eastAsia="Times New Roman" w:hAnsi="Times New Roman"/>
          <w:sz w:val="22"/>
          <w:szCs w:val="22"/>
        </w:rPr>
        <w:t xml:space="preserve">frontend/ : application React, composants, pages (Landing, ChatDashboard, About), configuration Vite</w:t>
      </w:r>
    </w:p>
    <w:p>
      <w:pPr>
        <w:pStyle w:val="Heading2"/>
        <w:spacing w:after="120" w:before="240"/>
      </w:pPr>
      <w:r>
        <w:rPr>
          <w:rFonts w:ascii="Times New Roman" w:cs="Times New Roman" w:eastAsia="Times New Roman" w:hAnsi="Times New Roman"/>
          <w:b/>
          <w:bCs/>
          <w:color w:val="000000"/>
          <w:sz w:val="26"/>
          <w:szCs w:val="26"/>
        </w:rPr>
        <w:t xml:space="preserve">Annexe B : Variables d'environnement</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Les clés API sensibles sont stockées exclusivement en variables d'environnement, jamais dans le code source versionnés :</w:t>
      </w:r>
    </w:p>
    <w:p>
      <w:pPr>
        <w:pStyle w:val="ListParagraph"/>
        <w:numPr>
          <w:ilvl w:val="0"/>
          <w:numId w:val="3"/>
        </w:numPr>
      </w:pPr>
      <w:r>
        <w:rPr>
          <w:rFonts w:ascii="Times New Roman" w:cs="Times New Roman" w:eastAsia="Times New Roman" w:hAnsi="Times New Roman"/>
          <w:sz w:val="22"/>
          <w:szCs w:val="22"/>
        </w:rPr>
        <w:t xml:space="preserve">GROQ_API_KEY : clé d'accès à l'API Groq pour l'inférence LLM (configurée dans Render)</w:t>
      </w:r>
    </w:p>
    <w:p>
      <w:pPr>
        <w:pStyle w:val="ListParagraph"/>
        <w:numPr>
          <w:ilvl w:val="0"/>
          <w:numId w:val="3"/>
        </w:numPr>
      </w:pPr>
      <w:r>
        <w:rPr>
          <w:rFonts w:ascii="Times New Roman" w:cs="Times New Roman" w:eastAsia="Times New Roman" w:hAnsi="Times New Roman"/>
          <w:sz w:val="22"/>
          <w:szCs w:val="22"/>
        </w:rPr>
        <w:t xml:space="preserve">HUGGINGFACEHUB_API_TOKEN : clé d'accès à l'API HuggingFace pour les embeddings (configurée dans Render)</w:t>
      </w:r>
    </w:p>
    <w:p>
      <w:pPr>
        <w:pStyle w:val="ListParagraph"/>
        <w:numPr>
          <w:ilvl w:val="0"/>
          <w:numId w:val="3"/>
        </w:numPr>
      </w:pPr>
      <w:r>
        <w:rPr>
          <w:rFonts w:ascii="Times New Roman" w:cs="Times New Roman" w:eastAsia="Times New Roman" w:hAnsi="Times New Roman"/>
          <w:sz w:val="22"/>
          <w:szCs w:val="22"/>
        </w:rPr>
        <w:t xml:space="preserve">VITE_API_URL : URL du backend FastAPI (configurée dans Vercel)</w:t>
      </w:r>
    </w:p>
    <w:p>
      <w:pPr>
        <w:pStyle w:val="Heading2"/>
        <w:spacing w:after="120" w:before="240"/>
      </w:pPr>
      <w:r>
        <w:rPr>
          <w:rFonts w:ascii="Times New Roman" w:cs="Times New Roman" w:eastAsia="Times New Roman" w:hAnsi="Times New Roman"/>
          <w:b/>
          <w:bCs/>
          <w:color w:val="000000"/>
          <w:sz w:val="26"/>
          <w:szCs w:val="26"/>
        </w:rPr>
        <w:t xml:space="preserve">Annexe C : Commandes de déploiement</w:t>
      </w:r>
    </w:p>
    <w:p>
      <w:pPr>
        <w:spacing w:after="60" w:before="80"/>
        <w:jc w:val="both"/>
      </w:pPr>
      <w:r>
        <w:rPr>
          <w:rFonts w:ascii="Times New Roman" w:cs="Times New Roman" w:eastAsia="Times New Roman" w:hAnsi="Times New Roman"/>
          <w:b w:val="false"/>
          <w:bCs w:val="false"/>
          <w:i w:val="false"/>
          <w:iCs w:val="false"/>
          <w:color w:val="000000"/>
          <w:sz w:val="22"/>
          <w:szCs w:val="22"/>
        </w:rPr>
        <w:t xml:space="preserve">La procédure de mise à jour du système suit les étapes suivantes :</w:t>
      </w:r>
    </w:p>
    <w:p>
      <w:pPr>
        <w:pStyle w:val="ListParagraph"/>
        <w:numPr>
          <w:ilvl w:val="0"/>
          <w:numId w:val="2"/>
        </w:numPr>
      </w:pPr>
      <w:r>
        <w:rPr>
          <w:rFonts w:ascii="Times New Roman" w:cs="Times New Roman" w:eastAsia="Times New Roman" w:hAnsi="Times New Roman"/>
          <w:sz w:val="22"/>
          <w:szCs w:val="22"/>
        </w:rPr>
        <w:t xml:space="preserve">Mettre à jour les données dans backend/data/generate_source_pdfs.py</w:t>
      </w:r>
    </w:p>
    <w:p>
      <w:pPr>
        <w:pStyle w:val="ListParagraph"/>
        <w:numPr>
          <w:ilvl w:val="0"/>
          <w:numId w:val="2"/>
        </w:numPr>
      </w:pPr>
      <w:r>
        <w:rPr>
          <w:rFonts w:ascii="Times New Roman" w:cs="Times New Roman" w:eastAsia="Times New Roman" w:hAnsi="Times New Roman"/>
          <w:sz w:val="22"/>
          <w:szCs w:val="22"/>
        </w:rPr>
        <w:t xml:space="preserve">Régénérer les PDFs : python data/generate_source_pdfs.py</w:t>
      </w:r>
    </w:p>
    <w:p>
      <w:pPr>
        <w:pStyle w:val="ListParagraph"/>
        <w:numPr>
          <w:ilvl w:val="0"/>
          <w:numId w:val="2"/>
        </w:numPr>
      </w:pPr>
      <w:r>
        <w:rPr>
          <w:rFonts w:ascii="Times New Roman" w:cs="Times New Roman" w:eastAsia="Times New Roman" w:hAnsi="Times New Roman"/>
          <w:sz w:val="22"/>
          <w:szCs w:val="22"/>
        </w:rPr>
        <w:t xml:space="preserve">Commiter et pousser sur GitHub : git add . &amp;&amp; git commit -m 'message' &amp;&amp; git push origin main</w:t>
      </w:r>
    </w:p>
    <w:p>
      <w:pPr>
        <w:pStyle w:val="ListParagraph"/>
        <w:numPr>
          <w:ilvl w:val="0"/>
          <w:numId w:val="2"/>
        </w:numPr>
      </w:pPr>
      <w:r>
        <w:rPr>
          <w:rFonts w:ascii="Times New Roman" w:cs="Times New Roman" w:eastAsia="Times New Roman" w:hAnsi="Times New Roman"/>
          <w:sz w:val="22"/>
          <w:szCs w:val="22"/>
        </w:rPr>
        <w:t xml:space="preserve">Render redéploie automatiquement le backend et reconstruit l'index ChromaDB</w:t>
      </w:r>
    </w:p>
    <w:p>
      <w:pPr>
        <w:pStyle w:val="ListParagraph"/>
        <w:numPr>
          <w:ilvl w:val="0"/>
          <w:numId w:val="2"/>
        </w:numPr>
      </w:pPr>
      <w:r>
        <w:rPr>
          <w:rFonts w:ascii="Times New Roman" w:cs="Times New Roman" w:eastAsia="Times New Roman" w:hAnsi="Times New Roman"/>
          <w:sz w:val="22"/>
          <w:szCs w:val="22"/>
        </w:rPr>
        <w:t xml:space="preserve">Vercel redéploie automatiquement le frontend</w:t>
      </w:r>
    </w:p>
    <w:sectPr>
      <w:footerReference w:type="default" r:id="rId7"/>
      <w:pgSz w:w="11906" w:h="16838" w:orient="portrait"/>
      <w:pgMar w:top="1418" w:right="1134"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jc w:val="center"/>
    </w:pPr>
    <w:r>
      <w:rPr>
        <w:rFonts w:ascii="Times New Roman" w:cs="Times New Roman" w:eastAsia="Times New Roman" w:hAnsi="Times New Roman"/>
        <w:color w:val="444444"/>
        <w:sz w:val="18"/>
        <w:szCs w:val="18"/>
      </w:rPr>
      <w:t xml:space="preserve">Page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4a77938e0573b1df646da3ffbc066a370ac6abe.jpg"/><Relationship Id="rId9" Type="http://schemas.openxmlformats.org/officeDocument/2006/relationships/image" Target="media/6ff60a77d6770aed7d461a1524044cd01489ed69.jpg"/><Relationship Id="rId10" Type="http://schemas.openxmlformats.org/officeDocument/2006/relationships/image" Target="media/c09390da187c33deb9f81fdc7c8b8c86cfe51f38.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2026-07-10T01:26:37.585Z</dcterms:created>
  <dcterms:modified xsi:type="dcterms:W3CDTF">2026-07-10T01:26:37.585Z</dcterms:modified>
</cp:coreProperties>
</file>

<file path=docProps/custom.xml><?xml version="1.0" encoding="utf-8"?>
<Properties xmlns="http://schemas.openxmlformats.org/officeDocument/2006/custom-properties" xmlns:vt="http://schemas.openxmlformats.org/officeDocument/2006/docPropsVTypes"/>
</file>